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7218319" w14:textId="77777777" w:rsidTr="00B20551">
        <w:trPr>
          <w:cantSplit/>
          <w:trHeight w:hRule="exact" w:val="851"/>
        </w:trPr>
        <w:tc>
          <w:tcPr>
            <w:tcW w:w="1276" w:type="dxa"/>
            <w:tcBorders>
              <w:bottom w:val="single" w:sz="4" w:space="0" w:color="auto"/>
            </w:tcBorders>
            <w:vAlign w:val="bottom"/>
          </w:tcPr>
          <w:p w14:paraId="0C13556E" w14:textId="77777777" w:rsidR="009E6CB7" w:rsidRDefault="009E6CB7" w:rsidP="00B20551">
            <w:pPr>
              <w:spacing w:after="80"/>
            </w:pPr>
          </w:p>
        </w:tc>
        <w:tc>
          <w:tcPr>
            <w:tcW w:w="2268" w:type="dxa"/>
            <w:tcBorders>
              <w:bottom w:val="single" w:sz="4" w:space="0" w:color="auto"/>
            </w:tcBorders>
            <w:vAlign w:val="bottom"/>
          </w:tcPr>
          <w:p w14:paraId="5CC1054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3F41DA0" w14:textId="312BC66A" w:rsidR="009E6CB7" w:rsidRPr="00D47EEA" w:rsidRDefault="00B32C06" w:rsidP="00B32C06">
            <w:pPr>
              <w:jc w:val="right"/>
            </w:pPr>
            <w:r w:rsidRPr="00B32C06">
              <w:rPr>
                <w:sz w:val="40"/>
              </w:rPr>
              <w:t>ECE</w:t>
            </w:r>
            <w:r>
              <w:t>/TRANS/WP.15/AC.2/20</w:t>
            </w:r>
            <w:r w:rsidR="00A031E0">
              <w:t>20</w:t>
            </w:r>
            <w:r>
              <w:t>/</w:t>
            </w:r>
            <w:r w:rsidR="00240171">
              <w:t>17</w:t>
            </w:r>
          </w:p>
        </w:tc>
      </w:tr>
      <w:tr w:rsidR="009E6CB7" w14:paraId="714D25BA" w14:textId="77777777" w:rsidTr="00B20551">
        <w:trPr>
          <w:cantSplit/>
          <w:trHeight w:hRule="exact" w:val="2835"/>
        </w:trPr>
        <w:tc>
          <w:tcPr>
            <w:tcW w:w="1276" w:type="dxa"/>
            <w:tcBorders>
              <w:top w:val="single" w:sz="4" w:space="0" w:color="auto"/>
              <w:bottom w:val="single" w:sz="12" w:space="0" w:color="auto"/>
            </w:tcBorders>
          </w:tcPr>
          <w:p w14:paraId="5BAF5F93" w14:textId="77777777" w:rsidR="009E6CB7" w:rsidRDefault="00686A48" w:rsidP="00B20551">
            <w:pPr>
              <w:spacing w:before="120"/>
            </w:pPr>
            <w:r>
              <w:rPr>
                <w:noProof/>
                <w:lang w:val="fr-CH" w:eastAsia="fr-CH"/>
              </w:rPr>
              <w:drawing>
                <wp:inline distT="0" distB="0" distL="0" distR="0" wp14:anchorId="7010FA50" wp14:editId="565FC6D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F2703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CC85B80" w14:textId="77777777" w:rsidR="009E6CB7" w:rsidRDefault="00B32C06" w:rsidP="00B32C06">
            <w:pPr>
              <w:spacing w:before="240" w:line="240" w:lineRule="exact"/>
            </w:pPr>
            <w:r>
              <w:t>Distr.: General</w:t>
            </w:r>
          </w:p>
          <w:p w14:paraId="2D6B3636" w14:textId="7375D1F0" w:rsidR="00B32C06" w:rsidRDefault="007665FA" w:rsidP="00B32C06">
            <w:pPr>
              <w:spacing w:line="240" w:lineRule="exact"/>
            </w:pPr>
            <w:r>
              <w:t>12 November</w:t>
            </w:r>
            <w:r w:rsidR="000E0C87">
              <w:t xml:space="preserve"> 2019</w:t>
            </w:r>
          </w:p>
          <w:p w14:paraId="050B8113" w14:textId="77777777" w:rsidR="00B32C06" w:rsidRDefault="00B32C06" w:rsidP="00B32C06">
            <w:pPr>
              <w:spacing w:line="240" w:lineRule="exact"/>
            </w:pPr>
          </w:p>
          <w:p w14:paraId="25636602" w14:textId="77777777" w:rsidR="00B32C06" w:rsidRDefault="00B32C06" w:rsidP="00B32C06">
            <w:pPr>
              <w:spacing w:line="240" w:lineRule="exact"/>
            </w:pPr>
            <w:r>
              <w:t>Original: English</w:t>
            </w:r>
          </w:p>
        </w:tc>
      </w:tr>
    </w:tbl>
    <w:p w14:paraId="37AD49F4" w14:textId="77777777" w:rsidR="00B32C06" w:rsidRPr="003134DF" w:rsidRDefault="00B32C06" w:rsidP="00B32C06">
      <w:pPr>
        <w:spacing w:before="120"/>
        <w:rPr>
          <w:b/>
          <w:sz w:val="28"/>
          <w:szCs w:val="28"/>
        </w:rPr>
      </w:pPr>
      <w:r w:rsidRPr="003134DF">
        <w:rPr>
          <w:b/>
          <w:sz w:val="28"/>
          <w:szCs w:val="28"/>
        </w:rPr>
        <w:t>Economic Commission for Europe</w:t>
      </w:r>
    </w:p>
    <w:p w14:paraId="0DFAF960" w14:textId="77777777" w:rsidR="00B32C06" w:rsidRPr="003134DF" w:rsidRDefault="00B32C06" w:rsidP="00B32C06">
      <w:pPr>
        <w:spacing w:before="120"/>
        <w:rPr>
          <w:sz w:val="28"/>
          <w:szCs w:val="28"/>
        </w:rPr>
      </w:pPr>
      <w:r w:rsidRPr="003134DF">
        <w:rPr>
          <w:sz w:val="28"/>
          <w:szCs w:val="28"/>
        </w:rPr>
        <w:t>Inland Transport Committee</w:t>
      </w:r>
    </w:p>
    <w:p w14:paraId="703D8248" w14:textId="77777777" w:rsidR="00B32C06" w:rsidRPr="003134DF" w:rsidRDefault="00B32C06" w:rsidP="00B32C06">
      <w:pPr>
        <w:spacing w:before="120"/>
        <w:rPr>
          <w:b/>
          <w:sz w:val="24"/>
          <w:szCs w:val="24"/>
        </w:rPr>
      </w:pPr>
      <w:r w:rsidRPr="003134DF">
        <w:rPr>
          <w:b/>
          <w:sz w:val="24"/>
          <w:szCs w:val="24"/>
        </w:rPr>
        <w:t>Working Party on the Transport of Dangerous Goods</w:t>
      </w:r>
    </w:p>
    <w:p w14:paraId="02BBFD05" w14:textId="77777777" w:rsidR="00B32C06" w:rsidRPr="003134DF" w:rsidRDefault="00B32C06" w:rsidP="00B32C06">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00E65BD9" w14:textId="183D73D8" w:rsidR="00B32C06" w:rsidRPr="003134DF" w:rsidRDefault="00B32C06" w:rsidP="00B32C06">
      <w:pPr>
        <w:spacing w:before="120"/>
        <w:rPr>
          <w:b/>
        </w:rPr>
      </w:pPr>
      <w:r>
        <w:rPr>
          <w:b/>
        </w:rPr>
        <w:t>Thirty-</w:t>
      </w:r>
      <w:r w:rsidR="00257EA0">
        <w:rPr>
          <w:b/>
        </w:rPr>
        <w:t>six</w:t>
      </w:r>
      <w:r w:rsidR="005E6C81">
        <w:rPr>
          <w:b/>
        </w:rPr>
        <w:t>th</w:t>
      </w:r>
      <w:r>
        <w:rPr>
          <w:b/>
        </w:rPr>
        <w:t xml:space="preserve"> </w:t>
      </w:r>
      <w:r w:rsidRPr="003134DF">
        <w:rPr>
          <w:b/>
        </w:rPr>
        <w:t>session</w:t>
      </w:r>
    </w:p>
    <w:p w14:paraId="205E3BB3" w14:textId="2A8C2F4E" w:rsidR="00B32C06" w:rsidRDefault="00B32C06" w:rsidP="00B32C06">
      <w:r w:rsidRPr="003134DF">
        <w:t xml:space="preserve">Geneva, </w:t>
      </w:r>
      <w:r>
        <w:t>2</w:t>
      </w:r>
      <w:r w:rsidR="00975A52">
        <w:t>7</w:t>
      </w:r>
      <w:r>
        <w:t>-3</w:t>
      </w:r>
      <w:r w:rsidR="00975A52">
        <w:t>1</w:t>
      </w:r>
      <w:r>
        <w:t xml:space="preserve"> </w:t>
      </w:r>
      <w:r w:rsidR="0005516E">
        <w:t>January</w:t>
      </w:r>
      <w:r>
        <w:t xml:space="preserve"> 20</w:t>
      </w:r>
      <w:r w:rsidR="008F42FA">
        <w:t>20</w:t>
      </w:r>
    </w:p>
    <w:p w14:paraId="5A24FE6A" w14:textId="54026BCD" w:rsidR="00B32C06" w:rsidRDefault="00B32C06" w:rsidP="00B32C06">
      <w:r>
        <w:t xml:space="preserve">Item </w:t>
      </w:r>
      <w:r w:rsidR="007665FA">
        <w:t>5</w:t>
      </w:r>
      <w:r w:rsidR="000A6EFA">
        <w:t xml:space="preserve"> (</w:t>
      </w:r>
      <w:r w:rsidR="00904F82">
        <w:t>b</w:t>
      </w:r>
      <w:r w:rsidR="000A6EFA">
        <w:t>)</w:t>
      </w:r>
      <w:r>
        <w:t xml:space="preserve"> </w:t>
      </w:r>
      <w:r w:rsidRPr="003134DF">
        <w:t>of the provisional agenda</w:t>
      </w:r>
    </w:p>
    <w:p w14:paraId="5840FEA3" w14:textId="5930955D" w:rsidR="000A6EFA" w:rsidRPr="000A6EFA" w:rsidRDefault="004523F0" w:rsidP="00B32C06">
      <w:pPr>
        <w:rPr>
          <w:b/>
          <w:bCs/>
        </w:rPr>
      </w:pPr>
      <w:r w:rsidRPr="004523F0">
        <w:rPr>
          <w:b/>
          <w:bCs/>
        </w:rPr>
        <w:t>Proposals for amendments to the Regulations annexed to ADN</w:t>
      </w:r>
      <w:r w:rsidR="000A6EFA" w:rsidRPr="000A6EFA">
        <w:rPr>
          <w:b/>
          <w:bCs/>
        </w:rPr>
        <w:t>:</w:t>
      </w:r>
      <w:r w:rsidR="000A6EFA">
        <w:rPr>
          <w:b/>
          <w:bCs/>
        </w:rPr>
        <w:br/>
      </w:r>
      <w:r w:rsidR="00240171">
        <w:rPr>
          <w:b/>
          <w:bCs/>
        </w:rPr>
        <w:t>o</w:t>
      </w:r>
      <w:r w:rsidR="00DE4E22" w:rsidRPr="00DE4E22">
        <w:rPr>
          <w:b/>
          <w:bCs/>
        </w:rPr>
        <w:t>ther proposals</w:t>
      </w:r>
    </w:p>
    <w:p w14:paraId="76FED023" w14:textId="77777777" w:rsidR="0035474D" w:rsidRPr="003E6580" w:rsidRDefault="0035474D" w:rsidP="0035474D">
      <w:pPr>
        <w:pStyle w:val="HChG"/>
      </w:pPr>
      <w:r>
        <w:tab/>
      </w:r>
      <w:r>
        <w:tab/>
      </w:r>
      <w:r>
        <w:rPr>
          <w:bCs/>
        </w:rPr>
        <w:t>Corrections to ADN 2019</w:t>
      </w:r>
    </w:p>
    <w:p w14:paraId="4A63303B" w14:textId="05F5525F" w:rsidR="00B32C06" w:rsidRDefault="00B32C06" w:rsidP="00B32C06">
      <w:pPr>
        <w:pStyle w:val="H1G"/>
      </w:pPr>
      <w:r>
        <w:tab/>
      </w:r>
      <w:r>
        <w:tab/>
      </w:r>
      <w:r w:rsidR="000A6EFA">
        <w:t xml:space="preserve">Transmitted by the </w:t>
      </w:r>
      <w:r w:rsidR="007265BC" w:rsidRPr="007265BC">
        <w:t>Recommended ADN Classification Societies</w:t>
      </w:r>
      <w:r w:rsidR="001C4AEB" w:rsidRPr="004D45CD">
        <w:rPr>
          <w:rStyle w:val="FootnoteReference"/>
          <w:b w:val="0"/>
          <w:bCs/>
          <w:sz w:val="20"/>
        </w:rPr>
        <w:footnoteReference w:customMarkFollows="1" w:id="2"/>
        <w:t>*</w:t>
      </w:r>
      <w:r w:rsidR="001C4AEB" w:rsidRPr="004D45CD">
        <w:rPr>
          <w:b w:val="0"/>
          <w:bCs/>
          <w:sz w:val="20"/>
          <w:vertAlign w:val="superscript"/>
        </w:rPr>
        <w:t>,</w:t>
      </w:r>
      <w:r w:rsidR="001C4AEB" w:rsidRPr="004D45CD">
        <w:rPr>
          <w:sz w:val="20"/>
          <w:vertAlign w:val="superscript"/>
        </w:rPr>
        <w:t xml:space="preserve"> </w:t>
      </w:r>
      <w:r w:rsidR="001C4AEB" w:rsidRPr="004D45CD">
        <w:rPr>
          <w:rStyle w:val="FootnoteReference"/>
          <w:b w:val="0"/>
          <w:bCs/>
          <w:sz w:val="20"/>
        </w:rPr>
        <w:footnoteReference w:customMarkFollows="1" w:id="3"/>
        <w:t>**</w:t>
      </w:r>
    </w:p>
    <w:tbl>
      <w:tblPr>
        <w:tblW w:w="920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05"/>
        <w:gridCol w:w="6804"/>
      </w:tblGrid>
      <w:tr w:rsidR="00197F95" w:rsidRPr="003134DF" w14:paraId="204CB9E8" w14:textId="77777777" w:rsidTr="00B11793">
        <w:trPr>
          <w:jc w:val="center"/>
        </w:trPr>
        <w:tc>
          <w:tcPr>
            <w:tcW w:w="2405" w:type="dxa"/>
            <w:tcBorders>
              <w:top w:val="single" w:sz="4" w:space="0" w:color="auto"/>
            </w:tcBorders>
          </w:tcPr>
          <w:p w14:paraId="20219174" w14:textId="77777777" w:rsidR="00197F95" w:rsidRPr="003134DF" w:rsidRDefault="00197F95" w:rsidP="00B11793">
            <w:pPr>
              <w:tabs>
                <w:tab w:val="left" w:pos="284"/>
              </w:tabs>
              <w:spacing w:before="120" w:after="120"/>
            </w:pPr>
            <w:r w:rsidRPr="003134DF">
              <w:rPr>
                <w:i/>
                <w:sz w:val="24"/>
              </w:rPr>
              <w:tab/>
              <w:t>Summary</w:t>
            </w:r>
          </w:p>
        </w:tc>
        <w:tc>
          <w:tcPr>
            <w:tcW w:w="6804" w:type="dxa"/>
            <w:tcBorders>
              <w:top w:val="single" w:sz="4" w:space="0" w:color="auto"/>
            </w:tcBorders>
          </w:tcPr>
          <w:p w14:paraId="42D5D4AD" w14:textId="77777777" w:rsidR="00197F95" w:rsidRPr="003134DF" w:rsidRDefault="00197F95" w:rsidP="00B11793">
            <w:pPr>
              <w:spacing w:before="120" w:after="120"/>
            </w:pPr>
          </w:p>
        </w:tc>
      </w:tr>
      <w:tr w:rsidR="00197F95" w:rsidRPr="003134DF" w14:paraId="2B3693F7" w14:textId="77777777" w:rsidTr="00197F95">
        <w:trPr>
          <w:trHeight w:val="2168"/>
          <w:jc w:val="center"/>
        </w:trPr>
        <w:tc>
          <w:tcPr>
            <w:tcW w:w="2405" w:type="dxa"/>
            <w:tcBorders>
              <w:bottom w:val="single" w:sz="4" w:space="0" w:color="auto"/>
            </w:tcBorders>
          </w:tcPr>
          <w:p w14:paraId="0D11CF12" w14:textId="77777777" w:rsidR="00197F95" w:rsidRPr="003134DF" w:rsidRDefault="00197F95" w:rsidP="00B11793">
            <w:pPr>
              <w:tabs>
                <w:tab w:val="left" w:pos="284"/>
              </w:tabs>
              <w:spacing w:before="120" w:after="120"/>
              <w:rPr>
                <w:b/>
              </w:rPr>
            </w:pPr>
            <w:r w:rsidRPr="003134DF">
              <w:rPr>
                <w:b/>
              </w:rPr>
              <w:tab/>
              <w:t>Related documents:</w:t>
            </w:r>
          </w:p>
        </w:tc>
        <w:tc>
          <w:tcPr>
            <w:tcW w:w="6804" w:type="dxa"/>
            <w:tcBorders>
              <w:bottom w:val="single" w:sz="4" w:space="0" w:color="auto"/>
            </w:tcBorders>
          </w:tcPr>
          <w:p w14:paraId="0FA1DD5F" w14:textId="3C2F2BBD" w:rsidR="00197F95" w:rsidRDefault="00197F95" w:rsidP="00B11793">
            <w:pPr>
              <w:ind w:left="-74"/>
            </w:pPr>
            <w:r>
              <w:t>Informal document</w:t>
            </w:r>
            <w:r w:rsidR="00274070">
              <w:t>s</w:t>
            </w:r>
            <w:r>
              <w:t xml:space="preserve"> INF.6 (France) and INF.13 (Recommended ADN Classification Societies), presented at the thirty-fifth session;</w:t>
            </w:r>
          </w:p>
          <w:p w14:paraId="375FA72C" w14:textId="77777777" w:rsidR="00197F95" w:rsidRDefault="00197F95" w:rsidP="00B11793">
            <w:pPr>
              <w:ind w:left="-74"/>
            </w:pPr>
          </w:p>
          <w:p w14:paraId="4FB64F2A" w14:textId="6416CB02" w:rsidR="00197F95" w:rsidRDefault="00197F95" w:rsidP="00197F95">
            <w:pPr>
              <w:ind w:left="-74"/>
            </w:pPr>
            <w:r>
              <w:t>ECE/TRANS/WP.15/AC.2/72, para.</w:t>
            </w:r>
            <w:r w:rsidR="001E35A2">
              <w:t xml:space="preserve"> </w:t>
            </w:r>
            <w:r>
              <w:t>36</w:t>
            </w:r>
          </w:p>
          <w:p w14:paraId="2007ED4E" w14:textId="77777777" w:rsidR="00197F95" w:rsidRPr="00770041" w:rsidRDefault="00197F95" w:rsidP="00197F95">
            <w:pPr>
              <w:ind w:left="-74"/>
            </w:pPr>
            <w:r>
              <w:t xml:space="preserve">“36. The Safety Committee considered informal document INF.13 and noted </w:t>
            </w:r>
            <w:proofErr w:type="gramStart"/>
            <w:r>
              <w:t>a number of</w:t>
            </w:r>
            <w:proofErr w:type="gramEnd"/>
            <w:r>
              <w:t xml:space="preserve"> comments mainly on the principles of inserting appropriate transitional provisions. The Recommended ADN Classification Societies were urged to prepare in due time an official document for consideration by the Committee at its forthcoming session.”</w:t>
            </w:r>
          </w:p>
          <w:p w14:paraId="0771938F" w14:textId="36A91546" w:rsidR="00197F95" w:rsidRPr="003134DF" w:rsidRDefault="00197F95" w:rsidP="00B11793">
            <w:pPr>
              <w:ind w:left="-74"/>
            </w:pPr>
          </w:p>
        </w:tc>
      </w:tr>
    </w:tbl>
    <w:p w14:paraId="7F1A4722" w14:textId="77777777" w:rsidR="00197F95" w:rsidRDefault="00DD0D05" w:rsidP="006202BF">
      <w:pPr>
        <w:pStyle w:val="HChG"/>
      </w:pPr>
      <w:r w:rsidRPr="00DD0D05">
        <w:tab/>
      </w:r>
      <w:r w:rsidR="0054351B">
        <w:tab/>
      </w:r>
      <w:r w:rsidRPr="0074748C">
        <w:t>Introduction</w:t>
      </w:r>
    </w:p>
    <w:p w14:paraId="5DF09AE6" w14:textId="337A8074" w:rsidR="00A10B2F" w:rsidRDefault="00A10B2F" w:rsidP="00A10B2F">
      <w:pPr>
        <w:pStyle w:val="SingleTxtG"/>
        <w:rPr>
          <w:lang w:val="en-US"/>
        </w:rPr>
      </w:pPr>
      <w:r w:rsidRPr="00F0165D">
        <w:t>1.</w:t>
      </w:r>
      <w:r w:rsidRPr="00F0165D">
        <w:tab/>
      </w:r>
      <w:r>
        <w:t xml:space="preserve">At the </w:t>
      </w:r>
      <w:r w:rsidR="00274070">
        <w:t>seventeenth</w:t>
      </w:r>
      <w:r>
        <w:t xml:space="preserve"> meeting of the Informal Group of Recommended ADN Classification Societies in March 2019 it has been discussed</w:t>
      </w:r>
      <w:r w:rsidRPr="003819C0">
        <w:rPr>
          <w:lang w:val="en-US"/>
        </w:rPr>
        <w:t xml:space="preserve"> </w:t>
      </w:r>
      <w:r>
        <w:rPr>
          <w:lang w:val="en-US"/>
        </w:rPr>
        <w:t>that s</w:t>
      </w:r>
      <w:r w:rsidRPr="003819C0">
        <w:rPr>
          <w:lang w:val="en-US"/>
        </w:rPr>
        <w:t xml:space="preserve">ome requirements of ADN 2019 for pushed convoys with a tank vessel carrying dangerous goods </w:t>
      </w:r>
      <w:r>
        <w:rPr>
          <w:lang w:val="en-US"/>
        </w:rPr>
        <w:t>seems to be</w:t>
      </w:r>
      <w:r w:rsidRPr="003819C0">
        <w:rPr>
          <w:lang w:val="en-US"/>
        </w:rPr>
        <w:t xml:space="preserve"> wrong or makes no sense for </w:t>
      </w:r>
      <w:r>
        <w:rPr>
          <w:lang w:val="en-US"/>
        </w:rPr>
        <w:t xml:space="preserve">vessels which are </w:t>
      </w:r>
      <w:r w:rsidRPr="003819C0">
        <w:rPr>
          <w:lang w:val="en-US"/>
        </w:rPr>
        <w:t xml:space="preserve">part of </w:t>
      </w:r>
      <w:r>
        <w:rPr>
          <w:lang w:val="en-US"/>
        </w:rPr>
        <w:t>a</w:t>
      </w:r>
      <w:r w:rsidRPr="003819C0">
        <w:rPr>
          <w:lang w:val="en-US"/>
        </w:rPr>
        <w:t xml:space="preserve"> convoy. The </w:t>
      </w:r>
      <w:r w:rsidR="001606DD">
        <w:rPr>
          <w:lang w:val="en-US"/>
        </w:rPr>
        <w:t>underlined</w:t>
      </w:r>
      <w:r w:rsidRPr="003819C0">
        <w:rPr>
          <w:lang w:val="en-US"/>
        </w:rPr>
        <w:t xml:space="preserve"> </w:t>
      </w:r>
      <w:r>
        <w:rPr>
          <w:lang w:val="en-US"/>
        </w:rPr>
        <w:t>paragraphs</w:t>
      </w:r>
      <w:r w:rsidRPr="003819C0">
        <w:rPr>
          <w:lang w:val="en-US"/>
        </w:rPr>
        <w:t xml:space="preserve"> were </w:t>
      </w:r>
      <w:r w:rsidRPr="003819C0">
        <w:rPr>
          <w:lang w:val="en-US"/>
        </w:rPr>
        <w:lastRenderedPageBreak/>
        <w:t>indicated</w:t>
      </w:r>
      <w:r>
        <w:rPr>
          <w:lang w:val="en-US"/>
        </w:rPr>
        <w:t xml:space="preserve"> to be discussed: </w:t>
      </w:r>
      <w:r w:rsidRPr="006C31F8">
        <w:rPr>
          <w:lang w:val="en-US"/>
        </w:rPr>
        <w:t xml:space="preserve">…, 9.3.3.0.1, </w:t>
      </w:r>
      <w:r w:rsidRPr="006C31F8">
        <w:rPr>
          <w:u w:val="single"/>
          <w:lang w:val="en-US"/>
        </w:rPr>
        <w:t>9.3.3.0.3 (d)</w:t>
      </w:r>
      <w:r w:rsidRPr="006C31F8">
        <w:rPr>
          <w:lang w:val="en-US"/>
        </w:rPr>
        <w:t xml:space="preserve">, 9.3.3.0.5, 9.3.3.10.1, </w:t>
      </w:r>
      <w:r w:rsidRPr="006C31F8">
        <w:rPr>
          <w:u w:val="single"/>
          <w:lang w:val="en-US"/>
        </w:rPr>
        <w:t>9.3.3.10.2</w:t>
      </w:r>
      <w:r w:rsidRPr="006C31F8">
        <w:rPr>
          <w:lang w:val="en-US"/>
        </w:rPr>
        <w:t>, 9.3.3.10.5, …</w:t>
      </w:r>
    </w:p>
    <w:p w14:paraId="727350E1" w14:textId="11807E22" w:rsidR="00A10B2F" w:rsidRPr="00AF0087" w:rsidRDefault="00A10B2F" w:rsidP="00A10B2F">
      <w:pPr>
        <w:pStyle w:val="SingleTxtG"/>
      </w:pPr>
      <w:r w:rsidRPr="0098558D">
        <w:t>2.</w:t>
      </w:r>
      <w:r w:rsidRPr="0098558D">
        <w:tab/>
      </w:r>
      <w:r>
        <w:t xml:space="preserve">Further </w:t>
      </w:r>
      <w:r w:rsidR="00614D08">
        <w:t xml:space="preserve">the </w:t>
      </w:r>
      <w:r w:rsidR="00637919">
        <w:t>C</w:t>
      </w:r>
      <w:r w:rsidR="00614D08">
        <w:t>lassification S</w:t>
      </w:r>
      <w:r w:rsidR="00637919">
        <w:t>o</w:t>
      </w:r>
      <w:r w:rsidR="00614D08">
        <w:t xml:space="preserve">cieties </w:t>
      </w:r>
      <w:r w:rsidR="00053F27">
        <w:t>concluded</w:t>
      </w:r>
      <w:r w:rsidRPr="0098558D">
        <w:t xml:space="preserve"> that there </w:t>
      </w:r>
      <w:r w:rsidR="00486DAB">
        <w:t>exists some</w:t>
      </w:r>
      <w:r>
        <w:t xml:space="preserve"> problems with the</w:t>
      </w:r>
      <w:r w:rsidRPr="0098558D">
        <w:t xml:space="preserve"> transitional provisions in 1.6.7.2.2.2 </w:t>
      </w:r>
      <w:r>
        <w:t>for</w:t>
      </w:r>
      <w:r w:rsidRPr="0098558D">
        <w:t xml:space="preserve"> </w:t>
      </w:r>
      <w:r>
        <w:t>the paragraph</w:t>
      </w:r>
      <w:r w:rsidR="00192AC0">
        <w:t>s</w:t>
      </w:r>
      <w:r>
        <w:t xml:space="preserve"> 7.2.2.19.3</w:t>
      </w:r>
      <w:r w:rsidR="00192AC0">
        <w:t xml:space="preserve"> and 7.2.2.19.4</w:t>
      </w:r>
      <w:r>
        <w:t xml:space="preserve"> for </w:t>
      </w:r>
      <w:r w:rsidRPr="0098558D">
        <w:t>pushed convoys</w:t>
      </w:r>
      <w:r>
        <w:t xml:space="preserve"> with tank vessels</w:t>
      </w:r>
      <w:r w:rsidRPr="0098558D">
        <w:t>.</w:t>
      </w:r>
    </w:p>
    <w:p w14:paraId="4A45A76B" w14:textId="5980797A" w:rsidR="00DD0D05" w:rsidRPr="00DD0D05" w:rsidRDefault="00A10B2F" w:rsidP="00A10B2F">
      <w:pPr>
        <w:pStyle w:val="SingleTxtG"/>
      </w:pPr>
      <w:r>
        <w:t>3.</w:t>
      </w:r>
      <w:r>
        <w:tab/>
        <w:t>The Informal Group submit</w:t>
      </w:r>
      <w:r w:rsidR="00ED34AE">
        <w:t xml:space="preserve">ted </w:t>
      </w:r>
      <w:r w:rsidR="00593F64">
        <w:t xml:space="preserve">informal document </w:t>
      </w:r>
      <w:r w:rsidR="00ED34AE">
        <w:t>INF.13</w:t>
      </w:r>
      <w:r w:rsidR="00F2452F">
        <w:t xml:space="preserve"> </w:t>
      </w:r>
      <w:r w:rsidR="00593F64">
        <w:t>of the thirty-fifth session</w:t>
      </w:r>
      <w:r w:rsidR="00F2452F">
        <w:t xml:space="preserve"> </w:t>
      </w:r>
      <w:r w:rsidR="00B242AD">
        <w:t>for</w:t>
      </w:r>
      <w:r>
        <w:t xml:space="preserve"> a </w:t>
      </w:r>
      <w:r w:rsidR="00192AC0">
        <w:t>fi</w:t>
      </w:r>
      <w:r w:rsidR="008E750E">
        <w:t>r</w:t>
      </w:r>
      <w:r w:rsidR="00192AC0">
        <w:t xml:space="preserve">st </w:t>
      </w:r>
      <w:r>
        <w:t>discussion about the further handling of these points.</w:t>
      </w:r>
      <w:r w:rsidR="001B0D7C">
        <w:t xml:space="preserve"> As a result of the discussion at the </w:t>
      </w:r>
      <w:r w:rsidR="008E750E">
        <w:t>thirty-fifth session</w:t>
      </w:r>
      <w:r w:rsidR="001B0D7C">
        <w:t xml:space="preserve"> of the AD</w:t>
      </w:r>
      <w:r w:rsidR="00E744AC">
        <w:t xml:space="preserve">N Safety Committee </w:t>
      </w:r>
      <w:r w:rsidR="006562B3">
        <w:t>the Classification Societies submit</w:t>
      </w:r>
      <w:r w:rsidR="008E750E">
        <w:t>ted</w:t>
      </w:r>
      <w:r w:rsidR="006562B3">
        <w:t xml:space="preserve"> the proposals</w:t>
      </w:r>
      <w:r w:rsidR="008E750E" w:rsidRPr="008E750E">
        <w:t xml:space="preserve"> </w:t>
      </w:r>
      <w:r w:rsidR="008E750E">
        <w:t>below</w:t>
      </w:r>
      <w:r w:rsidR="00053F27">
        <w:t>.</w:t>
      </w:r>
    </w:p>
    <w:p w14:paraId="6C98BF74" w14:textId="461899F6" w:rsidR="00A81F92" w:rsidRPr="003E6580" w:rsidRDefault="00C55CAF" w:rsidP="006202BF">
      <w:pPr>
        <w:pStyle w:val="HChG"/>
      </w:pPr>
      <w:r>
        <w:tab/>
      </w:r>
      <w:r w:rsidR="0054351B">
        <w:t>I</w:t>
      </w:r>
      <w:r>
        <w:t>.</w:t>
      </w:r>
      <w:r>
        <w:tab/>
      </w:r>
      <w:r>
        <w:tab/>
      </w:r>
      <w:r w:rsidR="00A81F92" w:rsidRPr="00A81F92">
        <w:t>Pushed convoys and side-by-side formations (Tanker) - ADN 7.2.2.19.3</w:t>
      </w:r>
    </w:p>
    <w:p w14:paraId="183F5F30" w14:textId="0058C476" w:rsidR="00CB259E" w:rsidRDefault="00CB259E" w:rsidP="00CB259E">
      <w:pPr>
        <w:pStyle w:val="SingleTxtG"/>
        <w:rPr>
          <w:lang w:val="en-US"/>
        </w:rPr>
      </w:pPr>
      <w:r>
        <w:t>4.</w:t>
      </w:r>
      <w:r>
        <w:tab/>
        <w:t xml:space="preserve">The required paragraph </w:t>
      </w:r>
      <w:r w:rsidRPr="0017032F">
        <w:rPr>
          <w:lang w:val="en-US"/>
        </w:rPr>
        <w:t xml:space="preserve">9.3.3.0.3 </w:t>
      </w:r>
      <w:r w:rsidR="008E750E">
        <w:rPr>
          <w:lang w:val="en-US"/>
        </w:rPr>
        <w:t>(</w:t>
      </w:r>
      <w:r w:rsidRPr="0017032F">
        <w:rPr>
          <w:lang w:val="en-US"/>
        </w:rPr>
        <w:t xml:space="preserve">d) </w:t>
      </w:r>
      <w:r w:rsidR="00B31CF1">
        <w:rPr>
          <w:lang w:val="en-US"/>
        </w:rPr>
        <w:t xml:space="preserve">mentioned </w:t>
      </w:r>
      <w:r>
        <w:rPr>
          <w:lang w:val="en-US"/>
        </w:rPr>
        <w:t>in 7.2.2.19.3</w:t>
      </w:r>
      <w:r w:rsidRPr="0017032F">
        <w:rPr>
          <w:lang w:val="en-US"/>
        </w:rPr>
        <w:t xml:space="preserve"> does no longer exists in ADN 2019</w:t>
      </w:r>
      <w:r w:rsidR="008E750E">
        <w:rPr>
          <w:lang w:val="en-US"/>
        </w:rPr>
        <w:t>.</w:t>
      </w:r>
    </w:p>
    <w:p w14:paraId="49844D00" w14:textId="27835E34" w:rsidR="00A81F92" w:rsidRPr="001F256D" w:rsidRDefault="00A81F92" w:rsidP="006202BF">
      <w:pPr>
        <w:pStyle w:val="H1G"/>
      </w:pPr>
      <w:r w:rsidRPr="001F256D">
        <w:tab/>
      </w:r>
      <w:r w:rsidRPr="001F256D">
        <w:tab/>
        <w:t>Proposal</w:t>
      </w:r>
    </w:p>
    <w:p w14:paraId="738ADEF9" w14:textId="68758A34" w:rsidR="00A81F92" w:rsidRDefault="00A81F92" w:rsidP="00A81F92">
      <w:pPr>
        <w:pStyle w:val="SingleTxtG"/>
      </w:pPr>
      <w:r>
        <w:t>5.</w:t>
      </w:r>
      <w:r>
        <w:tab/>
      </w:r>
      <w:r w:rsidR="00D865F4">
        <w:t>C</w:t>
      </w:r>
      <w:r w:rsidR="00834D99" w:rsidRPr="00834D99">
        <w:t xml:space="preserve">hange the reference in 7.2.2.19.3 to “9.3.3.0.3 – last paragraph” </w:t>
      </w:r>
      <w:r w:rsidR="00635E7A" w:rsidRPr="00834D99">
        <w:t xml:space="preserve">in the next version of ADN </w:t>
      </w:r>
      <w:r w:rsidR="00834D99" w:rsidRPr="00834D99">
        <w:t xml:space="preserve">because this paragraph has the same content as 9.3.3.0.3 </w:t>
      </w:r>
      <w:r w:rsidR="008E750E">
        <w:t>(</w:t>
      </w:r>
      <w:r w:rsidR="00834D99" w:rsidRPr="00834D99">
        <w:t xml:space="preserve">d) in </w:t>
      </w:r>
      <w:r w:rsidR="00672921">
        <w:t xml:space="preserve">the version of </w:t>
      </w:r>
      <w:r w:rsidR="00834D99" w:rsidRPr="00834D99">
        <w:t>ADN 2017.</w:t>
      </w:r>
    </w:p>
    <w:p w14:paraId="318B72DD" w14:textId="77777777" w:rsidR="0025098B" w:rsidRPr="003E6580" w:rsidRDefault="0025098B" w:rsidP="0025098B">
      <w:pPr>
        <w:pStyle w:val="H1G"/>
      </w:pPr>
      <w:r>
        <w:tab/>
      </w:r>
      <w:r>
        <w:tab/>
      </w:r>
      <w:r>
        <w:rPr>
          <w:bCs/>
        </w:rPr>
        <w:t>Consequences and feasibility</w:t>
      </w:r>
    </w:p>
    <w:p w14:paraId="66779F4C" w14:textId="50B9F4F5" w:rsidR="00CB259E" w:rsidRDefault="00D954DF" w:rsidP="00CB259E">
      <w:pPr>
        <w:pStyle w:val="SingleTxtG"/>
        <w:rPr>
          <w:lang w:val="en-US"/>
        </w:rPr>
      </w:pPr>
      <w:r>
        <w:t>6</w:t>
      </w:r>
      <w:r w:rsidR="00CB259E">
        <w:t>.</w:t>
      </w:r>
      <w:r w:rsidR="00CB259E">
        <w:tab/>
      </w:r>
      <w:r w:rsidR="00CB259E">
        <w:rPr>
          <w:lang w:val="en-US"/>
        </w:rPr>
        <w:t xml:space="preserve">The Safety </w:t>
      </w:r>
      <w:r w:rsidR="007665FA">
        <w:rPr>
          <w:lang w:val="en-US"/>
        </w:rPr>
        <w:t>C</w:t>
      </w:r>
      <w:r w:rsidR="00CB259E">
        <w:rPr>
          <w:lang w:val="en-US"/>
        </w:rPr>
        <w:t>ommittee could discuss how to handle this obviously formal</w:t>
      </w:r>
      <w:r w:rsidR="00CB259E" w:rsidRPr="0017032F">
        <w:rPr>
          <w:lang w:val="en-US"/>
        </w:rPr>
        <w:t xml:space="preserve"> error </w:t>
      </w:r>
      <w:r w:rsidR="00CB259E">
        <w:rPr>
          <w:lang w:val="en-US"/>
        </w:rPr>
        <w:t xml:space="preserve">until a new version of </w:t>
      </w:r>
      <w:r w:rsidR="00CB259E" w:rsidRPr="0017032F">
        <w:rPr>
          <w:lang w:val="en-US"/>
        </w:rPr>
        <w:t xml:space="preserve">ADN </w:t>
      </w:r>
      <w:r w:rsidR="00CB259E">
        <w:rPr>
          <w:lang w:val="en-US"/>
        </w:rPr>
        <w:t>will come into force</w:t>
      </w:r>
      <w:r w:rsidR="00CB259E" w:rsidRPr="0017032F">
        <w:rPr>
          <w:lang w:val="en-US"/>
        </w:rPr>
        <w:t>.</w:t>
      </w:r>
    </w:p>
    <w:p w14:paraId="1C784C16" w14:textId="274D7209" w:rsidR="00C902C5" w:rsidRPr="003E6580" w:rsidRDefault="00C902C5" w:rsidP="006202BF">
      <w:pPr>
        <w:pStyle w:val="HChG"/>
      </w:pPr>
      <w:r>
        <w:tab/>
      </w:r>
      <w:r w:rsidR="0054351B">
        <w:t>II</w:t>
      </w:r>
      <w:r>
        <w:t>.</w:t>
      </w:r>
      <w:r>
        <w:tab/>
      </w:r>
      <w:r>
        <w:tab/>
      </w:r>
      <w:r w:rsidRPr="00A81F92">
        <w:t>Pushed convoys and side-by-side formations (Tanker) - ADN 7.2.2.19.3</w:t>
      </w:r>
    </w:p>
    <w:p w14:paraId="745DDECE" w14:textId="54195A5C" w:rsidR="00633C0C" w:rsidRDefault="00D954DF" w:rsidP="00CB259E">
      <w:pPr>
        <w:pStyle w:val="SingleTxtG"/>
        <w:rPr>
          <w:lang w:val="en-US"/>
        </w:rPr>
      </w:pPr>
      <w:r>
        <w:t>7</w:t>
      </w:r>
      <w:r w:rsidR="00CB259E">
        <w:t>.</w:t>
      </w:r>
      <w:r w:rsidR="00CB259E">
        <w:tab/>
      </w:r>
      <w:r w:rsidR="00CB259E" w:rsidRPr="00CC462C">
        <w:rPr>
          <w:lang w:val="en-US"/>
        </w:rPr>
        <w:t>Th</w:t>
      </w:r>
      <w:r w:rsidR="00CB259E">
        <w:rPr>
          <w:lang w:val="en-US"/>
        </w:rPr>
        <w:t>e</w:t>
      </w:r>
      <w:r w:rsidR="00CB259E" w:rsidRPr="00CC462C">
        <w:rPr>
          <w:lang w:val="en-US"/>
        </w:rPr>
        <w:t xml:space="preserve"> </w:t>
      </w:r>
      <w:r w:rsidR="008817EE">
        <w:rPr>
          <w:lang w:val="en-US"/>
        </w:rPr>
        <w:t xml:space="preserve">required </w:t>
      </w:r>
      <w:r w:rsidR="00CB259E" w:rsidRPr="00CC462C">
        <w:rPr>
          <w:lang w:val="en-US"/>
        </w:rPr>
        <w:t xml:space="preserve">paragraph 9.3.3.10.2 </w:t>
      </w:r>
      <w:r w:rsidR="007665FA">
        <w:rPr>
          <w:lang w:val="en-US"/>
        </w:rPr>
        <w:t xml:space="preserve">mentioned </w:t>
      </w:r>
      <w:r w:rsidR="008817EE">
        <w:rPr>
          <w:lang w:val="en-US"/>
        </w:rPr>
        <w:t xml:space="preserve">in </w:t>
      </w:r>
      <w:r w:rsidR="00C6051C">
        <w:rPr>
          <w:lang w:val="en-US"/>
        </w:rPr>
        <w:t xml:space="preserve">7.2.2.19.3 </w:t>
      </w:r>
      <w:r w:rsidR="00CB259E" w:rsidRPr="00CC462C">
        <w:rPr>
          <w:lang w:val="en-US"/>
        </w:rPr>
        <w:t xml:space="preserve">is not applicable to vessels </w:t>
      </w:r>
      <w:r w:rsidR="00CB259E">
        <w:rPr>
          <w:lang w:val="en-US"/>
        </w:rPr>
        <w:t>used for propulsion</w:t>
      </w:r>
      <w:r w:rsidR="00CB259E" w:rsidRPr="00CC462C">
        <w:rPr>
          <w:lang w:val="en-US"/>
        </w:rPr>
        <w:t xml:space="preserve">, e.g. push boats, </w:t>
      </w:r>
      <w:r w:rsidR="00CB259E">
        <w:rPr>
          <w:lang w:val="en-US"/>
        </w:rPr>
        <w:t>because this paragraph</w:t>
      </w:r>
      <w:r w:rsidR="00CB259E" w:rsidRPr="00CC462C">
        <w:rPr>
          <w:lang w:val="en-US"/>
        </w:rPr>
        <w:t xml:space="preserve"> deals with the protective </w:t>
      </w:r>
      <w:proofErr w:type="spellStart"/>
      <w:r w:rsidR="00CB259E" w:rsidRPr="00CC462C">
        <w:rPr>
          <w:lang w:val="en-US"/>
        </w:rPr>
        <w:t>coaming</w:t>
      </w:r>
      <w:proofErr w:type="spellEnd"/>
      <w:r w:rsidR="00CB259E" w:rsidRPr="00CC462C">
        <w:rPr>
          <w:lang w:val="en-US"/>
        </w:rPr>
        <w:t xml:space="preserve"> above the cargo tank bulkheads and normally such coaming in accordance with 9.3.3.10.2 </w:t>
      </w:r>
      <w:r w:rsidR="00CB259E">
        <w:rPr>
          <w:lang w:val="en-US"/>
        </w:rPr>
        <w:t xml:space="preserve">cannot be arranged </w:t>
      </w:r>
      <w:r w:rsidR="00CB259E" w:rsidRPr="00CC462C">
        <w:rPr>
          <w:lang w:val="en-US"/>
        </w:rPr>
        <w:t xml:space="preserve">on </w:t>
      </w:r>
      <w:r w:rsidR="00CB259E">
        <w:rPr>
          <w:lang w:val="en-US"/>
        </w:rPr>
        <w:t xml:space="preserve">a </w:t>
      </w:r>
      <w:r w:rsidR="00CB259E" w:rsidRPr="00CC462C">
        <w:rPr>
          <w:lang w:val="en-US"/>
        </w:rPr>
        <w:t>push boat</w:t>
      </w:r>
      <w:r w:rsidR="00882406">
        <w:rPr>
          <w:lang w:val="en-US"/>
        </w:rPr>
        <w:t xml:space="preserve">. </w:t>
      </w:r>
      <w:r w:rsidR="00F47537">
        <w:rPr>
          <w:lang w:val="en-US"/>
        </w:rPr>
        <w:t>A cargo ta</w:t>
      </w:r>
      <w:r w:rsidR="00482190">
        <w:rPr>
          <w:lang w:val="en-US"/>
        </w:rPr>
        <w:t>nk</w:t>
      </w:r>
      <w:r w:rsidR="00D143B7">
        <w:rPr>
          <w:lang w:val="en-US"/>
        </w:rPr>
        <w:t xml:space="preserve"> bulkhead</w:t>
      </w:r>
      <w:r w:rsidR="00CB259E" w:rsidRPr="00CC462C">
        <w:rPr>
          <w:lang w:val="en-US"/>
        </w:rPr>
        <w:t xml:space="preserve"> does not exist </w:t>
      </w:r>
      <w:r w:rsidR="00DE3AE8">
        <w:rPr>
          <w:lang w:val="en-US"/>
        </w:rPr>
        <w:t>at</w:t>
      </w:r>
      <w:r w:rsidR="00DE3AE8" w:rsidRPr="00CC462C">
        <w:rPr>
          <w:lang w:val="en-US"/>
        </w:rPr>
        <w:t xml:space="preserve"> th</w:t>
      </w:r>
      <w:r w:rsidR="00DE3AE8">
        <w:rPr>
          <w:lang w:val="en-US"/>
        </w:rPr>
        <w:t>is kind of</w:t>
      </w:r>
      <w:r w:rsidR="00DE3AE8" w:rsidRPr="00CC462C">
        <w:rPr>
          <w:lang w:val="en-US"/>
        </w:rPr>
        <w:t xml:space="preserve"> vessels </w:t>
      </w:r>
      <w:r w:rsidR="00CB259E" w:rsidRPr="00CC462C">
        <w:rPr>
          <w:lang w:val="en-US"/>
        </w:rPr>
        <w:t xml:space="preserve">and </w:t>
      </w:r>
      <w:r w:rsidR="00DE4354">
        <w:rPr>
          <w:lang w:val="en-US"/>
        </w:rPr>
        <w:t>the</w:t>
      </w:r>
      <w:r w:rsidR="00CB259E" w:rsidRPr="00CC462C">
        <w:rPr>
          <w:lang w:val="en-US"/>
        </w:rPr>
        <w:t xml:space="preserve"> coaming makes no sense</w:t>
      </w:r>
      <w:r w:rsidR="00DE4354">
        <w:rPr>
          <w:lang w:val="en-US"/>
        </w:rPr>
        <w:t xml:space="preserve"> because liquids c</w:t>
      </w:r>
      <w:r w:rsidR="000B46E1">
        <w:rPr>
          <w:lang w:val="en-US"/>
        </w:rPr>
        <w:t xml:space="preserve">annot run directly </w:t>
      </w:r>
      <w:r w:rsidR="00B452E4">
        <w:rPr>
          <w:lang w:val="en-US"/>
        </w:rPr>
        <w:t>on</w:t>
      </w:r>
      <w:r w:rsidR="000B46E1">
        <w:rPr>
          <w:lang w:val="en-US"/>
        </w:rPr>
        <w:t xml:space="preserve"> the deck of this vessel</w:t>
      </w:r>
      <w:r w:rsidR="00CB259E" w:rsidRPr="00CC462C">
        <w:rPr>
          <w:lang w:val="en-US"/>
        </w:rPr>
        <w:t>.</w:t>
      </w:r>
    </w:p>
    <w:p w14:paraId="0B4B0AF0" w14:textId="27314F8C" w:rsidR="0080395C" w:rsidRDefault="0080395C" w:rsidP="0080395C">
      <w:pPr>
        <w:pStyle w:val="SingleTxtG"/>
        <w:rPr>
          <w:lang w:val="en-US"/>
        </w:rPr>
      </w:pPr>
      <w:r>
        <w:t>8.</w:t>
      </w:r>
      <w:r>
        <w:tab/>
      </w:r>
      <w:r w:rsidRPr="00CC462C">
        <w:rPr>
          <w:lang w:val="en-US"/>
        </w:rPr>
        <w:t>In ADN 2017</w:t>
      </w:r>
      <w:r>
        <w:rPr>
          <w:lang w:val="en-US"/>
        </w:rPr>
        <w:t xml:space="preserve"> paragraph</w:t>
      </w:r>
      <w:r w:rsidRPr="00CC462C">
        <w:rPr>
          <w:lang w:val="en-US"/>
        </w:rPr>
        <w:t xml:space="preserve"> 9.3.3.10.2 </w:t>
      </w:r>
      <w:r w:rsidR="007665FA">
        <w:rPr>
          <w:lang w:val="en-US"/>
        </w:rPr>
        <w:t>deals</w:t>
      </w:r>
      <w:r w:rsidRPr="00CC462C">
        <w:rPr>
          <w:lang w:val="en-US"/>
        </w:rPr>
        <w:t xml:space="preserve"> with the coaming heights of openings outside the cargo area</w:t>
      </w:r>
      <w:r>
        <w:rPr>
          <w:lang w:val="en-US"/>
        </w:rPr>
        <w:t>:</w:t>
      </w:r>
    </w:p>
    <w:p w14:paraId="58EF53DB" w14:textId="77777777" w:rsidR="0080395C" w:rsidRPr="00684C28" w:rsidRDefault="0080395C" w:rsidP="0080395C">
      <w:pPr>
        <w:pStyle w:val="SingleTxtG"/>
        <w:rPr>
          <w:lang w:val="en-US"/>
        </w:rPr>
      </w:pPr>
      <w:r>
        <w:rPr>
          <w:lang w:val="en-US"/>
        </w:rPr>
        <w:t>“</w:t>
      </w:r>
      <w:r w:rsidRPr="00684C28">
        <w:rPr>
          <w:lang w:val="en-US"/>
        </w:rPr>
        <w:t>Outside the cargo area, the lower edges of door-openings in the sidewalls of superstructures</w:t>
      </w:r>
      <w:r>
        <w:rPr>
          <w:lang w:val="en-US"/>
        </w:rPr>
        <w:t xml:space="preserve"> </w:t>
      </w:r>
      <w:r w:rsidRPr="00684C28">
        <w:rPr>
          <w:lang w:val="en-US"/>
        </w:rPr>
        <w:t>and the coaming of access hatches to under-deck spaces shall have a height of not less than</w:t>
      </w:r>
      <w:r>
        <w:rPr>
          <w:lang w:val="en-US"/>
        </w:rPr>
        <w:t xml:space="preserve"> </w:t>
      </w:r>
      <w:r w:rsidRPr="00684C28">
        <w:rPr>
          <w:lang w:val="en-US"/>
        </w:rPr>
        <w:t>0.50 m above the deck.</w:t>
      </w:r>
    </w:p>
    <w:p w14:paraId="7070DB03" w14:textId="77777777" w:rsidR="0080395C" w:rsidRDefault="0080395C" w:rsidP="0080395C">
      <w:pPr>
        <w:pStyle w:val="SingleTxtG"/>
        <w:rPr>
          <w:lang w:val="en-US"/>
        </w:rPr>
      </w:pPr>
      <w:r w:rsidRPr="00684C28">
        <w:rPr>
          <w:lang w:val="en-US"/>
        </w:rPr>
        <w:t>This requirement need not be complied with if the wall of the superstructures facing the</w:t>
      </w:r>
      <w:r>
        <w:rPr>
          <w:lang w:val="en-US"/>
        </w:rPr>
        <w:t xml:space="preserve"> </w:t>
      </w:r>
      <w:r w:rsidRPr="00684C28">
        <w:rPr>
          <w:lang w:val="en-US"/>
        </w:rPr>
        <w:t>cargo area extends from one side of the ship to the other and has doors the sills of which</w:t>
      </w:r>
      <w:r>
        <w:rPr>
          <w:lang w:val="en-US"/>
        </w:rPr>
        <w:t xml:space="preserve"> </w:t>
      </w:r>
      <w:r w:rsidRPr="00684C28">
        <w:rPr>
          <w:lang w:val="en-US"/>
        </w:rPr>
        <w:t>have a height of not less than 0.50 m above the deck. The height of this wall shall be not less</w:t>
      </w:r>
      <w:r>
        <w:rPr>
          <w:lang w:val="en-US"/>
        </w:rPr>
        <w:t xml:space="preserve"> </w:t>
      </w:r>
      <w:r w:rsidRPr="00684C28">
        <w:rPr>
          <w:lang w:val="en-US"/>
        </w:rPr>
        <w:t>than 2.00 m. In this case, the lower edges of door-openings in the sidewalls of</w:t>
      </w:r>
      <w:r>
        <w:rPr>
          <w:lang w:val="en-US"/>
        </w:rPr>
        <w:t xml:space="preserve"> </w:t>
      </w:r>
      <w:r w:rsidRPr="00684C28">
        <w:rPr>
          <w:lang w:val="en-US"/>
        </w:rPr>
        <w:t>superstructures and the coamings of access hatches behind this wall shall have a height of</w:t>
      </w:r>
      <w:r>
        <w:rPr>
          <w:lang w:val="en-US"/>
        </w:rPr>
        <w:t xml:space="preserve"> </w:t>
      </w:r>
      <w:r w:rsidRPr="00684C28">
        <w:rPr>
          <w:lang w:val="en-US"/>
        </w:rPr>
        <w:t>not less than 0.10 m above the deck. The sills of engine room doors and the coamings of its</w:t>
      </w:r>
      <w:r>
        <w:rPr>
          <w:lang w:val="en-US"/>
        </w:rPr>
        <w:t xml:space="preserve"> </w:t>
      </w:r>
      <w:r w:rsidRPr="00684C28">
        <w:rPr>
          <w:lang w:val="en-US"/>
        </w:rPr>
        <w:t>access hatches shall, however, always have a height of not less than 0.50 m.</w:t>
      </w:r>
      <w:r>
        <w:rPr>
          <w:lang w:val="en-US"/>
        </w:rPr>
        <w:t>”</w:t>
      </w:r>
    </w:p>
    <w:p w14:paraId="348EF5DB" w14:textId="74EFCC53" w:rsidR="0080395C" w:rsidRDefault="00B64C75" w:rsidP="0080395C">
      <w:pPr>
        <w:pStyle w:val="SingleTxtG"/>
        <w:rPr>
          <w:lang w:val="en-US"/>
        </w:rPr>
      </w:pPr>
      <w:r>
        <w:rPr>
          <w:lang w:val="en-US"/>
        </w:rPr>
        <w:t>9</w:t>
      </w:r>
      <w:r w:rsidR="0080395C">
        <w:rPr>
          <w:lang w:val="en-US"/>
        </w:rPr>
        <w:t>.</w:t>
      </w:r>
      <w:r w:rsidR="0080395C">
        <w:rPr>
          <w:lang w:val="en-US"/>
        </w:rPr>
        <w:tab/>
        <w:t>A similar paragraph does not exist in ADN 2019, but the above-mentioned</w:t>
      </w:r>
      <w:r w:rsidR="0080395C" w:rsidRPr="00CC462C">
        <w:rPr>
          <w:lang w:val="en-US"/>
        </w:rPr>
        <w:t xml:space="preserve"> requirement</w:t>
      </w:r>
      <w:r w:rsidR="0080395C">
        <w:rPr>
          <w:lang w:val="en-US"/>
        </w:rPr>
        <w:t>s</w:t>
      </w:r>
      <w:r w:rsidR="0080395C" w:rsidRPr="00CC462C">
        <w:rPr>
          <w:lang w:val="en-US"/>
        </w:rPr>
        <w:t xml:space="preserve"> </w:t>
      </w:r>
      <w:r w:rsidR="0080395C">
        <w:rPr>
          <w:lang w:val="en-US"/>
        </w:rPr>
        <w:t xml:space="preserve">are partly contained </w:t>
      </w:r>
      <w:r w:rsidR="0080395C" w:rsidRPr="00CC462C">
        <w:rPr>
          <w:lang w:val="en-US"/>
        </w:rPr>
        <w:t>in</w:t>
      </w:r>
      <w:r w:rsidR="0080395C">
        <w:rPr>
          <w:lang w:val="en-US"/>
        </w:rPr>
        <w:t xml:space="preserve"> paragraph</w:t>
      </w:r>
      <w:r w:rsidR="0080395C" w:rsidRPr="00CC462C">
        <w:rPr>
          <w:lang w:val="en-US"/>
        </w:rPr>
        <w:t xml:space="preserve"> 9.3.3.10.4</w:t>
      </w:r>
      <w:r w:rsidR="0080395C">
        <w:rPr>
          <w:lang w:val="en-US"/>
        </w:rPr>
        <w:t xml:space="preserve"> of ADN 2019:</w:t>
      </w:r>
    </w:p>
    <w:p w14:paraId="6B7A9E75" w14:textId="77777777" w:rsidR="0080395C" w:rsidRDefault="0080395C" w:rsidP="0080395C">
      <w:pPr>
        <w:pStyle w:val="SingleTxtG"/>
        <w:rPr>
          <w:lang w:val="en-US"/>
        </w:rPr>
      </w:pPr>
      <w:r>
        <w:rPr>
          <w:lang w:val="en-US"/>
        </w:rPr>
        <w:t>“</w:t>
      </w:r>
      <w:r w:rsidRPr="00AD4693">
        <w:rPr>
          <w:lang w:val="en-US"/>
        </w:rPr>
        <w:t xml:space="preserve">On deck, the lower edges of door-openings in the sidewalls of superstructures and the sills of hatches and ventilation openings of premises located under the deck shall have a height of </w:t>
      </w:r>
      <w:r w:rsidRPr="00AD4693">
        <w:rPr>
          <w:lang w:val="en-US"/>
        </w:rPr>
        <w:lastRenderedPageBreak/>
        <w:t>not less than 0.50 above the deck. This requirement does not apply to access openings to double-hull spaces and double bottoms.</w:t>
      </w:r>
      <w:r>
        <w:rPr>
          <w:lang w:val="en-US"/>
        </w:rPr>
        <w:t>”</w:t>
      </w:r>
    </w:p>
    <w:p w14:paraId="50397FB8" w14:textId="77777777" w:rsidR="00633C0C" w:rsidRPr="001F256D" w:rsidRDefault="00633C0C" w:rsidP="006202BF">
      <w:pPr>
        <w:pStyle w:val="H1G"/>
      </w:pPr>
      <w:r w:rsidRPr="001F256D">
        <w:tab/>
      </w:r>
      <w:r w:rsidRPr="001F256D">
        <w:tab/>
        <w:t>Proposal</w:t>
      </w:r>
    </w:p>
    <w:p w14:paraId="35353A31" w14:textId="04CAC84C" w:rsidR="00B64C75" w:rsidRPr="00EB3E3B" w:rsidRDefault="00B64C75" w:rsidP="00B64C75">
      <w:pPr>
        <w:pStyle w:val="SingleTxtG"/>
      </w:pPr>
      <w:r>
        <w:rPr>
          <w:lang w:val="en-US"/>
        </w:rPr>
        <w:t>10</w:t>
      </w:r>
      <w:r w:rsidR="00844AF7">
        <w:rPr>
          <w:lang w:val="en-US"/>
        </w:rPr>
        <w:t>.</w:t>
      </w:r>
      <w:r w:rsidR="00844AF7">
        <w:rPr>
          <w:lang w:val="en-US"/>
        </w:rPr>
        <w:tab/>
      </w:r>
      <w:r>
        <w:rPr>
          <w:lang w:val="en-US"/>
        </w:rPr>
        <w:t>Replace the reference to 9.3.3.10.2 by 9.3.3.10.4 in 7.2.2.19.3 in the next version of ADN</w:t>
      </w:r>
      <w:r w:rsidRPr="0017032F">
        <w:rPr>
          <w:lang w:val="en-US"/>
        </w:rPr>
        <w:t>.</w:t>
      </w:r>
    </w:p>
    <w:p w14:paraId="033E6785" w14:textId="77777777" w:rsidR="005D5ACB" w:rsidRPr="006202BF" w:rsidRDefault="005D5ACB" w:rsidP="006202BF">
      <w:pPr>
        <w:pStyle w:val="H1G"/>
      </w:pPr>
      <w:r w:rsidRPr="006202BF">
        <w:tab/>
      </w:r>
      <w:r w:rsidRPr="006202BF">
        <w:tab/>
      </w:r>
      <w:bookmarkStart w:id="0" w:name="_Hlk21068708"/>
      <w:r w:rsidRPr="006202BF">
        <w:t>Consequences and feasibility</w:t>
      </w:r>
      <w:bookmarkEnd w:id="0"/>
    </w:p>
    <w:p w14:paraId="74A77DA7" w14:textId="186CC14A" w:rsidR="00CB259E" w:rsidRPr="005271D7" w:rsidRDefault="005271D7" w:rsidP="005271D7">
      <w:pPr>
        <w:pStyle w:val="SingleTxtG"/>
      </w:pPr>
      <w:r>
        <w:t>11</w:t>
      </w:r>
      <w:r w:rsidR="00CB259E" w:rsidRPr="005271D7">
        <w:t>.</w:t>
      </w:r>
      <w:r w:rsidR="00CB259E" w:rsidRPr="005271D7">
        <w:tab/>
        <w:t xml:space="preserve">The Safety </w:t>
      </w:r>
      <w:r w:rsidR="007665FA">
        <w:t>C</w:t>
      </w:r>
      <w:r w:rsidR="00CB259E" w:rsidRPr="005271D7">
        <w:t>ommittee could discuss how to handle this reference until a new version of ADN will come into force.</w:t>
      </w:r>
    </w:p>
    <w:p w14:paraId="6B370A15" w14:textId="1F8D983B" w:rsidR="009B5933" w:rsidRPr="005271D7" w:rsidRDefault="00D01339" w:rsidP="005271D7">
      <w:pPr>
        <w:pStyle w:val="SingleTxtG"/>
      </w:pPr>
      <w:r w:rsidRPr="005271D7">
        <w:t>1</w:t>
      </w:r>
      <w:r w:rsidR="005271D7">
        <w:t>2</w:t>
      </w:r>
      <w:r w:rsidRPr="005271D7">
        <w:t>.</w:t>
      </w:r>
      <w:r w:rsidRPr="005271D7">
        <w:tab/>
      </w:r>
      <w:r w:rsidR="00CB259E" w:rsidRPr="005271D7">
        <w:t>I</w:t>
      </w:r>
      <w:r w:rsidR="004D4498" w:rsidRPr="005271D7">
        <w:t>s</w:t>
      </w:r>
      <w:r w:rsidR="00CB259E" w:rsidRPr="005271D7">
        <w:t xml:space="preserve"> i</w:t>
      </w:r>
      <w:r w:rsidR="004D4498" w:rsidRPr="005271D7">
        <w:t>t</w:t>
      </w:r>
      <w:r w:rsidR="00CB259E" w:rsidRPr="005271D7">
        <w:t xml:space="preserve"> allowed to ignore this requirement at ADN renewal surveys and </w:t>
      </w:r>
      <w:r w:rsidR="00FC1924" w:rsidRPr="005271D7">
        <w:t xml:space="preserve">to </w:t>
      </w:r>
      <w:r w:rsidR="00D32CCA">
        <w:t xml:space="preserve">insert </w:t>
      </w:r>
      <w:r w:rsidR="00CB259E" w:rsidRPr="005271D7">
        <w:t>a remark</w:t>
      </w:r>
      <w:r w:rsidR="001B06A4" w:rsidRPr="005271D7">
        <w:t xml:space="preserve"> </w:t>
      </w:r>
      <w:r w:rsidR="00D32CCA">
        <w:t>into</w:t>
      </w:r>
      <w:r w:rsidR="00CB259E" w:rsidRPr="005271D7">
        <w:t xml:space="preserve"> the certificate of approval that this paragraph is not applicable for the </w:t>
      </w:r>
      <w:r w:rsidR="00AC7B09" w:rsidRPr="005271D7">
        <w:t>vessel?</w:t>
      </w:r>
      <w:r w:rsidR="00CB259E" w:rsidRPr="005271D7">
        <w:t xml:space="preserve"> </w:t>
      </w:r>
    </w:p>
    <w:p w14:paraId="3EE0DC23" w14:textId="12E5C8A7" w:rsidR="002A08A3" w:rsidRPr="003E6580" w:rsidRDefault="002A08A3" w:rsidP="006202BF">
      <w:pPr>
        <w:pStyle w:val="HChG"/>
        <w:rPr>
          <w:bCs/>
        </w:rPr>
      </w:pPr>
      <w:r>
        <w:tab/>
      </w:r>
      <w:r w:rsidR="0054351B">
        <w:t>III</w:t>
      </w:r>
      <w:r>
        <w:t>.</w:t>
      </w:r>
      <w:r>
        <w:tab/>
      </w:r>
      <w:r>
        <w:tab/>
      </w:r>
      <w:r w:rsidR="00A01EFD">
        <w:rPr>
          <w:lang w:val="en-US"/>
        </w:rPr>
        <w:t>T</w:t>
      </w:r>
      <w:r w:rsidR="005327A4">
        <w:rPr>
          <w:lang w:val="en-US"/>
        </w:rPr>
        <w:t>ransitional provision for 7.2.2.19.</w:t>
      </w:r>
      <w:r w:rsidR="004E3C94">
        <w:rPr>
          <w:lang w:val="en-US"/>
        </w:rPr>
        <w:t>3</w:t>
      </w:r>
    </w:p>
    <w:p w14:paraId="28DB9A83" w14:textId="34A199A5" w:rsidR="000A7667" w:rsidRDefault="00CB259E" w:rsidP="00CB259E">
      <w:pPr>
        <w:pStyle w:val="SingleTxtG"/>
        <w:rPr>
          <w:lang w:val="en-US"/>
        </w:rPr>
      </w:pPr>
      <w:r>
        <w:t>1</w:t>
      </w:r>
      <w:r w:rsidR="005271D7">
        <w:t>3</w:t>
      </w:r>
      <w:r>
        <w:t>.</w:t>
      </w:r>
      <w:r>
        <w:tab/>
      </w:r>
      <w:r w:rsidR="009C69BB">
        <w:rPr>
          <w:lang w:val="en-US"/>
        </w:rPr>
        <w:t>The</w:t>
      </w:r>
      <w:r>
        <w:rPr>
          <w:lang w:val="en-US"/>
        </w:rPr>
        <w:t xml:space="preserve"> transitional provision for 7.2.2.19.</w:t>
      </w:r>
      <w:r w:rsidR="003B20E5">
        <w:rPr>
          <w:lang w:val="en-US"/>
        </w:rPr>
        <w:t>4</w:t>
      </w:r>
      <w:r>
        <w:rPr>
          <w:lang w:val="en-US"/>
        </w:rPr>
        <w:t xml:space="preserve"> – “Vessels of the formation for which explosion protection is required” </w:t>
      </w:r>
      <w:r w:rsidR="00F26615">
        <w:rPr>
          <w:lang w:val="en-US"/>
        </w:rPr>
        <w:t xml:space="preserve">contains </w:t>
      </w:r>
      <w:r w:rsidR="00784023">
        <w:rPr>
          <w:lang w:val="en-US"/>
        </w:rPr>
        <w:t>als</w:t>
      </w:r>
      <w:r w:rsidR="00CB25D0">
        <w:rPr>
          <w:lang w:val="en-US"/>
        </w:rPr>
        <w:t xml:space="preserve">o </w:t>
      </w:r>
      <w:r w:rsidR="00784023">
        <w:rPr>
          <w:lang w:val="en-US"/>
        </w:rPr>
        <w:t xml:space="preserve">transitional provisions for </w:t>
      </w:r>
      <w:r w:rsidR="00F35BF2">
        <w:rPr>
          <w:lang w:val="en-US"/>
        </w:rPr>
        <w:t>vessels used for propulsion</w:t>
      </w:r>
      <w:r w:rsidR="00DF2A0B">
        <w:rPr>
          <w:lang w:val="en-US"/>
        </w:rPr>
        <w:t xml:space="preserve"> and</w:t>
      </w:r>
      <w:r>
        <w:rPr>
          <w:lang w:val="en-US"/>
        </w:rPr>
        <w:t xml:space="preserve"> it seems that the content of this transition</w:t>
      </w:r>
      <w:r w:rsidR="00D32CCA">
        <w:rPr>
          <w:lang w:val="en-US"/>
        </w:rPr>
        <w:t>al</w:t>
      </w:r>
      <w:r>
        <w:rPr>
          <w:lang w:val="en-US"/>
        </w:rPr>
        <w:t xml:space="preserve"> provision obviously handle</w:t>
      </w:r>
      <w:r w:rsidR="00D32CCA">
        <w:rPr>
          <w:lang w:val="en-US"/>
        </w:rPr>
        <w:t>s</w:t>
      </w:r>
      <w:r>
        <w:rPr>
          <w:lang w:val="en-US"/>
        </w:rPr>
        <w:t xml:space="preserve"> with the content of 7.2.2.19.3 </w:t>
      </w:r>
      <w:r w:rsidR="00FF7EEE">
        <w:rPr>
          <w:lang w:val="en-US"/>
        </w:rPr>
        <w:t>which contains the requirements for</w:t>
      </w:r>
      <w:r>
        <w:rPr>
          <w:lang w:val="en-US"/>
        </w:rPr>
        <w:t xml:space="preserve"> vessels used for propulsion.</w:t>
      </w:r>
    </w:p>
    <w:p w14:paraId="1DDD7A15" w14:textId="6E41D36C" w:rsidR="0063178E" w:rsidRDefault="007E6BB2" w:rsidP="0063178E">
      <w:pPr>
        <w:pStyle w:val="SingleTxtG"/>
        <w:rPr>
          <w:lang w:val="en-US"/>
        </w:rPr>
      </w:pPr>
      <w:r>
        <w:rPr>
          <w:lang w:val="en-US"/>
        </w:rPr>
        <w:t>1</w:t>
      </w:r>
      <w:r w:rsidR="005271D7">
        <w:rPr>
          <w:lang w:val="en-US"/>
        </w:rPr>
        <w:t>4</w:t>
      </w:r>
      <w:r>
        <w:rPr>
          <w:lang w:val="en-US"/>
        </w:rPr>
        <w:t>.</w:t>
      </w:r>
      <w:r w:rsidR="00E34FBB">
        <w:rPr>
          <w:lang w:val="en-US"/>
        </w:rPr>
        <w:tab/>
        <w:t xml:space="preserve">With respect to the </w:t>
      </w:r>
      <w:proofErr w:type="gramStart"/>
      <w:r w:rsidR="00D32CCA">
        <w:rPr>
          <w:lang w:val="en-US"/>
        </w:rPr>
        <w:t>above menti</w:t>
      </w:r>
      <w:bookmarkStart w:id="1" w:name="_GoBack"/>
      <w:bookmarkEnd w:id="1"/>
      <w:r w:rsidR="00D32CCA">
        <w:rPr>
          <w:lang w:val="en-US"/>
        </w:rPr>
        <w:t>oned</w:t>
      </w:r>
      <w:proofErr w:type="gramEnd"/>
      <w:r w:rsidR="00D83604">
        <w:rPr>
          <w:lang w:val="en-US"/>
        </w:rPr>
        <w:t xml:space="preserve"> proposals </w:t>
      </w:r>
      <w:r w:rsidR="0063178E">
        <w:rPr>
          <w:lang w:val="en-US"/>
        </w:rPr>
        <w:t>the transitional provision</w:t>
      </w:r>
      <w:r w:rsidR="00121E33">
        <w:rPr>
          <w:lang w:val="en-US"/>
        </w:rPr>
        <w:t xml:space="preserve">s for 9.3.3.0.3 </w:t>
      </w:r>
      <w:r w:rsidR="00240171">
        <w:rPr>
          <w:lang w:val="en-US"/>
        </w:rPr>
        <w:t>(</w:t>
      </w:r>
      <w:r w:rsidR="00121E33">
        <w:rPr>
          <w:lang w:val="en-US"/>
        </w:rPr>
        <w:t>d)</w:t>
      </w:r>
      <w:r w:rsidR="00631AE0">
        <w:rPr>
          <w:lang w:val="en-US"/>
        </w:rPr>
        <w:t xml:space="preserve"> and</w:t>
      </w:r>
      <w:r w:rsidR="0063178E" w:rsidRPr="000666F6">
        <w:rPr>
          <w:lang w:val="en-US"/>
        </w:rPr>
        <w:t xml:space="preserve"> </w:t>
      </w:r>
      <w:r w:rsidR="0063178E">
        <w:rPr>
          <w:lang w:val="en-US"/>
        </w:rPr>
        <w:t xml:space="preserve">9.3.3.10.2 </w:t>
      </w:r>
      <w:r w:rsidR="00631AE0">
        <w:rPr>
          <w:lang w:val="en-US"/>
        </w:rPr>
        <w:t>have to be adapted.</w:t>
      </w:r>
    </w:p>
    <w:p w14:paraId="3CA3BFC3" w14:textId="01F7EA88" w:rsidR="00365C9C" w:rsidRPr="005271D7" w:rsidRDefault="00D937D8" w:rsidP="006202BF">
      <w:pPr>
        <w:pStyle w:val="H1G"/>
      </w:pPr>
      <w:r w:rsidRPr="005271D7">
        <w:tab/>
      </w:r>
      <w:r w:rsidR="00365C9C" w:rsidRPr="005271D7">
        <w:tab/>
        <w:t>Proposal</w:t>
      </w:r>
    </w:p>
    <w:p w14:paraId="5A9CE741" w14:textId="657DE843" w:rsidR="00CB259E" w:rsidRDefault="0042127E" w:rsidP="00CB259E">
      <w:pPr>
        <w:pStyle w:val="SingleTxtG"/>
        <w:rPr>
          <w:lang w:val="en-US"/>
        </w:rPr>
      </w:pPr>
      <w:r>
        <w:rPr>
          <w:lang w:val="en-US"/>
        </w:rPr>
        <w:t>1</w:t>
      </w:r>
      <w:r w:rsidR="005271D7">
        <w:rPr>
          <w:lang w:val="en-US"/>
        </w:rPr>
        <w:t>5</w:t>
      </w:r>
      <w:r>
        <w:rPr>
          <w:lang w:val="en-US"/>
        </w:rPr>
        <w:t>.</w:t>
      </w:r>
      <w:r>
        <w:rPr>
          <w:lang w:val="en-US"/>
        </w:rPr>
        <w:tab/>
      </w:r>
      <w:r w:rsidR="00631AE0">
        <w:rPr>
          <w:lang w:val="en-US"/>
        </w:rPr>
        <w:t>Adapt</w:t>
      </w:r>
      <w:r w:rsidR="00CB259E">
        <w:rPr>
          <w:lang w:val="en-US"/>
        </w:rPr>
        <w:t xml:space="preserve"> the transition</w:t>
      </w:r>
      <w:r w:rsidR="00D32CCA">
        <w:rPr>
          <w:lang w:val="en-US"/>
        </w:rPr>
        <w:t>al</w:t>
      </w:r>
      <w:r w:rsidR="00CB259E">
        <w:rPr>
          <w:lang w:val="en-US"/>
        </w:rPr>
        <w:t xml:space="preserve"> provision table </w:t>
      </w:r>
      <w:r w:rsidR="00D32CCA">
        <w:rPr>
          <w:lang w:val="en-US"/>
        </w:rPr>
        <w:t>in</w:t>
      </w:r>
      <w:r w:rsidR="00CB259E">
        <w:rPr>
          <w:lang w:val="en-US"/>
        </w:rPr>
        <w:t xml:space="preserve"> 7.2.2.19.3 </w:t>
      </w:r>
      <w:r w:rsidR="00425C6E">
        <w:rPr>
          <w:lang w:val="en-US"/>
        </w:rPr>
        <w:t>as shown below</w:t>
      </w:r>
      <w:r w:rsidR="00D32CCA">
        <w:rPr>
          <w:lang w:val="en-US"/>
        </w:rPr>
        <w:t>:</w:t>
      </w:r>
    </w:p>
    <w:tbl>
      <w:tblPr>
        <w:tblStyle w:val="TableNormal1"/>
        <w:tblW w:w="9848" w:type="dxa"/>
        <w:tblInd w:w="60" w:type="dxa"/>
        <w:tblLayout w:type="fixed"/>
        <w:tblLook w:val="01E0" w:firstRow="1" w:lastRow="1" w:firstColumn="1" w:lastColumn="1" w:noHBand="0" w:noVBand="0"/>
      </w:tblPr>
      <w:tblGrid>
        <w:gridCol w:w="1069"/>
        <w:gridCol w:w="2825"/>
        <w:gridCol w:w="5954"/>
      </w:tblGrid>
      <w:tr w:rsidR="000332B3" w:rsidRPr="007268C5" w14:paraId="3B0FDF9C" w14:textId="77777777" w:rsidTr="00240171">
        <w:trPr>
          <w:trHeight w:hRule="exact" w:val="6066"/>
        </w:trPr>
        <w:tc>
          <w:tcPr>
            <w:tcW w:w="1069" w:type="dxa"/>
            <w:tcBorders>
              <w:top w:val="single" w:sz="4" w:space="0" w:color="1F1F1F"/>
              <w:left w:val="single" w:sz="4" w:space="0" w:color="1F1F1F"/>
              <w:bottom w:val="single" w:sz="4" w:space="0" w:color="1F1F1F"/>
              <w:right w:val="single" w:sz="4" w:space="0" w:color="1F1F1F"/>
            </w:tcBorders>
          </w:tcPr>
          <w:p w14:paraId="6477A59A" w14:textId="77777777" w:rsidR="005636CC" w:rsidRPr="00BB2195" w:rsidRDefault="005636CC" w:rsidP="007268C5">
            <w:pPr>
              <w:pStyle w:val="TableParagraph"/>
              <w:spacing w:before="57"/>
              <w:ind w:left="120"/>
              <w:rPr>
                <w:rFonts w:ascii="Times New Roman" w:hAnsi="Times New Roman"/>
                <w:color w:val="5D5D5E"/>
                <w:sz w:val="20"/>
                <w:szCs w:val="20"/>
              </w:rPr>
            </w:pPr>
            <w:r w:rsidRPr="00BB2195">
              <w:rPr>
                <w:rFonts w:ascii="Times New Roman" w:hAnsi="Times New Roman"/>
                <w:sz w:val="20"/>
                <w:szCs w:val="20"/>
              </w:rPr>
              <w:t>7.2.2.19.3</w:t>
            </w:r>
          </w:p>
        </w:tc>
        <w:tc>
          <w:tcPr>
            <w:tcW w:w="2825" w:type="dxa"/>
            <w:tcBorders>
              <w:top w:val="single" w:sz="4" w:space="0" w:color="1F1F1F"/>
              <w:left w:val="single" w:sz="4" w:space="0" w:color="1F1F1F"/>
              <w:bottom w:val="single" w:sz="4" w:space="0" w:color="1F1F1F"/>
              <w:right w:val="single" w:sz="4" w:space="0" w:color="1F1F1F"/>
            </w:tcBorders>
          </w:tcPr>
          <w:p w14:paraId="280086FD" w14:textId="77777777" w:rsidR="00D92271" w:rsidRDefault="005636CC" w:rsidP="007268C5">
            <w:pPr>
              <w:pStyle w:val="TableParagraph"/>
              <w:spacing w:before="57"/>
              <w:ind w:left="120"/>
              <w:rPr>
                <w:rFonts w:ascii="Times New Roman" w:hAnsi="Times New Roman"/>
                <w:sz w:val="20"/>
                <w:szCs w:val="20"/>
              </w:rPr>
            </w:pPr>
            <w:r w:rsidRPr="00BB2195">
              <w:rPr>
                <w:rFonts w:ascii="Times New Roman" w:hAnsi="Times New Roman"/>
                <w:sz w:val="20"/>
                <w:szCs w:val="20"/>
              </w:rPr>
              <w:t>Vessels used for propulsion</w:t>
            </w:r>
          </w:p>
          <w:p w14:paraId="5D18F4E3" w14:textId="60FEBF5F" w:rsidR="005636CC" w:rsidRPr="00BB2195" w:rsidRDefault="005636CC" w:rsidP="007268C5">
            <w:pPr>
              <w:pStyle w:val="TableParagraph"/>
              <w:spacing w:before="57"/>
              <w:ind w:left="120"/>
              <w:rPr>
                <w:rFonts w:ascii="Times New Roman" w:hAnsi="Times New Roman"/>
                <w:sz w:val="20"/>
                <w:szCs w:val="20"/>
              </w:rPr>
            </w:pPr>
            <w:r w:rsidRPr="00BB2195">
              <w:rPr>
                <w:rFonts w:ascii="Times New Roman" w:hAnsi="Times New Roman"/>
                <w:sz w:val="20"/>
                <w:szCs w:val="20"/>
              </w:rPr>
              <w:t>Adaptation to new provisions</w:t>
            </w:r>
          </w:p>
          <w:p w14:paraId="6E520957" w14:textId="135BF6DB" w:rsidR="005636CC" w:rsidRPr="007268C5" w:rsidRDefault="005636CC" w:rsidP="000769C0">
            <w:pPr>
              <w:pStyle w:val="TableParagraph"/>
              <w:spacing w:before="57"/>
              <w:ind w:left="120"/>
              <w:rPr>
                <w:rFonts w:ascii="Times New Roman"/>
                <w:color w:val="5D5D5E"/>
                <w:w w:val="105"/>
                <w:sz w:val="20"/>
                <w:szCs w:val="20"/>
              </w:rPr>
            </w:pPr>
            <w:r w:rsidRPr="00BB2195">
              <w:rPr>
                <w:rFonts w:ascii="Times New Roman" w:hAnsi="Times New Roman"/>
                <w:sz w:val="20"/>
                <w:szCs w:val="20"/>
              </w:rPr>
              <w:t>Provisions of 9.3.3.12.4,</w:t>
            </w:r>
            <w:r w:rsidR="000769C0">
              <w:rPr>
                <w:rFonts w:ascii="Times New Roman" w:hAnsi="Times New Roman"/>
                <w:sz w:val="20"/>
                <w:szCs w:val="20"/>
              </w:rPr>
              <w:t xml:space="preserve"> </w:t>
            </w:r>
            <w:r w:rsidRPr="00BB2195">
              <w:rPr>
                <w:rFonts w:ascii="Times New Roman" w:hAnsi="Times New Roman"/>
                <w:sz w:val="20"/>
                <w:szCs w:val="20"/>
              </w:rPr>
              <w:t>9.3.3.51 and 9.3.3.52.1</w:t>
            </w:r>
            <w:r w:rsidR="000769C0">
              <w:rPr>
                <w:rFonts w:ascii="Times New Roman" w:hAnsi="Times New Roman"/>
                <w:sz w:val="20"/>
                <w:szCs w:val="20"/>
              </w:rPr>
              <w:t xml:space="preserve"> </w:t>
            </w:r>
            <w:r w:rsidRPr="00BB2195">
              <w:rPr>
                <w:rFonts w:ascii="Times New Roman" w:hAnsi="Times New Roman"/>
                <w:sz w:val="20"/>
                <w:szCs w:val="20"/>
              </w:rPr>
              <w:t>to 9.3.3.52.8</w:t>
            </w:r>
          </w:p>
        </w:tc>
        <w:tc>
          <w:tcPr>
            <w:tcW w:w="5954" w:type="dxa"/>
            <w:tcBorders>
              <w:top w:val="single" w:sz="4" w:space="0" w:color="1F1F1F"/>
              <w:left w:val="single" w:sz="4" w:space="0" w:color="1F1F1F"/>
              <w:bottom w:val="single" w:sz="4" w:space="0" w:color="1F1F1F"/>
              <w:right w:val="single" w:sz="4" w:space="0" w:color="1F1F1F"/>
            </w:tcBorders>
          </w:tcPr>
          <w:p w14:paraId="5C3D3DA6" w14:textId="2A444CC6" w:rsidR="005636CC" w:rsidRPr="00BB2195" w:rsidRDefault="005636CC" w:rsidP="005A1612">
            <w:pPr>
              <w:pStyle w:val="TableParagraph"/>
              <w:spacing w:before="57"/>
              <w:ind w:left="120"/>
              <w:jc w:val="center"/>
              <w:rPr>
                <w:rFonts w:ascii="Times New Roman" w:hAnsi="Times New Roman"/>
                <w:sz w:val="20"/>
                <w:szCs w:val="20"/>
              </w:rPr>
            </w:pPr>
            <w:r w:rsidRPr="00BB2195">
              <w:rPr>
                <w:rFonts w:ascii="Times New Roman" w:hAnsi="Times New Roman"/>
                <w:sz w:val="20"/>
                <w:szCs w:val="20"/>
              </w:rPr>
              <w:t xml:space="preserve">N.R.M. from </w:t>
            </w:r>
            <w:r w:rsidR="003966BE" w:rsidRPr="00BB2195">
              <w:rPr>
                <w:rFonts w:ascii="Times New Roman" w:hAnsi="Times New Roman"/>
                <w:sz w:val="20"/>
                <w:szCs w:val="20"/>
              </w:rPr>
              <w:t>1 January</w:t>
            </w:r>
            <w:r w:rsidRPr="00BB2195">
              <w:rPr>
                <w:rFonts w:ascii="Times New Roman" w:hAnsi="Times New Roman"/>
                <w:sz w:val="20"/>
                <w:szCs w:val="20"/>
              </w:rPr>
              <w:t xml:space="preserve"> 2019</w:t>
            </w:r>
            <w:r w:rsidR="005A1612" w:rsidRPr="00BB2195">
              <w:rPr>
                <w:rFonts w:ascii="Times New Roman" w:hAnsi="Times New Roman"/>
                <w:sz w:val="20"/>
                <w:szCs w:val="20"/>
              </w:rPr>
              <w:br/>
            </w:r>
            <w:r w:rsidRPr="00BB2195">
              <w:rPr>
                <w:rFonts w:ascii="Times New Roman" w:hAnsi="Times New Roman"/>
                <w:sz w:val="20"/>
                <w:szCs w:val="20"/>
              </w:rPr>
              <w:t>Renewal of certificate of approval after</w:t>
            </w:r>
          </w:p>
          <w:p w14:paraId="348A3F4F" w14:textId="77777777" w:rsidR="005636CC" w:rsidRPr="00BB2195" w:rsidRDefault="005636CC" w:rsidP="005A1612">
            <w:pPr>
              <w:pStyle w:val="TableParagraph"/>
              <w:spacing w:before="57"/>
              <w:ind w:left="120"/>
              <w:jc w:val="center"/>
              <w:rPr>
                <w:rFonts w:ascii="Times New Roman" w:hAnsi="Times New Roman"/>
                <w:sz w:val="20"/>
                <w:szCs w:val="20"/>
              </w:rPr>
            </w:pPr>
            <w:r w:rsidRPr="00BB2195">
              <w:rPr>
                <w:rFonts w:ascii="Times New Roman" w:hAnsi="Times New Roman"/>
                <w:sz w:val="20"/>
                <w:szCs w:val="20"/>
              </w:rPr>
              <w:t>31 December 2034</w:t>
            </w:r>
          </w:p>
          <w:p w14:paraId="36AB84B5" w14:textId="77777777" w:rsidR="00EC5987" w:rsidRPr="00BB2195" w:rsidRDefault="00EC5987" w:rsidP="00EC5987">
            <w:pPr>
              <w:pStyle w:val="TableParagraph"/>
              <w:spacing w:before="76"/>
              <w:ind w:left="120" w:right="125"/>
              <w:jc w:val="both"/>
              <w:rPr>
                <w:rFonts w:ascii="Times New Roman" w:eastAsia="Times New Roman" w:hAnsi="Times New Roman" w:cs="Times New Roman"/>
                <w:sz w:val="20"/>
                <w:szCs w:val="20"/>
              </w:rPr>
            </w:pPr>
            <w:r w:rsidRPr="00BB2195">
              <w:rPr>
                <w:rFonts w:ascii="Times New Roman" w:hAnsi="Times New Roman"/>
                <w:sz w:val="20"/>
                <w:szCs w:val="20"/>
              </w:rPr>
              <w:t>Until that date, the following requirements apply to vessels in service:</w:t>
            </w:r>
          </w:p>
          <w:p w14:paraId="5E5C9A86" w14:textId="541B15DD" w:rsidR="00016BFE" w:rsidRDefault="00EC5987" w:rsidP="000769C0">
            <w:pPr>
              <w:pStyle w:val="TableParagraph"/>
              <w:spacing w:before="76" w:line="252" w:lineRule="auto"/>
              <w:ind w:left="135" w:right="105" w:hanging="15"/>
              <w:rPr>
                <w:rFonts w:ascii="Times New Roman" w:hAnsi="Times New Roman"/>
                <w:sz w:val="20"/>
                <w:szCs w:val="20"/>
              </w:rPr>
            </w:pPr>
            <w:r w:rsidRPr="00BB2195">
              <w:rPr>
                <w:rFonts w:ascii="Times New Roman" w:hAnsi="Times New Roman"/>
                <w:sz w:val="20"/>
                <w:szCs w:val="20"/>
              </w:rPr>
              <w:t xml:space="preserve">Vessels moving a pushed convoy or a side-by-side formation shall comply with the requirements of the following sections, subsections and paragraphs: </w:t>
            </w:r>
            <w:r w:rsidRPr="00BB2195">
              <w:rPr>
                <w:rFonts w:ascii="Times New Roman" w:hAnsi="Times New Roman"/>
                <w:sz w:val="20"/>
                <w:szCs w:val="20"/>
              </w:rPr>
              <w:br/>
              <w:t>1.16.1.1, 1.16.1.2,   1.16.1.3,   7.2.2.5,   8.1.4,   8.1.5,</w:t>
            </w:r>
            <w:r w:rsidR="00A4156A">
              <w:rPr>
                <w:rFonts w:ascii="Times New Roman" w:hAnsi="Times New Roman"/>
                <w:sz w:val="20"/>
                <w:szCs w:val="20"/>
              </w:rPr>
              <w:t xml:space="preserve"> </w:t>
            </w:r>
            <w:r w:rsidRPr="00BB2195">
              <w:rPr>
                <w:rFonts w:ascii="Times New Roman" w:hAnsi="Times New Roman"/>
                <w:sz w:val="20"/>
                <w:szCs w:val="20"/>
              </w:rPr>
              <w:t xml:space="preserve">8.1.6.1, 8.1.6.3, 8.1.7, 9.3.3.0.1, </w:t>
            </w:r>
            <w:r w:rsidRPr="00BB2195">
              <w:rPr>
                <w:rFonts w:ascii="Times New Roman" w:hAnsi="Times New Roman"/>
                <w:strike/>
                <w:sz w:val="20"/>
                <w:szCs w:val="20"/>
              </w:rPr>
              <w:t>9.3.3.0.3 (d),</w:t>
            </w:r>
            <w:r w:rsidR="00597AE4" w:rsidRPr="003C07AC">
              <w:rPr>
                <w:rFonts w:ascii="Times New Roman" w:hAnsi="Times New Roman"/>
                <w:sz w:val="20"/>
                <w:szCs w:val="20"/>
                <w:u w:val="single"/>
              </w:rPr>
              <w:t>9.3.3.</w:t>
            </w:r>
            <w:r w:rsidR="00CC0AA2" w:rsidRPr="003C07AC">
              <w:rPr>
                <w:rFonts w:ascii="Times New Roman" w:hAnsi="Times New Roman"/>
                <w:sz w:val="20"/>
                <w:szCs w:val="20"/>
                <w:u w:val="single"/>
              </w:rPr>
              <w:t>0.3</w:t>
            </w:r>
            <w:r w:rsidR="00331D99" w:rsidRPr="003C07AC">
              <w:rPr>
                <w:rFonts w:ascii="Times New Roman" w:hAnsi="Times New Roman"/>
                <w:sz w:val="20"/>
                <w:szCs w:val="20"/>
                <w:u w:val="single"/>
              </w:rPr>
              <w:t xml:space="preserve"> </w:t>
            </w:r>
            <w:r w:rsidR="00207124" w:rsidRPr="003C07AC">
              <w:rPr>
                <w:rFonts w:ascii="Times New Roman" w:hAnsi="Times New Roman"/>
                <w:sz w:val="20"/>
                <w:szCs w:val="20"/>
                <w:u w:val="single"/>
              </w:rPr>
              <w:t xml:space="preserve">last </w:t>
            </w:r>
            <w:r w:rsidR="00375663" w:rsidRPr="003C07AC">
              <w:rPr>
                <w:rFonts w:ascii="Times New Roman" w:hAnsi="Times New Roman"/>
                <w:sz w:val="20"/>
                <w:szCs w:val="20"/>
                <w:u w:val="single"/>
              </w:rPr>
              <w:t>paragraph</w:t>
            </w:r>
            <w:r w:rsidR="00207124" w:rsidRPr="00BB2195">
              <w:rPr>
                <w:rFonts w:ascii="Times New Roman" w:hAnsi="Times New Roman"/>
                <w:sz w:val="20"/>
                <w:szCs w:val="20"/>
              </w:rPr>
              <w:t>,</w:t>
            </w:r>
            <w:r w:rsidRPr="00BB2195">
              <w:rPr>
                <w:rFonts w:ascii="Times New Roman" w:hAnsi="Times New Roman"/>
                <w:sz w:val="20"/>
                <w:szCs w:val="20"/>
              </w:rPr>
              <w:t xml:space="preserve"> 9.3.3.0.5,</w:t>
            </w:r>
            <w:r w:rsidR="00331D99" w:rsidRPr="00BB2195">
              <w:rPr>
                <w:rFonts w:ascii="Times New Roman" w:hAnsi="Times New Roman"/>
                <w:sz w:val="20"/>
                <w:szCs w:val="20"/>
              </w:rPr>
              <w:t xml:space="preserve"> </w:t>
            </w:r>
            <w:r w:rsidRPr="00BB2195">
              <w:rPr>
                <w:rFonts w:ascii="Times New Roman" w:hAnsi="Times New Roman"/>
                <w:sz w:val="20"/>
                <w:szCs w:val="20"/>
              </w:rPr>
              <w:t xml:space="preserve">9.3.3.10.1,   </w:t>
            </w:r>
            <w:r w:rsidRPr="00BB2195">
              <w:rPr>
                <w:rFonts w:ascii="Times New Roman" w:hAnsi="Times New Roman"/>
                <w:strike/>
                <w:sz w:val="20"/>
                <w:szCs w:val="20"/>
              </w:rPr>
              <w:t>9.3.3.10.2,</w:t>
            </w:r>
            <w:r w:rsidRPr="00BB2195">
              <w:rPr>
                <w:rFonts w:ascii="Times New Roman" w:hAnsi="Times New Roman"/>
                <w:sz w:val="20"/>
                <w:szCs w:val="20"/>
              </w:rPr>
              <w:t xml:space="preserve"> </w:t>
            </w:r>
            <w:r w:rsidR="00F90577" w:rsidRPr="00F90577">
              <w:rPr>
                <w:rFonts w:ascii="Times New Roman" w:hAnsi="Times New Roman"/>
                <w:sz w:val="20"/>
                <w:szCs w:val="20"/>
                <w:u w:val="single"/>
              </w:rPr>
              <w:t>9.3.3.10.4,</w:t>
            </w:r>
            <w:r w:rsidRPr="00BB2195">
              <w:rPr>
                <w:rFonts w:ascii="Times New Roman" w:hAnsi="Times New Roman"/>
                <w:sz w:val="20"/>
                <w:szCs w:val="20"/>
              </w:rPr>
              <w:t xml:space="preserve">  9.3.3.12.4 (a) except</w:t>
            </w:r>
            <w:r w:rsidR="00BC6ED9">
              <w:rPr>
                <w:rFonts w:ascii="Times New Roman" w:hAnsi="Times New Roman"/>
                <w:sz w:val="20"/>
                <w:szCs w:val="20"/>
              </w:rPr>
              <w:t xml:space="preserve"> </w:t>
            </w:r>
            <w:r w:rsidRPr="00BB2195">
              <w:rPr>
                <w:rFonts w:ascii="Times New Roman" w:hAnsi="Times New Roman"/>
                <w:sz w:val="20"/>
                <w:szCs w:val="20"/>
              </w:rPr>
              <w:t>the</w:t>
            </w:r>
            <w:r w:rsidR="004B1F00" w:rsidRPr="00BB2195">
              <w:rPr>
                <w:rFonts w:ascii="Times New Roman" w:hAnsi="Times New Roman"/>
                <w:sz w:val="20"/>
                <w:szCs w:val="20"/>
              </w:rPr>
              <w:t xml:space="preserve"> w</w:t>
            </w:r>
            <w:r w:rsidRPr="00BB2195">
              <w:rPr>
                <w:rFonts w:ascii="Times New Roman" w:hAnsi="Times New Roman"/>
                <w:sz w:val="20"/>
                <w:szCs w:val="20"/>
              </w:rPr>
              <w:t>heelhouse, 9.3.3.12.4 (b) except for the t90 response time, 9.3.3.12.4 (c), 9.3.3.12.6, 9.3.3.16, 9.3.3.17.1 to</w:t>
            </w:r>
            <w:r w:rsidR="00A4156A">
              <w:rPr>
                <w:rFonts w:ascii="Times New Roman" w:hAnsi="Times New Roman"/>
                <w:sz w:val="20"/>
                <w:szCs w:val="20"/>
              </w:rPr>
              <w:t xml:space="preserve"> </w:t>
            </w:r>
            <w:r w:rsidRPr="00BB2195">
              <w:rPr>
                <w:rFonts w:ascii="Times New Roman" w:hAnsi="Times New Roman"/>
                <w:sz w:val="20"/>
                <w:szCs w:val="20"/>
              </w:rPr>
              <w:t>9.3.3.17.4,    9.3.3.31.1   to    9.3.3.31.5,    9.3.3.32.2,</w:t>
            </w:r>
            <w:r w:rsidR="00657A46" w:rsidRPr="00BB2195">
              <w:rPr>
                <w:rFonts w:ascii="Times New Roman" w:hAnsi="Times New Roman"/>
                <w:sz w:val="20"/>
                <w:szCs w:val="20"/>
              </w:rPr>
              <w:t xml:space="preserve"> </w:t>
            </w:r>
            <w:r w:rsidRPr="00BB2195">
              <w:rPr>
                <w:rFonts w:ascii="Times New Roman" w:hAnsi="Times New Roman"/>
                <w:sz w:val="20"/>
                <w:szCs w:val="20"/>
              </w:rPr>
              <w:t>9.3.3.34.1, 9.3.3.34.2, 9.3.3.40.1 (although a single fire or ballast pump is sufficient), 9.3.3.40.2, 9.3.3.41, 9.3.3.50.1 (c), 9.3.3.50.2, 9.3.3</w:t>
            </w:r>
            <w:r w:rsidR="00E9090C" w:rsidRPr="00BB2195">
              <w:rPr>
                <w:rFonts w:ascii="Times New Roman" w:hAnsi="Times New Roman"/>
                <w:sz w:val="20"/>
                <w:szCs w:val="20"/>
              </w:rPr>
              <w:t>.</w:t>
            </w:r>
            <w:r w:rsidRPr="00BB2195">
              <w:rPr>
                <w:rFonts w:ascii="Times New Roman" w:hAnsi="Times New Roman"/>
                <w:sz w:val="20"/>
                <w:szCs w:val="20"/>
              </w:rPr>
              <w:t>51, 9.3.3.52.6,</w:t>
            </w:r>
            <w:r w:rsidR="00416B5C" w:rsidRPr="00BB2195">
              <w:rPr>
                <w:rFonts w:ascii="Times New Roman" w:hAnsi="Times New Roman"/>
                <w:sz w:val="20"/>
                <w:szCs w:val="20"/>
              </w:rPr>
              <w:t xml:space="preserve"> </w:t>
            </w:r>
            <w:r w:rsidRPr="00BB2195">
              <w:rPr>
                <w:rFonts w:ascii="Times New Roman" w:hAnsi="Times New Roman"/>
                <w:sz w:val="20"/>
                <w:szCs w:val="20"/>
              </w:rPr>
              <w:t>9.3.3.52.7, 9.3.3.52.8, 9.3.3.56.5, 9.3.3.71 and 9.3.3.74,</w:t>
            </w:r>
            <w:r w:rsidR="009952E2" w:rsidRPr="00BB2195">
              <w:rPr>
                <w:rFonts w:ascii="Times New Roman" w:hAnsi="Times New Roman"/>
                <w:sz w:val="20"/>
                <w:szCs w:val="20"/>
              </w:rPr>
              <w:t xml:space="preserve"> </w:t>
            </w:r>
            <w:r w:rsidRPr="00BB2195">
              <w:rPr>
                <w:rFonts w:ascii="Times New Roman" w:hAnsi="Times New Roman"/>
                <w:sz w:val="20"/>
                <w:szCs w:val="20"/>
              </w:rPr>
              <w:t>when at least one vessel of the convoy or side-by-side formation is carrying dangerous goods.</w:t>
            </w:r>
          </w:p>
          <w:p w14:paraId="34730191" w14:textId="56C4FE4C" w:rsidR="00EC5987" w:rsidRPr="007268C5" w:rsidRDefault="004061EE" w:rsidP="000769C0">
            <w:pPr>
              <w:pStyle w:val="TableParagraph"/>
              <w:spacing w:before="76" w:line="252" w:lineRule="auto"/>
              <w:ind w:left="135" w:right="105" w:hanging="15"/>
              <w:rPr>
                <w:rFonts w:ascii="Times New Roman"/>
                <w:color w:val="5D5D5E"/>
                <w:w w:val="105"/>
                <w:sz w:val="20"/>
                <w:szCs w:val="20"/>
              </w:rPr>
            </w:pPr>
            <w:r w:rsidRPr="00BB2195">
              <w:rPr>
                <w:rFonts w:ascii="Times New Roman" w:hAnsi="Times New Roman"/>
                <w:sz w:val="20"/>
                <w:szCs w:val="20"/>
              </w:rPr>
              <w:t>Vessels moving only type N open tank vessels do not have to meet the requirements of paragraphs 9.3.3.10.1,</w:t>
            </w:r>
            <w:r w:rsidR="000769C0">
              <w:rPr>
                <w:rFonts w:ascii="Times New Roman" w:hAnsi="Times New Roman"/>
                <w:sz w:val="20"/>
                <w:szCs w:val="20"/>
              </w:rPr>
              <w:t xml:space="preserve"> </w:t>
            </w:r>
            <w:r w:rsidRPr="00BB2195">
              <w:rPr>
                <w:rFonts w:ascii="Times New Roman" w:hAnsi="Times New Roman"/>
                <w:sz w:val="20"/>
                <w:szCs w:val="20"/>
              </w:rPr>
              <w:t>9.3.3.10.2 and 9.3.3.12.6.  These derogations shall be</w:t>
            </w:r>
            <w:r w:rsidR="000769C0">
              <w:rPr>
                <w:rFonts w:ascii="Times New Roman" w:hAnsi="Times New Roman"/>
                <w:sz w:val="20"/>
                <w:szCs w:val="20"/>
              </w:rPr>
              <w:t xml:space="preserve"> </w:t>
            </w:r>
            <w:r w:rsidRPr="00BB2195">
              <w:rPr>
                <w:rFonts w:ascii="Times New Roman" w:hAnsi="Times New Roman"/>
                <w:sz w:val="20"/>
                <w:szCs w:val="20"/>
              </w:rPr>
              <w:t>specified in the certificate of approval or the provisional certificate of approval as follows: ''Permitted derogations": "Derogation from 9.3.3.10.1, 9.3.3.10.2 and 9.3.3.12.6; the vessel may only move type N open tank vessels.".</w:t>
            </w:r>
          </w:p>
        </w:tc>
      </w:tr>
    </w:tbl>
    <w:p w14:paraId="146C4751" w14:textId="4C3A042D" w:rsidR="001D69D5" w:rsidRPr="003E6580" w:rsidRDefault="001D69D5" w:rsidP="006202BF">
      <w:pPr>
        <w:pStyle w:val="HChG"/>
        <w:rPr>
          <w:bCs/>
        </w:rPr>
      </w:pPr>
      <w:r>
        <w:lastRenderedPageBreak/>
        <w:tab/>
      </w:r>
      <w:r w:rsidR="0054351B">
        <w:t>IV</w:t>
      </w:r>
      <w:r>
        <w:t>.</w:t>
      </w:r>
      <w:r>
        <w:tab/>
      </w:r>
      <w:r>
        <w:tab/>
      </w:r>
      <w:r>
        <w:rPr>
          <w:lang w:val="en-US"/>
        </w:rPr>
        <w:t>Transitional provision for 7.2.2.19.4</w:t>
      </w:r>
    </w:p>
    <w:p w14:paraId="3971624C" w14:textId="17F1216F" w:rsidR="001D69D5" w:rsidRDefault="00CB259E" w:rsidP="00CB259E">
      <w:pPr>
        <w:pStyle w:val="SingleTxtG"/>
        <w:spacing w:after="0"/>
        <w:rPr>
          <w:lang w:val="en-US"/>
        </w:rPr>
      </w:pPr>
      <w:r>
        <w:t>1</w:t>
      </w:r>
      <w:r w:rsidR="005271D7">
        <w:t>6</w:t>
      </w:r>
      <w:r>
        <w:t>.</w:t>
      </w:r>
      <w:r>
        <w:tab/>
      </w:r>
      <w:r>
        <w:rPr>
          <w:lang w:val="en-US"/>
        </w:rPr>
        <w:t>The second part of the transition</w:t>
      </w:r>
      <w:r w:rsidR="00D32CCA">
        <w:rPr>
          <w:lang w:val="en-US"/>
        </w:rPr>
        <w:t>al</w:t>
      </w:r>
      <w:r>
        <w:rPr>
          <w:lang w:val="en-US"/>
        </w:rPr>
        <w:t xml:space="preserve"> provision for 7.2.2.19.4 </w:t>
      </w:r>
      <w:r w:rsidR="001A4EDA">
        <w:rPr>
          <w:lang w:val="en-US"/>
        </w:rPr>
        <w:t xml:space="preserve">was </w:t>
      </w:r>
      <w:r w:rsidR="00150555">
        <w:rPr>
          <w:lang w:val="en-US"/>
        </w:rPr>
        <w:t xml:space="preserve">transferred to 7.2.2.19.3 and </w:t>
      </w:r>
      <w:proofErr w:type="gramStart"/>
      <w:r w:rsidR="00150555">
        <w:rPr>
          <w:lang w:val="en-US"/>
        </w:rPr>
        <w:t>has to</w:t>
      </w:r>
      <w:proofErr w:type="gramEnd"/>
      <w:r w:rsidR="00150555">
        <w:rPr>
          <w:lang w:val="en-US"/>
        </w:rPr>
        <w:t xml:space="preserve"> be </w:t>
      </w:r>
      <w:r w:rsidR="004E3C94">
        <w:rPr>
          <w:lang w:val="en-US"/>
        </w:rPr>
        <w:t>adapted</w:t>
      </w:r>
      <w:r w:rsidR="00961F2A">
        <w:rPr>
          <w:lang w:val="en-US"/>
        </w:rPr>
        <w:t>.</w:t>
      </w:r>
    </w:p>
    <w:p w14:paraId="7A8FB4DF" w14:textId="69438DDE" w:rsidR="00413B3A" w:rsidRDefault="00413B3A" w:rsidP="006202BF">
      <w:pPr>
        <w:pStyle w:val="H1G"/>
      </w:pPr>
      <w:r w:rsidRPr="001F256D">
        <w:tab/>
      </w:r>
      <w:r w:rsidR="006202BF">
        <w:tab/>
      </w:r>
      <w:r w:rsidRPr="001F256D">
        <w:t>Proposal</w:t>
      </w:r>
    </w:p>
    <w:p w14:paraId="5B6EC73A" w14:textId="70893BED" w:rsidR="00514739" w:rsidRDefault="00D6158E" w:rsidP="00514739">
      <w:pPr>
        <w:pStyle w:val="SingleTxtG"/>
        <w:spacing w:after="0"/>
        <w:rPr>
          <w:lang w:val="en-US"/>
        </w:rPr>
      </w:pPr>
      <w:r>
        <w:rPr>
          <w:lang w:val="en-US"/>
        </w:rPr>
        <w:t>1</w:t>
      </w:r>
      <w:r w:rsidR="005271D7">
        <w:rPr>
          <w:lang w:val="en-US"/>
        </w:rPr>
        <w:t>7</w:t>
      </w:r>
      <w:r>
        <w:rPr>
          <w:lang w:val="en-US"/>
        </w:rPr>
        <w:t>.</w:t>
      </w:r>
      <w:r>
        <w:rPr>
          <w:lang w:val="en-US"/>
        </w:rPr>
        <w:tab/>
      </w:r>
      <w:r w:rsidR="00961F2A">
        <w:rPr>
          <w:lang w:val="en-US"/>
        </w:rPr>
        <w:t>Adapt the transition</w:t>
      </w:r>
      <w:r w:rsidR="00D32CCA">
        <w:rPr>
          <w:lang w:val="en-US"/>
        </w:rPr>
        <w:t>al</w:t>
      </w:r>
      <w:r w:rsidR="00961F2A">
        <w:rPr>
          <w:lang w:val="en-US"/>
        </w:rPr>
        <w:t xml:space="preserve"> provision table for 7.2.2.19.4 as shown below</w:t>
      </w:r>
      <w:r w:rsidR="00D32CCA">
        <w:rPr>
          <w:lang w:val="en-US"/>
        </w:rPr>
        <w:t>:</w:t>
      </w:r>
    </w:p>
    <w:p w14:paraId="7BF80A19" w14:textId="157E00FB" w:rsidR="003A5B72" w:rsidRPr="00514739" w:rsidRDefault="003A5B72" w:rsidP="003A5B72">
      <w:pPr>
        <w:rPr>
          <w:lang w:val="en-US"/>
        </w:rPr>
      </w:pPr>
    </w:p>
    <w:tbl>
      <w:tblPr>
        <w:tblStyle w:val="TableNormal1"/>
        <w:tblW w:w="9562" w:type="dxa"/>
        <w:tblInd w:w="90" w:type="dxa"/>
        <w:tblLayout w:type="fixed"/>
        <w:tblLook w:val="01E0" w:firstRow="1" w:lastRow="1" w:firstColumn="1" w:lastColumn="1" w:noHBand="0" w:noVBand="0"/>
      </w:tblPr>
      <w:tblGrid>
        <w:gridCol w:w="1181"/>
        <w:gridCol w:w="2410"/>
        <w:gridCol w:w="5971"/>
      </w:tblGrid>
      <w:tr w:rsidR="00422CA8" w14:paraId="1DA80F7A" w14:textId="77777777" w:rsidTr="00240171">
        <w:trPr>
          <w:trHeight w:hRule="exact" w:val="5783"/>
        </w:trPr>
        <w:tc>
          <w:tcPr>
            <w:tcW w:w="1181" w:type="dxa"/>
            <w:tcBorders>
              <w:top w:val="single" w:sz="4" w:space="0" w:color="1C1C1C"/>
              <w:left w:val="single" w:sz="4" w:space="0" w:color="1C1C1C"/>
              <w:bottom w:val="single" w:sz="4" w:space="0" w:color="1C1C1C"/>
              <w:right w:val="single" w:sz="4" w:space="0" w:color="1C1C1C"/>
            </w:tcBorders>
          </w:tcPr>
          <w:p w14:paraId="75202403" w14:textId="12935555" w:rsidR="00FC7A14" w:rsidRPr="00637BC1" w:rsidRDefault="00FC7A14" w:rsidP="00265F8F">
            <w:pPr>
              <w:pStyle w:val="TableParagraph"/>
              <w:spacing w:before="57"/>
              <w:ind w:left="120"/>
              <w:rPr>
                <w:rFonts w:ascii="Times New Roman" w:eastAsia="Times New Roman" w:hAnsi="Times New Roman" w:cs="Times New Roman"/>
                <w:sz w:val="20"/>
                <w:szCs w:val="20"/>
              </w:rPr>
            </w:pPr>
            <w:r w:rsidRPr="00637BC1">
              <w:rPr>
                <w:rFonts w:ascii="Times New Roman" w:hAnsi="Times New Roman"/>
                <w:sz w:val="20"/>
                <w:szCs w:val="20"/>
              </w:rPr>
              <w:t>7.2.2.19.</w:t>
            </w:r>
            <w:r w:rsidR="006969E8">
              <w:rPr>
                <w:rFonts w:ascii="Times New Roman" w:hAnsi="Times New Roman"/>
                <w:sz w:val="20"/>
                <w:szCs w:val="20"/>
              </w:rPr>
              <w:t>4</w:t>
            </w:r>
          </w:p>
        </w:tc>
        <w:tc>
          <w:tcPr>
            <w:tcW w:w="2410" w:type="dxa"/>
            <w:tcBorders>
              <w:top w:val="single" w:sz="4" w:space="0" w:color="1C1C1C"/>
              <w:left w:val="single" w:sz="4" w:space="0" w:color="1C1C1C"/>
              <w:bottom w:val="single" w:sz="4" w:space="0" w:color="1C1C1C"/>
              <w:right w:val="single" w:sz="4" w:space="0" w:color="1C1C1C"/>
            </w:tcBorders>
          </w:tcPr>
          <w:p w14:paraId="6D128DA9" w14:textId="77BF3EA7" w:rsidR="007064BA" w:rsidRPr="006969E8" w:rsidRDefault="00FC7A14" w:rsidP="006969E8">
            <w:pPr>
              <w:pStyle w:val="TableParagraph"/>
              <w:spacing w:before="57"/>
              <w:ind w:left="120"/>
              <w:rPr>
                <w:rFonts w:ascii="Times New Roman" w:hAnsi="Times New Roman"/>
                <w:sz w:val="20"/>
                <w:szCs w:val="20"/>
              </w:rPr>
            </w:pPr>
            <w:r w:rsidRPr="00637BC1">
              <w:rPr>
                <w:rFonts w:ascii="Times New Roman" w:hAnsi="Times New Roman"/>
                <w:sz w:val="20"/>
                <w:szCs w:val="20"/>
              </w:rPr>
              <w:t>Vessels of the formation for which explosion protection is required</w:t>
            </w:r>
          </w:p>
        </w:tc>
        <w:tc>
          <w:tcPr>
            <w:tcW w:w="5971" w:type="dxa"/>
            <w:tcBorders>
              <w:top w:val="single" w:sz="4" w:space="0" w:color="1C1C1C"/>
              <w:left w:val="single" w:sz="4" w:space="0" w:color="1C1C1C"/>
              <w:bottom w:val="single" w:sz="4" w:space="0" w:color="1C1C1C"/>
              <w:right w:val="single" w:sz="4" w:space="0" w:color="1C1C1C"/>
            </w:tcBorders>
          </w:tcPr>
          <w:p w14:paraId="157D4E60" w14:textId="033468FC" w:rsidR="008603D1" w:rsidRDefault="00FC7A14" w:rsidP="008603D1">
            <w:pPr>
              <w:pStyle w:val="TableParagraph"/>
              <w:spacing w:before="57"/>
              <w:ind w:left="120"/>
              <w:jc w:val="center"/>
              <w:rPr>
                <w:rFonts w:ascii="Times New Roman" w:hAnsi="Times New Roman"/>
                <w:sz w:val="20"/>
                <w:szCs w:val="20"/>
              </w:rPr>
            </w:pPr>
            <w:r w:rsidRPr="006969E8">
              <w:rPr>
                <w:rFonts w:ascii="Times New Roman" w:hAnsi="Times New Roman"/>
                <w:sz w:val="20"/>
                <w:szCs w:val="20"/>
              </w:rPr>
              <w:t xml:space="preserve">N.R.M. from 1 </w:t>
            </w:r>
            <w:r w:rsidR="00DD67A7" w:rsidRPr="006969E8">
              <w:rPr>
                <w:rFonts w:ascii="Times New Roman" w:hAnsi="Times New Roman"/>
                <w:sz w:val="20"/>
                <w:szCs w:val="20"/>
              </w:rPr>
              <w:t>January 2019</w:t>
            </w:r>
          </w:p>
          <w:p w14:paraId="7BD16EEC" w14:textId="103D29E7" w:rsidR="00FC7A14" w:rsidRPr="006969E8" w:rsidRDefault="00FC7A14" w:rsidP="008603D1">
            <w:pPr>
              <w:pStyle w:val="TableParagraph"/>
              <w:spacing w:before="57"/>
              <w:ind w:left="120"/>
              <w:jc w:val="center"/>
              <w:rPr>
                <w:rFonts w:ascii="Times New Roman" w:hAnsi="Times New Roman"/>
                <w:sz w:val="20"/>
                <w:szCs w:val="20"/>
              </w:rPr>
            </w:pPr>
            <w:r w:rsidRPr="006969E8">
              <w:rPr>
                <w:rFonts w:ascii="Times New Roman" w:hAnsi="Times New Roman"/>
                <w:sz w:val="20"/>
                <w:szCs w:val="20"/>
              </w:rPr>
              <w:t xml:space="preserve">Renewal </w:t>
            </w:r>
            <w:r w:rsidR="00DD67A7" w:rsidRPr="006969E8">
              <w:rPr>
                <w:rFonts w:ascii="Times New Roman" w:hAnsi="Times New Roman"/>
                <w:sz w:val="20"/>
                <w:szCs w:val="20"/>
              </w:rPr>
              <w:t>of the certificate of approval after</w:t>
            </w:r>
          </w:p>
          <w:p w14:paraId="2C994E8B" w14:textId="77777777" w:rsidR="00FC7A14" w:rsidRPr="006969E8" w:rsidRDefault="00FC7A14" w:rsidP="008603D1">
            <w:pPr>
              <w:pStyle w:val="TableParagraph"/>
              <w:ind w:left="120"/>
              <w:jc w:val="center"/>
              <w:rPr>
                <w:rFonts w:ascii="Times New Roman" w:hAnsi="Times New Roman"/>
                <w:sz w:val="20"/>
                <w:szCs w:val="20"/>
              </w:rPr>
            </w:pPr>
            <w:r w:rsidRPr="006969E8">
              <w:rPr>
                <w:rFonts w:ascii="Times New Roman" w:hAnsi="Times New Roman"/>
                <w:sz w:val="20"/>
                <w:szCs w:val="20"/>
              </w:rPr>
              <w:t>31 December 2034</w:t>
            </w:r>
          </w:p>
          <w:p w14:paraId="1066F940" w14:textId="09784E1A" w:rsidR="00FC7A14" w:rsidRPr="00DF63CD" w:rsidRDefault="00FC7A14" w:rsidP="006969E8">
            <w:pPr>
              <w:pStyle w:val="TableParagraph"/>
              <w:spacing w:before="76"/>
              <w:ind w:left="120"/>
              <w:jc w:val="both"/>
              <w:rPr>
                <w:rFonts w:ascii="Times New Roman" w:hAnsi="Times New Roman"/>
                <w:strike/>
                <w:sz w:val="20"/>
                <w:szCs w:val="20"/>
              </w:rPr>
            </w:pPr>
            <w:r w:rsidRPr="00DF63CD">
              <w:rPr>
                <w:rFonts w:ascii="Times New Roman" w:hAnsi="Times New Roman"/>
                <w:strike/>
                <w:sz w:val="20"/>
                <w:szCs w:val="20"/>
              </w:rPr>
              <w:t>Until that date</w:t>
            </w:r>
            <w:r w:rsidR="00E637EB" w:rsidRPr="00DF63CD">
              <w:rPr>
                <w:rFonts w:ascii="Times New Roman" w:hAnsi="Times New Roman"/>
                <w:strike/>
                <w:sz w:val="20"/>
                <w:szCs w:val="20"/>
              </w:rPr>
              <w:t>,</w:t>
            </w:r>
            <w:r w:rsidRPr="00DF63CD">
              <w:rPr>
                <w:rFonts w:ascii="Times New Roman" w:hAnsi="Times New Roman"/>
                <w:strike/>
                <w:sz w:val="20"/>
                <w:szCs w:val="20"/>
              </w:rPr>
              <w:t xml:space="preserve"> the following requirements apply to vessels in service:</w:t>
            </w:r>
          </w:p>
          <w:p w14:paraId="00AE3470" w14:textId="69BB829A" w:rsidR="00FC7A14" w:rsidRPr="00DF63CD" w:rsidRDefault="00FC7A14" w:rsidP="00AC148D">
            <w:pPr>
              <w:pStyle w:val="TableParagraph"/>
              <w:spacing w:before="76"/>
              <w:ind w:left="120"/>
              <w:rPr>
                <w:rFonts w:ascii="Times New Roman" w:hAnsi="Times New Roman"/>
                <w:strike/>
                <w:sz w:val="20"/>
                <w:szCs w:val="20"/>
              </w:rPr>
            </w:pPr>
            <w:r w:rsidRPr="00DF63CD">
              <w:rPr>
                <w:rFonts w:ascii="Times New Roman" w:hAnsi="Times New Roman"/>
                <w:strike/>
                <w:sz w:val="20"/>
                <w:szCs w:val="20"/>
              </w:rPr>
              <w:t>Vessels moving a pushed convoy or a side-by-side formation shall comply with the requirements of the following sections, subsections and paragraphs</w:t>
            </w:r>
            <w:r w:rsidR="006F1409" w:rsidRPr="00DF63CD">
              <w:rPr>
                <w:rFonts w:ascii="Times New Roman" w:hAnsi="Times New Roman"/>
                <w:strike/>
                <w:sz w:val="20"/>
                <w:szCs w:val="20"/>
              </w:rPr>
              <w:t xml:space="preserve">: </w:t>
            </w:r>
            <w:r w:rsidR="006F1409" w:rsidRPr="00DF63CD">
              <w:rPr>
                <w:rFonts w:ascii="Times New Roman" w:hAnsi="Times New Roman"/>
                <w:strike/>
                <w:sz w:val="20"/>
                <w:szCs w:val="20"/>
              </w:rPr>
              <w:br/>
              <w:t>1.16.1.1, 1.16.1.2,   1.16.1.3,   7.2.2.5,   8.1.4,   8.1.5,</w:t>
            </w:r>
            <w:r w:rsidR="004F2920" w:rsidRPr="00DF63CD">
              <w:rPr>
                <w:rFonts w:ascii="Times New Roman" w:hAnsi="Times New Roman"/>
                <w:strike/>
                <w:sz w:val="20"/>
                <w:szCs w:val="20"/>
              </w:rPr>
              <w:t xml:space="preserve"> </w:t>
            </w:r>
            <w:r w:rsidR="006F1409" w:rsidRPr="00DF63CD">
              <w:rPr>
                <w:rFonts w:ascii="Times New Roman" w:hAnsi="Times New Roman"/>
                <w:strike/>
                <w:sz w:val="20"/>
                <w:szCs w:val="20"/>
              </w:rPr>
              <w:t>8.1.6.1, 8.1.6.3, 8.1.7, 9.3.3.0.1, 9.3.3.0.3 (d), 9.3.3.0.5,</w:t>
            </w:r>
            <w:r w:rsidR="004F2920" w:rsidRPr="00DF63CD">
              <w:rPr>
                <w:rFonts w:ascii="Times New Roman" w:hAnsi="Times New Roman"/>
                <w:strike/>
                <w:sz w:val="20"/>
                <w:szCs w:val="20"/>
              </w:rPr>
              <w:t xml:space="preserve"> </w:t>
            </w:r>
            <w:r w:rsidR="006F1409" w:rsidRPr="00DF63CD">
              <w:rPr>
                <w:rFonts w:ascii="Times New Roman" w:hAnsi="Times New Roman"/>
                <w:strike/>
                <w:sz w:val="20"/>
                <w:szCs w:val="20"/>
              </w:rPr>
              <w:t>9.3.3.10.1,   9.3.3.10.2,   9.3.3.12.4 (a) except the</w:t>
            </w:r>
            <w:r w:rsidR="004F2920" w:rsidRPr="00DF63CD">
              <w:rPr>
                <w:rFonts w:ascii="Times New Roman" w:hAnsi="Times New Roman"/>
                <w:strike/>
                <w:sz w:val="20"/>
                <w:szCs w:val="20"/>
              </w:rPr>
              <w:t xml:space="preserve"> </w:t>
            </w:r>
            <w:r w:rsidR="00AC148D" w:rsidRPr="00DF63CD">
              <w:rPr>
                <w:rFonts w:ascii="Times New Roman" w:hAnsi="Times New Roman"/>
                <w:strike/>
                <w:sz w:val="20"/>
                <w:szCs w:val="20"/>
              </w:rPr>
              <w:t>w</w:t>
            </w:r>
            <w:r w:rsidR="006F1409" w:rsidRPr="00DF63CD">
              <w:rPr>
                <w:rFonts w:ascii="Times New Roman" w:hAnsi="Times New Roman"/>
                <w:strike/>
                <w:sz w:val="20"/>
                <w:szCs w:val="20"/>
              </w:rPr>
              <w:t>heelhouse, 9.3.3.12.4 (b) except for the t90 response time, 9.3.3.12.4 (c), 9.3.3.12.6, 9.3.3.16, 9.3.3.17.1 to</w:t>
            </w:r>
            <w:r w:rsidR="00AC148D" w:rsidRPr="00DF63CD">
              <w:rPr>
                <w:rFonts w:ascii="Times New Roman" w:hAnsi="Times New Roman"/>
                <w:strike/>
                <w:sz w:val="20"/>
                <w:szCs w:val="20"/>
              </w:rPr>
              <w:t xml:space="preserve"> </w:t>
            </w:r>
            <w:r w:rsidR="006F1409" w:rsidRPr="00DF63CD">
              <w:rPr>
                <w:rFonts w:ascii="Times New Roman" w:hAnsi="Times New Roman"/>
                <w:strike/>
                <w:sz w:val="20"/>
                <w:szCs w:val="20"/>
              </w:rPr>
              <w:t>9.3.3.17.4,    9.3.3.31.1   to    9.3.3.31.5,    9.3.3.32.2,</w:t>
            </w:r>
            <w:r w:rsidR="00AC148D" w:rsidRPr="00DF63CD">
              <w:rPr>
                <w:rFonts w:ascii="Times New Roman" w:hAnsi="Times New Roman"/>
                <w:strike/>
                <w:sz w:val="20"/>
                <w:szCs w:val="20"/>
              </w:rPr>
              <w:t xml:space="preserve"> </w:t>
            </w:r>
            <w:r w:rsidR="006F1409" w:rsidRPr="00DF63CD">
              <w:rPr>
                <w:rFonts w:ascii="Times New Roman" w:hAnsi="Times New Roman"/>
                <w:strike/>
                <w:sz w:val="20"/>
                <w:szCs w:val="20"/>
              </w:rPr>
              <w:t>9.3.3.34.1, 9.3.3.34.2, 9.3.3.40.1 (although a single fire or ballast pump is sufficient), 9.3.3.40.2, 9.3.3.41, 9.3.3.50.1 (c), 9.3.3.50.2, 9.3.3.51, 9.3.3.52.6,</w:t>
            </w:r>
            <w:r w:rsidR="00AC148D" w:rsidRPr="00DF63CD">
              <w:rPr>
                <w:rFonts w:ascii="Times New Roman" w:hAnsi="Times New Roman"/>
                <w:strike/>
                <w:sz w:val="20"/>
                <w:szCs w:val="20"/>
              </w:rPr>
              <w:t xml:space="preserve"> </w:t>
            </w:r>
            <w:r w:rsidR="006F1409" w:rsidRPr="00DF63CD">
              <w:rPr>
                <w:rFonts w:ascii="Times New Roman" w:hAnsi="Times New Roman"/>
                <w:strike/>
                <w:sz w:val="20"/>
                <w:szCs w:val="20"/>
              </w:rPr>
              <w:t>9.3.3.52.7, 9.3.3.52.8, 9.3.3.56.5, 9.3.3.71 and 9.3.3.74,</w:t>
            </w:r>
            <w:r w:rsidR="00AC148D" w:rsidRPr="00DF63CD">
              <w:rPr>
                <w:rFonts w:ascii="Times New Roman" w:hAnsi="Times New Roman"/>
                <w:strike/>
                <w:sz w:val="20"/>
                <w:szCs w:val="20"/>
              </w:rPr>
              <w:t xml:space="preserve"> </w:t>
            </w:r>
            <w:r w:rsidR="006F1409" w:rsidRPr="00DF63CD">
              <w:rPr>
                <w:rFonts w:ascii="Times New Roman" w:hAnsi="Times New Roman"/>
                <w:strike/>
                <w:sz w:val="20"/>
                <w:szCs w:val="20"/>
              </w:rPr>
              <w:t>when at least one vessel of the convoy or side-by-side formation is carrying dangerous goods.</w:t>
            </w:r>
          </w:p>
          <w:p w14:paraId="723CB2E6" w14:textId="5FC23418" w:rsidR="00FC7A14" w:rsidRPr="006969E8" w:rsidRDefault="00FC7A14" w:rsidP="00AC148D">
            <w:pPr>
              <w:pStyle w:val="TableParagraph"/>
              <w:spacing w:before="45"/>
              <w:ind w:left="120"/>
              <w:jc w:val="both"/>
              <w:rPr>
                <w:rFonts w:ascii="Times New Roman" w:hAnsi="Times New Roman"/>
                <w:sz w:val="20"/>
                <w:szCs w:val="20"/>
              </w:rPr>
            </w:pPr>
            <w:r w:rsidRPr="00DF63CD">
              <w:rPr>
                <w:rFonts w:ascii="Times New Roman" w:hAnsi="Times New Roman"/>
                <w:strike/>
                <w:sz w:val="20"/>
                <w:szCs w:val="20"/>
              </w:rPr>
              <w:t>Vessels moving only type N open tank vessels do not have to meet the requirements of paragraphs 9.3.3.10.1,</w:t>
            </w:r>
            <w:r w:rsidR="00AC148D" w:rsidRPr="00DF63CD">
              <w:rPr>
                <w:rFonts w:ascii="Times New Roman" w:hAnsi="Times New Roman"/>
                <w:strike/>
                <w:sz w:val="20"/>
                <w:szCs w:val="20"/>
              </w:rPr>
              <w:t xml:space="preserve"> </w:t>
            </w:r>
            <w:r w:rsidRPr="00DF63CD">
              <w:rPr>
                <w:rFonts w:ascii="Times New Roman" w:hAnsi="Times New Roman"/>
                <w:strike/>
                <w:sz w:val="20"/>
                <w:szCs w:val="20"/>
              </w:rPr>
              <w:t>9.3.3.10.2 and 9.3.3.12.6.  These derogations shall be</w:t>
            </w:r>
            <w:r w:rsidR="00AC148D" w:rsidRPr="00DF63CD">
              <w:rPr>
                <w:rFonts w:ascii="Times New Roman" w:hAnsi="Times New Roman"/>
                <w:strike/>
                <w:sz w:val="20"/>
                <w:szCs w:val="20"/>
              </w:rPr>
              <w:t xml:space="preserve"> </w:t>
            </w:r>
            <w:r w:rsidRPr="00DF63CD">
              <w:rPr>
                <w:rFonts w:ascii="Times New Roman" w:hAnsi="Times New Roman"/>
                <w:strike/>
                <w:sz w:val="20"/>
                <w:szCs w:val="20"/>
              </w:rPr>
              <w:t>specified in the certificate of approval or the provisional certificate of approval as follows: ''Permitted derogations": "Derogation from 9.3.3.10.1,</w:t>
            </w:r>
            <w:r w:rsidR="00422CA8" w:rsidRPr="00DF63CD">
              <w:rPr>
                <w:rFonts w:ascii="Times New Roman" w:hAnsi="Times New Roman"/>
                <w:strike/>
                <w:sz w:val="20"/>
                <w:szCs w:val="20"/>
              </w:rPr>
              <w:t xml:space="preserve"> </w:t>
            </w:r>
            <w:r w:rsidRPr="00DF63CD">
              <w:rPr>
                <w:rFonts w:ascii="Times New Roman" w:hAnsi="Times New Roman"/>
                <w:strike/>
                <w:sz w:val="20"/>
                <w:szCs w:val="20"/>
              </w:rPr>
              <w:t>9.3.3.10.2 and 9.3.3.12.6</w:t>
            </w:r>
            <w:r w:rsidR="00823857" w:rsidRPr="00DF63CD">
              <w:rPr>
                <w:rFonts w:ascii="Times New Roman" w:hAnsi="Times New Roman"/>
                <w:strike/>
                <w:sz w:val="20"/>
                <w:szCs w:val="20"/>
              </w:rPr>
              <w:t>;</w:t>
            </w:r>
            <w:r w:rsidRPr="00DF63CD">
              <w:rPr>
                <w:rFonts w:ascii="Times New Roman" w:hAnsi="Times New Roman"/>
                <w:strike/>
                <w:sz w:val="20"/>
                <w:szCs w:val="20"/>
              </w:rPr>
              <w:t xml:space="preserve"> the vessel may only move type N open tank vessels.".</w:t>
            </w:r>
          </w:p>
        </w:tc>
      </w:tr>
    </w:tbl>
    <w:p w14:paraId="70683E81" w14:textId="6A32D226" w:rsidR="00240171" w:rsidRPr="00240171" w:rsidRDefault="00240171" w:rsidP="00240171">
      <w:pPr>
        <w:spacing w:before="240"/>
        <w:jc w:val="center"/>
        <w:rPr>
          <w:u w:val="single"/>
        </w:rPr>
      </w:pPr>
      <w:r>
        <w:rPr>
          <w:u w:val="single"/>
        </w:rPr>
        <w:tab/>
      </w:r>
      <w:r>
        <w:rPr>
          <w:u w:val="single"/>
        </w:rPr>
        <w:tab/>
      </w:r>
      <w:r>
        <w:rPr>
          <w:u w:val="single"/>
        </w:rPr>
        <w:tab/>
      </w:r>
    </w:p>
    <w:sectPr w:rsidR="00240171" w:rsidRPr="00240171" w:rsidSect="009C105F">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19B20" w14:textId="77777777" w:rsidR="008B40CE" w:rsidRDefault="008B40CE"/>
  </w:endnote>
  <w:endnote w:type="continuationSeparator" w:id="0">
    <w:p w14:paraId="469B2FD5" w14:textId="77777777" w:rsidR="008B40CE" w:rsidRDefault="008B40CE"/>
  </w:endnote>
  <w:endnote w:type="continuationNotice" w:id="1">
    <w:p w14:paraId="3388FDDA" w14:textId="77777777" w:rsidR="008B40CE" w:rsidRDefault="008B4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E5BCE" w14:textId="77777777" w:rsidR="00B32C06" w:rsidRPr="00B32C06" w:rsidRDefault="00B32C06" w:rsidP="00B32C06">
    <w:pPr>
      <w:pStyle w:val="Footer"/>
      <w:tabs>
        <w:tab w:val="right" w:pos="9638"/>
      </w:tabs>
      <w:rPr>
        <w:sz w:val="18"/>
      </w:rPr>
    </w:pPr>
    <w:r w:rsidRPr="00B32C06">
      <w:rPr>
        <w:b/>
        <w:sz w:val="18"/>
      </w:rPr>
      <w:fldChar w:fldCharType="begin"/>
    </w:r>
    <w:r w:rsidRPr="00B32C06">
      <w:rPr>
        <w:b/>
        <w:sz w:val="18"/>
      </w:rPr>
      <w:instrText xml:space="preserve"> PAGE  \* MERGEFORMAT </w:instrText>
    </w:r>
    <w:r w:rsidRPr="00B32C06">
      <w:rPr>
        <w:b/>
        <w:sz w:val="18"/>
      </w:rPr>
      <w:fldChar w:fldCharType="separate"/>
    </w:r>
    <w:r w:rsidRPr="00B32C06">
      <w:rPr>
        <w:b/>
        <w:noProof/>
        <w:sz w:val="18"/>
      </w:rPr>
      <w:t>2</w:t>
    </w:r>
    <w:r w:rsidRPr="00B32C0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147E6" w14:textId="77777777" w:rsidR="00B32C06" w:rsidRPr="00B32C06" w:rsidRDefault="00B32C06" w:rsidP="00B32C06">
    <w:pPr>
      <w:pStyle w:val="Footer"/>
      <w:tabs>
        <w:tab w:val="right" w:pos="9638"/>
      </w:tabs>
      <w:rPr>
        <w:b/>
        <w:sz w:val="18"/>
      </w:rPr>
    </w:pPr>
    <w:r>
      <w:tab/>
    </w:r>
    <w:r w:rsidRPr="00B32C06">
      <w:rPr>
        <w:b/>
        <w:sz w:val="18"/>
      </w:rPr>
      <w:fldChar w:fldCharType="begin"/>
    </w:r>
    <w:r w:rsidRPr="00B32C06">
      <w:rPr>
        <w:b/>
        <w:sz w:val="18"/>
      </w:rPr>
      <w:instrText xml:space="preserve"> PAGE  \* MERGEFORMAT </w:instrText>
    </w:r>
    <w:r w:rsidRPr="00B32C06">
      <w:rPr>
        <w:b/>
        <w:sz w:val="18"/>
      </w:rPr>
      <w:fldChar w:fldCharType="separate"/>
    </w:r>
    <w:r w:rsidRPr="00B32C06">
      <w:rPr>
        <w:b/>
        <w:noProof/>
        <w:sz w:val="18"/>
      </w:rPr>
      <w:t>3</w:t>
    </w:r>
    <w:r w:rsidRPr="00B32C0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8D78F" w14:textId="77777777" w:rsidR="008B40CE" w:rsidRPr="000B175B" w:rsidRDefault="008B40CE" w:rsidP="000B175B">
      <w:pPr>
        <w:tabs>
          <w:tab w:val="right" w:pos="2155"/>
        </w:tabs>
        <w:spacing w:after="80"/>
        <w:ind w:left="680"/>
        <w:rPr>
          <w:u w:val="single"/>
        </w:rPr>
      </w:pPr>
      <w:r>
        <w:rPr>
          <w:u w:val="single"/>
        </w:rPr>
        <w:tab/>
      </w:r>
    </w:p>
  </w:footnote>
  <w:footnote w:type="continuationSeparator" w:id="0">
    <w:p w14:paraId="1BD0DCAE" w14:textId="77777777" w:rsidR="008B40CE" w:rsidRPr="00FC68B7" w:rsidRDefault="008B40CE" w:rsidP="00FC68B7">
      <w:pPr>
        <w:tabs>
          <w:tab w:val="left" w:pos="2155"/>
        </w:tabs>
        <w:spacing w:after="80"/>
        <w:ind w:left="680"/>
        <w:rPr>
          <w:u w:val="single"/>
        </w:rPr>
      </w:pPr>
      <w:r>
        <w:rPr>
          <w:u w:val="single"/>
        </w:rPr>
        <w:tab/>
      </w:r>
    </w:p>
  </w:footnote>
  <w:footnote w:type="continuationNotice" w:id="1">
    <w:p w14:paraId="69CFDBAA" w14:textId="77777777" w:rsidR="008B40CE" w:rsidRDefault="008B40CE"/>
  </w:footnote>
  <w:footnote w:id="2">
    <w:p w14:paraId="2F65C30E" w14:textId="605B78BD" w:rsidR="001C4AEB" w:rsidRPr="004D45CD" w:rsidRDefault="001C4AEB" w:rsidP="001C4AEB">
      <w:pPr>
        <w:pStyle w:val="FootnoteText"/>
      </w:pPr>
      <w:r>
        <w:rPr>
          <w:rStyle w:val="FootnoteReference"/>
        </w:rPr>
        <w:tab/>
      </w:r>
      <w:r w:rsidRPr="00424130">
        <w:rPr>
          <w:rStyle w:val="FootnoteReference"/>
          <w:sz w:val="20"/>
          <w:vertAlign w:val="baseline"/>
        </w:rPr>
        <w:t>*</w:t>
      </w:r>
      <w:r>
        <w:rPr>
          <w:rStyle w:val="FootnoteReference"/>
          <w:sz w:val="20"/>
          <w:vertAlign w:val="baseline"/>
        </w:rPr>
        <w:tab/>
      </w:r>
      <w:r w:rsidRPr="00632167">
        <w:rPr>
          <w:szCs w:val="18"/>
        </w:rPr>
        <w:t>Distributed in German by the Central Commission for the Navigation of the Rhine under the symbol CCNR/ZKR/ADN/</w:t>
      </w:r>
      <w:r w:rsidRPr="00632167">
        <w:t>WP</w:t>
      </w:r>
      <w:r w:rsidRPr="00632167">
        <w:rPr>
          <w:szCs w:val="18"/>
        </w:rPr>
        <w:t>.15/AC.2/20</w:t>
      </w:r>
      <w:r>
        <w:rPr>
          <w:szCs w:val="18"/>
        </w:rPr>
        <w:t>20</w:t>
      </w:r>
      <w:r w:rsidRPr="00632167">
        <w:rPr>
          <w:szCs w:val="18"/>
        </w:rPr>
        <w:t>/</w:t>
      </w:r>
      <w:r>
        <w:rPr>
          <w:szCs w:val="18"/>
        </w:rPr>
        <w:t>17</w:t>
      </w:r>
      <w:r w:rsidRPr="00632167">
        <w:rPr>
          <w:szCs w:val="18"/>
        </w:rPr>
        <w:t>.</w:t>
      </w:r>
    </w:p>
  </w:footnote>
  <w:footnote w:id="3">
    <w:p w14:paraId="6DF8C0EE" w14:textId="77777777" w:rsidR="001C4AEB" w:rsidRPr="00115055" w:rsidRDefault="001C4AEB" w:rsidP="001C4AEB">
      <w:pPr>
        <w:pStyle w:val="FootnoteText"/>
        <w:widowControl w:val="0"/>
      </w:pPr>
      <w:r>
        <w:rPr>
          <w:rStyle w:val="FootnoteReference"/>
        </w:rPr>
        <w:tab/>
      </w:r>
      <w:r w:rsidRPr="00424130">
        <w:rPr>
          <w:rStyle w:val="FootnoteReference"/>
          <w:sz w:val="20"/>
          <w:vertAlign w:val="baseline"/>
        </w:rPr>
        <w:t>**</w:t>
      </w:r>
      <w:r>
        <w:rPr>
          <w:rStyle w:val="FootnoteReference"/>
          <w:sz w:val="20"/>
          <w:vertAlign w:val="baseline"/>
        </w:rPr>
        <w:tab/>
      </w:r>
      <w:r w:rsidRPr="00115055">
        <w:rPr>
          <w:szCs w:val="18"/>
        </w:rPr>
        <w:t>In accordance with the programme o</w:t>
      </w:r>
      <w:r>
        <w:rPr>
          <w:szCs w:val="18"/>
        </w:rPr>
        <w:t>f work of the Inland Transport Committee for 2018</w:t>
      </w:r>
      <w:r>
        <w:rPr>
          <w:rFonts w:ascii="Arial" w:hAnsi="Arial" w:cs="Arial"/>
          <w:color w:val="545454"/>
          <w:shd w:val="clear" w:color="auto" w:fill="FFFFFF"/>
        </w:rPr>
        <w:t>–</w:t>
      </w:r>
      <w:r>
        <w:rPr>
          <w:szCs w:val="18"/>
        </w:rPr>
        <w:t>2019 (ECE/TRANS/2018/21/Add.1, cluster 9.3</w:t>
      </w:r>
      <w:r w:rsidRPr="00115055">
        <w:rPr>
          <w:szCs w:val="18"/>
        </w:rPr>
        <w:t>).</w:t>
      </w:r>
    </w:p>
    <w:p w14:paraId="7B0E6A49" w14:textId="77777777" w:rsidR="001C4AEB" w:rsidRPr="004D45CD" w:rsidRDefault="001C4AEB" w:rsidP="001C4AE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188E7" w14:textId="4BB28A1D" w:rsidR="00B32C06" w:rsidRPr="00071706" w:rsidRDefault="00071706">
    <w:pPr>
      <w:pStyle w:val="Header"/>
      <w:rPr>
        <w:lang w:val="fr-CH"/>
      </w:rPr>
    </w:pPr>
    <w:r>
      <w:rPr>
        <w:lang w:val="fr-CH"/>
      </w:rPr>
      <w:t>ECE/TRANS/WP.15/AC.2/2020/1</w:t>
    </w:r>
    <w:r w:rsidR="000357F9">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2063E" w14:textId="07392B73" w:rsidR="00B32C06" w:rsidRPr="00B32C06" w:rsidRDefault="000357F9" w:rsidP="00B32C06">
    <w:pPr>
      <w:pStyle w:val="Header"/>
      <w:jc w:val="right"/>
    </w:pPr>
    <w:r>
      <w:t>ECE/TRANS/WP.15/AC.2/2020/17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4E7150"/>
    <w:multiLevelType w:val="hybridMultilevel"/>
    <w:tmpl w:val="A2CC1B80"/>
    <w:lvl w:ilvl="0" w:tplc="6C5A1F6E">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4C21341"/>
    <w:multiLevelType w:val="hybridMultilevel"/>
    <w:tmpl w:val="52E4675C"/>
    <w:lvl w:ilvl="0" w:tplc="83781440">
      <w:start w:val="1"/>
      <w:numFmt w:val="upperLetter"/>
      <w:lvlText w:val="%1."/>
      <w:lvlJc w:val="left"/>
      <w:pPr>
        <w:ind w:left="1140" w:hanging="525"/>
      </w:pPr>
      <w:rPr>
        <w:rFonts w:hint="default"/>
      </w:rPr>
    </w:lvl>
    <w:lvl w:ilvl="1" w:tplc="04070019" w:tentative="1">
      <w:start w:val="1"/>
      <w:numFmt w:val="lowerLetter"/>
      <w:lvlText w:val="%2."/>
      <w:lvlJc w:val="left"/>
      <w:pPr>
        <w:ind w:left="1695" w:hanging="360"/>
      </w:pPr>
    </w:lvl>
    <w:lvl w:ilvl="2" w:tplc="0407001B" w:tentative="1">
      <w:start w:val="1"/>
      <w:numFmt w:val="lowerRoman"/>
      <w:lvlText w:val="%3."/>
      <w:lvlJc w:val="right"/>
      <w:pPr>
        <w:ind w:left="2415" w:hanging="180"/>
      </w:pPr>
    </w:lvl>
    <w:lvl w:ilvl="3" w:tplc="0407000F" w:tentative="1">
      <w:start w:val="1"/>
      <w:numFmt w:val="decimal"/>
      <w:lvlText w:val="%4."/>
      <w:lvlJc w:val="left"/>
      <w:pPr>
        <w:ind w:left="3135" w:hanging="360"/>
      </w:pPr>
    </w:lvl>
    <w:lvl w:ilvl="4" w:tplc="04070019" w:tentative="1">
      <w:start w:val="1"/>
      <w:numFmt w:val="lowerLetter"/>
      <w:lvlText w:val="%5."/>
      <w:lvlJc w:val="left"/>
      <w:pPr>
        <w:ind w:left="3855" w:hanging="360"/>
      </w:pPr>
    </w:lvl>
    <w:lvl w:ilvl="5" w:tplc="0407001B" w:tentative="1">
      <w:start w:val="1"/>
      <w:numFmt w:val="lowerRoman"/>
      <w:lvlText w:val="%6."/>
      <w:lvlJc w:val="right"/>
      <w:pPr>
        <w:ind w:left="4575" w:hanging="180"/>
      </w:pPr>
    </w:lvl>
    <w:lvl w:ilvl="6" w:tplc="0407000F" w:tentative="1">
      <w:start w:val="1"/>
      <w:numFmt w:val="decimal"/>
      <w:lvlText w:val="%7."/>
      <w:lvlJc w:val="left"/>
      <w:pPr>
        <w:ind w:left="5295" w:hanging="360"/>
      </w:pPr>
    </w:lvl>
    <w:lvl w:ilvl="7" w:tplc="04070019" w:tentative="1">
      <w:start w:val="1"/>
      <w:numFmt w:val="lowerLetter"/>
      <w:lvlText w:val="%8."/>
      <w:lvlJc w:val="left"/>
      <w:pPr>
        <w:ind w:left="6015" w:hanging="360"/>
      </w:pPr>
    </w:lvl>
    <w:lvl w:ilvl="8" w:tplc="0407001B" w:tentative="1">
      <w:start w:val="1"/>
      <w:numFmt w:val="lowerRoman"/>
      <w:lvlText w:val="%9."/>
      <w:lvlJc w:val="right"/>
      <w:pPr>
        <w:ind w:left="6735"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741EA2"/>
    <w:multiLevelType w:val="hybridMultilevel"/>
    <w:tmpl w:val="5ABC319E"/>
    <w:lvl w:ilvl="0" w:tplc="EA705DC4">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20"/>
  </w:num>
  <w:num w:numId="18">
    <w:abstractNumId w:val="21"/>
  </w:num>
  <w:num w:numId="19">
    <w:abstractNumId w:val="11"/>
  </w:num>
  <w:num w:numId="20">
    <w:abstractNumId w:val="11"/>
  </w:num>
  <w:num w:numId="21">
    <w:abstractNumId w:val="12"/>
  </w:num>
  <w:num w:numId="22">
    <w:abstractNumId w:val="19"/>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06"/>
    <w:rsid w:val="00002A7D"/>
    <w:rsid w:val="000038A8"/>
    <w:rsid w:val="00006790"/>
    <w:rsid w:val="00016BFE"/>
    <w:rsid w:val="00027624"/>
    <w:rsid w:val="000322D1"/>
    <w:rsid w:val="000332B3"/>
    <w:rsid w:val="000357F9"/>
    <w:rsid w:val="00035AEC"/>
    <w:rsid w:val="00050F6B"/>
    <w:rsid w:val="00053F27"/>
    <w:rsid w:val="0005516E"/>
    <w:rsid w:val="000678CD"/>
    <w:rsid w:val="00071706"/>
    <w:rsid w:val="00072A40"/>
    <w:rsid w:val="00072C8C"/>
    <w:rsid w:val="000769C0"/>
    <w:rsid w:val="00081CE0"/>
    <w:rsid w:val="00084D30"/>
    <w:rsid w:val="00090320"/>
    <w:rsid w:val="000931C0"/>
    <w:rsid w:val="0009732C"/>
    <w:rsid w:val="000A01F9"/>
    <w:rsid w:val="000A2A5E"/>
    <w:rsid w:val="000A2E09"/>
    <w:rsid w:val="000A6EFA"/>
    <w:rsid w:val="000A7667"/>
    <w:rsid w:val="000B062D"/>
    <w:rsid w:val="000B0C03"/>
    <w:rsid w:val="000B175B"/>
    <w:rsid w:val="000B3A0F"/>
    <w:rsid w:val="000B46E1"/>
    <w:rsid w:val="000C04EA"/>
    <w:rsid w:val="000C4656"/>
    <w:rsid w:val="000D77E0"/>
    <w:rsid w:val="000E0415"/>
    <w:rsid w:val="000E0C87"/>
    <w:rsid w:val="000E1258"/>
    <w:rsid w:val="000E31FF"/>
    <w:rsid w:val="000E41F8"/>
    <w:rsid w:val="000F7715"/>
    <w:rsid w:val="00101765"/>
    <w:rsid w:val="00121E33"/>
    <w:rsid w:val="00150555"/>
    <w:rsid w:val="00156B99"/>
    <w:rsid w:val="001606DD"/>
    <w:rsid w:val="00166124"/>
    <w:rsid w:val="00184DDA"/>
    <w:rsid w:val="001900CD"/>
    <w:rsid w:val="00190E1B"/>
    <w:rsid w:val="00192AC0"/>
    <w:rsid w:val="00197F95"/>
    <w:rsid w:val="001A0452"/>
    <w:rsid w:val="001A4EDA"/>
    <w:rsid w:val="001B06A4"/>
    <w:rsid w:val="001B0D7C"/>
    <w:rsid w:val="001B4B04"/>
    <w:rsid w:val="001B5875"/>
    <w:rsid w:val="001B74EB"/>
    <w:rsid w:val="001C4AEB"/>
    <w:rsid w:val="001C4B9C"/>
    <w:rsid w:val="001C6663"/>
    <w:rsid w:val="001C7895"/>
    <w:rsid w:val="001D26DF"/>
    <w:rsid w:val="001D69D5"/>
    <w:rsid w:val="001D79DB"/>
    <w:rsid w:val="001E04CB"/>
    <w:rsid w:val="001E31A3"/>
    <w:rsid w:val="001E35A2"/>
    <w:rsid w:val="001F1599"/>
    <w:rsid w:val="001F19C4"/>
    <w:rsid w:val="001F256D"/>
    <w:rsid w:val="00202ED3"/>
    <w:rsid w:val="002043F0"/>
    <w:rsid w:val="00207124"/>
    <w:rsid w:val="00211E0B"/>
    <w:rsid w:val="00230311"/>
    <w:rsid w:val="00232575"/>
    <w:rsid w:val="00240171"/>
    <w:rsid w:val="00241577"/>
    <w:rsid w:val="00241664"/>
    <w:rsid w:val="00244ECC"/>
    <w:rsid w:val="00247258"/>
    <w:rsid w:val="0025098B"/>
    <w:rsid w:val="00257CAC"/>
    <w:rsid w:val="00257EA0"/>
    <w:rsid w:val="00261CB1"/>
    <w:rsid w:val="00264441"/>
    <w:rsid w:val="0027237A"/>
    <w:rsid w:val="00274070"/>
    <w:rsid w:val="00275FC0"/>
    <w:rsid w:val="002974E9"/>
    <w:rsid w:val="002A08A3"/>
    <w:rsid w:val="002A7F94"/>
    <w:rsid w:val="002B058E"/>
    <w:rsid w:val="002B109A"/>
    <w:rsid w:val="002C46FC"/>
    <w:rsid w:val="002C4963"/>
    <w:rsid w:val="002C4D2D"/>
    <w:rsid w:val="002C6D45"/>
    <w:rsid w:val="002D619D"/>
    <w:rsid w:val="002D6E53"/>
    <w:rsid w:val="002F046D"/>
    <w:rsid w:val="002F3023"/>
    <w:rsid w:val="00301537"/>
    <w:rsid w:val="00301764"/>
    <w:rsid w:val="003142DD"/>
    <w:rsid w:val="003229D8"/>
    <w:rsid w:val="00331D99"/>
    <w:rsid w:val="00336C97"/>
    <w:rsid w:val="00337F88"/>
    <w:rsid w:val="00342432"/>
    <w:rsid w:val="0035223F"/>
    <w:rsid w:val="00352A16"/>
    <w:rsid w:val="00352D4B"/>
    <w:rsid w:val="003532C0"/>
    <w:rsid w:val="0035474D"/>
    <w:rsid w:val="0035500D"/>
    <w:rsid w:val="0035638C"/>
    <w:rsid w:val="00365C9C"/>
    <w:rsid w:val="00365CB4"/>
    <w:rsid w:val="00367B52"/>
    <w:rsid w:val="00375663"/>
    <w:rsid w:val="00376E52"/>
    <w:rsid w:val="00380E69"/>
    <w:rsid w:val="00387C99"/>
    <w:rsid w:val="003966BE"/>
    <w:rsid w:val="003A46BB"/>
    <w:rsid w:val="003A4EC7"/>
    <w:rsid w:val="003A5B72"/>
    <w:rsid w:val="003A7295"/>
    <w:rsid w:val="003B0E2B"/>
    <w:rsid w:val="003B1F60"/>
    <w:rsid w:val="003B20E5"/>
    <w:rsid w:val="003C07AC"/>
    <w:rsid w:val="003C2CC4"/>
    <w:rsid w:val="003C57DB"/>
    <w:rsid w:val="003D0065"/>
    <w:rsid w:val="003D4B23"/>
    <w:rsid w:val="003E278A"/>
    <w:rsid w:val="003E3373"/>
    <w:rsid w:val="003E7344"/>
    <w:rsid w:val="004061EE"/>
    <w:rsid w:val="00412004"/>
    <w:rsid w:val="00413520"/>
    <w:rsid w:val="00413B3A"/>
    <w:rsid w:val="00416B5C"/>
    <w:rsid w:val="00420DB0"/>
    <w:rsid w:val="0042127E"/>
    <w:rsid w:val="00422CA8"/>
    <w:rsid w:val="0042344C"/>
    <w:rsid w:val="00425C6E"/>
    <w:rsid w:val="004325CB"/>
    <w:rsid w:val="00440A07"/>
    <w:rsid w:val="004523F0"/>
    <w:rsid w:val="00462880"/>
    <w:rsid w:val="00475C4A"/>
    <w:rsid w:val="00476F24"/>
    <w:rsid w:val="00482190"/>
    <w:rsid w:val="00484504"/>
    <w:rsid w:val="00486DAB"/>
    <w:rsid w:val="004A129F"/>
    <w:rsid w:val="004B1F00"/>
    <w:rsid w:val="004C55B0"/>
    <w:rsid w:val="004D4498"/>
    <w:rsid w:val="004E3C94"/>
    <w:rsid w:val="004E6B87"/>
    <w:rsid w:val="004F2920"/>
    <w:rsid w:val="004F6BA0"/>
    <w:rsid w:val="00503BEA"/>
    <w:rsid w:val="00512A88"/>
    <w:rsid w:val="00513CE2"/>
    <w:rsid w:val="00514739"/>
    <w:rsid w:val="005271D7"/>
    <w:rsid w:val="005322B3"/>
    <w:rsid w:val="005327A4"/>
    <w:rsid w:val="00533616"/>
    <w:rsid w:val="00535ABA"/>
    <w:rsid w:val="0053768B"/>
    <w:rsid w:val="00537FE3"/>
    <w:rsid w:val="00540596"/>
    <w:rsid w:val="005420F2"/>
    <w:rsid w:val="0054285C"/>
    <w:rsid w:val="0054351B"/>
    <w:rsid w:val="005636CC"/>
    <w:rsid w:val="0056748D"/>
    <w:rsid w:val="00581601"/>
    <w:rsid w:val="00584173"/>
    <w:rsid w:val="00591FD3"/>
    <w:rsid w:val="00593F64"/>
    <w:rsid w:val="00595520"/>
    <w:rsid w:val="00597AE4"/>
    <w:rsid w:val="005A1612"/>
    <w:rsid w:val="005A44B9"/>
    <w:rsid w:val="005B1BA0"/>
    <w:rsid w:val="005B3DB3"/>
    <w:rsid w:val="005C3B8D"/>
    <w:rsid w:val="005D15CA"/>
    <w:rsid w:val="005D5063"/>
    <w:rsid w:val="005D5ACB"/>
    <w:rsid w:val="005D6CA9"/>
    <w:rsid w:val="005D7969"/>
    <w:rsid w:val="005E6C81"/>
    <w:rsid w:val="005F08DF"/>
    <w:rsid w:val="005F3066"/>
    <w:rsid w:val="005F3E61"/>
    <w:rsid w:val="005F4FE2"/>
    <w:rsid w:val="005F658E"/>
    <w:rsid w:val="005F72A7"/>
    <w:rsid w:val="00604DDD"/>
    <w:rsid w:val="006111B3"/>
    <w:rsid w:val="006115CC"/>
    <w:rsid w:val="00611FC4"/>
    <w:rsid w:val="00614D08"/>
    <w:rsid w:val="006176FB"/>
    <w:rsid w:val="006202BF"/>
    <w:rsid w:val="00630FCB"/>
    <w:rsid w:val="0063178E"/>
    <w:rsid w:val="00631AE0"/>
    <w:rsid w:val="0063277D"/>
    <w:rsid w:val="00633C0C"/>
    <w:rsid w:val="00635E7A"/>
    <w:rsid w:val="00637919"/>
    <w:rsid w:val="00637BC1"/>
    <w:rsid w:val="00640B26"/>
    <w:rsid w:val="00653549"/>
    <w:rsid w:val="00653F92"/>
    <w:rsid w:val="006562B3"/>
    <w:rsid w:val="0065766B"/>
    <w:rsid w:val="00657A46"/>
    <w:rsid w:val="00671EB8"/>
    <w:rsid w:val="00672921"/>
    <w:rsid w:val="006770B2"/>
    <w:rsid w:val="00681326"/>
    <w:rsid w:val="00684531"/>
    <w:rsid w:val="00686A48"/>
    <w:rsid w:val="006940E1"/>
    <w:rsid w:val="006969E8"/>
    <w:rsid w:val="006A05C3"/>
    <w:rsid w:val="006A1DCE"/>
    <w:rsid w:val="006A252E"/>
    <w:rsid w:val="006A3C72"/>
    <w:rsid w:val="006A4EB1"/>
    <w:rsid w:val="006A7392"/>
    <w:rsid w:val="006B03A1"/>
    <w:rsid w:val="006B67D9"/>
    <w:rsid w:val="006B797B"/>
    <w:rsid w:val="006C5535"/>
    <w:rsid w:val="006D0589"/>
    <w:rsid w:val="006E564B"/>
    <w:rsid w:val="006E7154"/>
    <w:rsid w:val="006F1409"/>
    <w:rsid w:val="006F7BE8"/>
    <w:rsid w:val="007003CD"/>
    <w:rsid w:val="007032CE"/>
    <w:rsid w:val="00704944"/>
    <w:rsid w:val="007064BA"/>
    <w:rsid w:val="0070701E"/>
    <w:rsid w:val="00712C70"/>
    <w:rsid w:val="0072632A"/>
    <w:rsid w:val="007265BC"/>
    <w:rsid w:val="007268C5"/>
    <w:rsid w:val="007358E8"/>
    <w:rsid w:val="00736ECE"/>
    <w:rsid w:val="0074533B"/>
    <w:rsid w:val="00753531"/>
    <w:rsid w:val="007643BC"/>
    <w:rsid w:val="007665FA"/>
    <w:rsid w:val="00770041"/>
    <w:rsid w:val="00780C68"/>
    <w:rsid w:val="00783D94"/>
    <w:rsid w:val="00784023"/>
    <w:rsid w:val="007959FE"/>
    <w:rsid w:val="007976DB"/>
    <w:rsid w:val="007A0CF1"/>
    <w:rsid w:val="007A478E"/>
    <w:rsid w:val="007B2EE5"/>
    <w:rsid w:val="007B6BA5"/>
    <w:rsid w:val="007C3390"/>
    <w:rsid w:val="007C42D8"/>
    <w:rsid w:val="007C4F4B"/>
    <w:rsid w:val="007D7362"/>
    <w:rsid w:val="007E6BB2"/>
    <w:rsid w:val="007F5CE2"/>
    <w:rsid w:val="007F6611"/>
    <w:rsid w:val="00800522"/>
    <w:rsid w:val="00802F87"/>
    <w:rsid w:val="0080395C"/>
    <w:rsid w:val="00810BAC"/>
    <w:rsid w:val="008175E9"/>
    <w:rsid w:val="00823857"/>
    <w:rsid w:val="008242D7"/>
    <w:rsid w:val="00824489"/>
    <w:rsid w:val="0082577B"/>
    <w:rsid w:val="008272DD"/>
    <w:rsid w:val="00834D99"/>
    <w:rsid w:val="008412FD"/>
    <w:rsid w:val="00844AF7"/>
    <w:rsid w:val="008465F3"/>
    <w:rsid w:val="008603D1"/>
    <w:rsid w:val="00866893"/>
    <w:rsid w:val="00866F02"/>
    <w:rsid w:val="00867D18"/>
    <w:rsid w:val="00871F9A"/>
    <w:rsid w:val="00871FD5"/>
    <w:rsid w:val="00876105"/>
    <w:rsid w:val="0088172E"/>
    <w:rsid w:val="008817EE"/>
    <w:rsid w:val="00881EFA"/>
    <w:rsid w:val="00882406"/>
    <w:rsid w:val="0088625D"/>
    <w:rsid w:val="008879CB"/>
    <w:rsid w:val="00896896"/>
    <w:rsid w:val="008979B1"/>
    <w:rsid w:val="008A2AD9"/>
    <w:rsid w:val="008A44AE"/>
    <w:rsid w:val="008A6B25"/>
    <w:rsid w:val="008A6C4F"/>
    <w:rsid w:val="008A77AE"/>
    <w:rsid w:val="008B389E"/>
    <w:rsid w:val="008B40CE"/>
    <w:rsid w:val="008D045E"/>
    <w:rsid w:val="008D3693"/>
    <w:rsid w:val="008D3F25"/>
    <w:rsid w:val="008D4D82"/>
    <w:rsid w:val="008E0E46"/>
    <w:rsid w:val="008E7116"/>
    <w:rsid w:val="008E750E"/>
    <w:rsid w:val="008F143B"/>
    <w:rsid w:val="008F2720"/>
    <w:rsid w:val="008F3882"/>
    <w:rsid w:val="008F42FA"/>
    <w:rsid w:val="008F4B7C"/>
    <w:rsid w:val="0090366F"/>
    <w:rsid w:val="00904F82"/>
    <w:rsid w:val="00923596"/>
    <w:rsid w:val="009242DA"/>
    <w:rsid w:val="00924BB1"/>
    <w:rsid w:val="00926E47"/>
    <w:rsid w:val="00933854"/>
    <w:rsid w:val="00947162"/>
    <w:rsid w:val="009610D0"/>
    <w:rsid w:val="00961F2A"/>
    <w:rsid w:val="0096375C"/>
    <w:rsid w:val="009662E6"/>
    <w:rsid w:val="0097095E"/>
    <w:rsid w:val="00975A52"/>
    <w:rsid w:val="00981A60"/>
    <w:rsid w:val="0098592B"/>
    <w:rsid w:val="00985FC4"/>
    <w:rsid w:val="00990766"/>
    <w:rsid w:val="00991261"/>
    <w:rsid w:val="009952E2"/>
    <w:rsid w:val="009964C4"/>
    <w:rsid w:val="00996C73"/>
    <w:rsid w:val="009A4368"/>
    <w:rsid w:val="009A7B81"/>
    <w:rsid w:val="009B5933"/>
    <w:rsid w:val="009C105F"/>
    <w:rsid w:val="009C69BB"/>
    <w:rsid w:val="009D01C0"/>
    <w:rsid w:val="009D6A08"/>
    <w:rsid w:val="009E0A16"/>
    <w:rsid w:val="009E5986"/>
    <w:rsid w:val="009E6CB7"/>
    <w:rsid w:val="009E7970"/>
    <w:rsid w:val="009F2EAC"/>
    <w:rsid w:val="009F57E3"/>
    <w:rsid w:val="009F7C3F"/>
    <w:rsid w:val="00A01EFD"/>
    <w:rsid w:val="00A031E0"/>
    <w:rsid w:val="00A10B2F"/>
    <w:rsid w:val="00A10F4F"/>
    <w:rsid w:val="00A11067"/>
    <w:rsid w:val="00A1704A"/>
    <w:rsid w:val="00A3207B"/>
    <w:rsid w:val="00A4156A"/>
    <w:rsid w:val="00A425EB"/>
    <w:rsid w:val="00A42D12"/>
    <w:rsid w:val="00A64735"/>
    <w:rsid w:val="00A72F22"/>
    <w:rsid w:val="00A733BC"/>
    <w:rsid w:val="00A748A6"/>
    <w:rsid w:val="00A76A69"/>
    <w:rsid w:val="00A81F92"/>
    <w:rsid w:val="00A879A4"/>
    <w:rsid w:val="00A9465F"/>
    <w:rsid w:val="00AA0FF8"/>
    <w:rsid w:val="00AA44CD"/>
    <w:rsid w:val="00AA4D4E"/>
    <w:rsid w:val="00AC0F2C"/>
    <w:rsid w:val="00AC148D"/>
    <w:rsid w:val="00AC502A"/>
    <w:rsid w:val="00AC7B09"/>
    <w:rsid w:val="00AE4422"/>
    <w:rsid w:val="00AF58C1"/>
    <w:rsid w:val="00B03191"/>
    <w:rsid w:val="00B04A3F"/>
    <w:rsid w:val="00B06643"/>
    <w:rsid w:val="00B14C0E"/>
    <w:rsid w:val="00B15055"/>
    <w:rsid w:val="00B20551"/>
    <w:rsid w:val="00B242AD"/>
    <w:rsid w:val="00B30179"/>
    <w:rsid w:val="00B3074F"/>
    <w:rsid w:val="00B31CF1"/>
    <w:rsid w:val="00B32C06"/>
    <w:rsid w:val="00B33FC7"/>
    <w:rsid w:val="00B37B15"/>
    <w:rsid w:val="00B452E4"/>
    <w:rsid w:val="00B45C02"/>
    <w:rsid w:val="00B64C75"/>
    <w:rsid w:val="00B64EC0"/>
    <w:rsid w:val="00B70B63"/>
    <w:rsid w:val="00B72A1E"/>
    <w:rsid w:val="00B81E12"/>
    <w:rsid w:val="00BA2C2D"/>
    <w:rsid w:val="00BA339B"/>
    <w:rsid w:val="00BA45F5"/>
    <w:rsid w:val="00BB009E"/>
    <w:rsid w:val="00BB2195"/>
    <w:rsid w:val="00BB23CC"/>
    <w:rsid w:val="00BB2DDB"/>
    <w:rsid w:val="00BC1E7E"/>
    <w:rsid w:val="00BC6ED9"/>
    <w:rsid w:val="00BC74E9"/>
    <w:rsid w:val="00BE30F9"/>
    <w:rsid w:val="00BE36A9"/>
    <w:rsid w:val="00BE618E"/>
    <w:rsid w:val="00BE7BEC"/>
    <w:rsid w:val="00BF0A5A"/>
    <w:rsid w:val="00BF0E63"/>
    <w:rsid w:val="00BF12A3"/>
    <w:rsid w:val="00BF16D7"/>
    <w:rsid w:val="00BF2373"/>
    <w:rsid w:val="00C0294F"/>
    <w:rsid w:val="00C02F9C"/>
    <w:rsid w:val="00C044E2"/>
    <w:rsid w:val="00C048CB"/>
    <w:rsid w:val="00C06197"/>
    <w:rsid w:val="00C066F3"/>
    <w:rsid w:val="00C408B7"/>
    <w:rsid w:val="00C411EB"/>
    <w:rsid w:val="00C43941"/>
    <w:rsid w:val="00C463DD"/>
    <w:rsid w:val="00C5541D"/>
    <w:rsid w:val="00C55CAF"/>
    <w:rsid w:val="00C6051C"/>
    <w:rsid w:val="00C745C3"/>
    <w:rsid w:val="00C76AE0"/>
    <w:rsid w:val="00C8218A"/>
    <w:rsid w:val="00C902C5"/>
    <w:rsid w:val="00C92535"/>
    <w:rsid w:val="00C978F5"/>
    <w:rsid w:val="00C97E95"/>
    <w:rsid w:val="00CA24A4"/>
    <w:rsid w:val="00CA6A9C"/>
    <w:rsid w:val="00CB0A16"/>
    <w:rsid w:val="00CB259E"/>
    <w:rsid w:val="00CB25D0"/>
    <w:rsid w:val="00CB348D"/>
    <w:rsid w:val="00CB6DA2"/>
    <w:rsid w:val="00CC0AA2"/>
    <w:rsid w:val="00CD46F5"/>
    <w:rsid w:val="00CE404B"/>
    <w:rsid w:val="00CE4A8F"/>
    <w:rsid w:val="00CE78F6"/>
    <w:rsid w:val="00CF071D"/>
    <w:rsid w:val="00CF0754"/>
    <w:rsid w:val="00CF6271"/>
    <w:rsid w:val="00D0123D"/>
    <w:rsid w:val="00D01339"/>
    <w:rsid w:val="00D143B7"/>
    <w:rsid w:val="00D15B04"/>
    <w:rsid w:val="00D2031B"/>
    <w:rsid w:val="00D24FA1"/>
    <w:rsid w:val="00D25FE2"/>
    <w:rsid w:val="00D32CCA"/>
    <w:rsid w:val="00D368BE"/>
    <w:rsid w:val="00D37DA9"/>
    <w:rsid w:val="00D406A7"/>
    <w:rsid w:val="00D40765"/>
    <w:rsid w:val="00D43252"/>
    <w:rsid w:val="00D44D86"/>
    <w:rsid w:val="00D45364"/>
    <w:rsid w:val="00D50B7D"/>
    <w:rsid w:val="00D52012"/>
    <w:rsid w:val="00D6158E"/>
    <w:rsid w:val="00D704E5"/>
    <w:rsid w:val="00D72727"/>
    <w:rsid w:val="00D74704"/>
    <w:rsid w:val="00D74F24"/>
    <w:rsid w:val="00D80FBF"/>
    <w:rsid w:val="00D83604"/>
    <w:rsid w:val="00D865F4"/>
    <w:rsid w:val="00D911D3"/>
    <w:rsid w:val="00D92271"/>
    <w:rsid w:val="00D937D8"/>
    <w:rsid w:val="00D954DF"/>
    <w:rsid w:val="00D960F6"/>
    <w:rsid w:val="00D978C6"/>
    <w:rsid w:val="00DA0956"/>
    <w:rsid w:val="00DA357F"/>
    <w:rsid w:val="00DA35E6"/>
    <w:rsid w:val="00DA3E12"/>
    <w:rsid w:val="00DB2209"/>
    <w:rsid w:val="00DB599C"/>
    <w:rsid w:val="00DC18AD"/>
    <w:rsid w:val="00DD0D05"/>
    <w:rsid w:val="00DD67A7"/>
    <w:rsid w:val="00DE3AE8"/>
    <w:rsid w:val="00DE4354"/>
    <w:rsid w:val="00DE4E22"/>
    <w:rsid w:val="00DE653E"/>
    <w:rsid w:val="00DF2A0B"/>
    <w:rsid w:val="00DF482B"/>
    <w:rsid w:val="00DF63CD"/>
    <w:rsid w:val="00DF7CAE"/>
    <w:rsid w:val="00E30519"/>
    <w:rsid w:val="00E34FBB"/>
    <w:rsid w:val="00E423C0"/>
    <w:rsid w:val="00E4592E"/>
    <w:rsid w:val="00E5764E"/>
    <w:rsid w:val="00E6063E"/>
    <w:rsid w:val="00E637EB"/>
    <w:rsid w:val="00E6414C"/>
    <w:rsid w:val="00E64C45"/>
    <w:rsid w:val="00E72463"/>
    <w:rsid w:val="00E7260F"/>
    <w:rsid w:val="00E740FC"/>
    <w:rsid w:val="00E744AC"/>
    <w:rsid w:val="00E8702D"/>
    <w:rsid w:val="00E905F4"/>
    <w:rsid w:val="00E90830"/>
    <w:rsid w:val="00E9090C"/>
    <w:rsid w:val="00E916A9"/>
    <w:rsid w:val="00E916DE"/>
    <w:rsid w:val="00E925AD"/>
    <w:rsid w:val="00E96630"/>
    <w:rsid w:val="00EA15B1"/>
    <w:rsid w:val="00EC417D"/>
    <w:rsid w:val="00EC5987"/>
    <w:rsid w:val="00ED18DC"/>
    <w:rsid w:val="00ED31D0"/>
    <w:rsid w:val="00ED34AE"/>
    <w:rsid w:val="00ED6201"/>
    <w:rsid w:val="00ED7A2A"/>
    <w:rsid w:val="00EE251C"/>
    <w:rsid w:val="00EE3072"/>
    <w:rsid w:val="00EF1D0D"/>
    <w:rsid w:val="00EF1D7F"/>
    <w:rsid w:val="00F0137E"/>
    <w:rsid w:val="00F16707"/>
    <w:rsid w:val="00F175BD"/>
    <w:rsid w:val="00F21786"/>
    <w:rsid w:val="00F2452F"/>
    <w:rsid w:val="00F26615"/>
    <w:rsid w:val="00F35BF2"/>
    <w:rsid w:val="00F3742B"/>
    <w:rsid w:val="00F41FDB"/>
    <w:rsid w:val="00F47537"/>
    <w:rsid w:val="00F47A88"/>
    <w:rsid w:val="00F50596"/>
    <w:rsid w:val="00F52BA3"/>
    <w:rsid w:val="00F56D63"/>
    <w:rsid w:val="00F609A9"/>
    <w:rsid w:val="00F80C99"/>
    <w:rsid w:val="00F867EC"/>
    <w:rsid w:val="00F90577"/>
    <w:rsid w:val="00F9074D"/>
    <w:rsid w:val="00F91B2B"/>
    <w:rsid w:val="00FB55DA"/>
    <w:rsid w:val="00FC03CD"/>
    <w:rsid w:val="00FC0646"/>
    <w:rsid w:val="00FC1924"/>
    <w:rsid w:val="00FC68B7"/>
    <w:rsid w:val="00FC7A14"/>
    <w:rsid w:val="00FE6985"/>
    <w:rsid w:val="00FE77DC"/>
    <w:rsid w:val="00FF7EE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4F7802"/>
  <w15:docId w15:val="{A66564C3-C09D-45F9-9D81-DCF1F881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rsid w:val="00A81F92"/>
    <w:rPr>
      <w:b/>
      <w:sz w:val="28"/>
      <w:lang w:val="en-GB"/>
    </w:rPr>
  </w:style>
  <w:style w:type="table" w:customStyle="1" w:styleId="TableNormal1">
    <w:name w:val="Table Normal1"/>
    <w:uiPriority w:val="2"/>
    <w:semiHidden/>
    <w:unhideWhenUsed/>
    <w:qFormat/>
    <w:rsid w:val="00A3207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3207B"/>
    <w:pPr>
      <w:widowControl w:val="0"/>
      <w:suppressAutoHyphens w:val="0"/>
      <w:spacing w:line="240" w:lineRule="auto"/>
    </w:pPr>
    <w:rPr>
      <w:rFonts w:asciiTheme="minorHAnsi" w:eastAsiaTheme="minorHAnsi" w:hAnsiTheme="minorHAnsi" w:cstheme="minorBidi"/>
      <w:sz w:val="22"/>
      <w:szCs w:val="22"/>
      <w:lang w:val="en-US" w:eastAsia="en-US"/>
    </w:rPr>
  </w:style>
  <w:style w:type="character" w:customStyle="1" w:styleId="FootnoteTextChar">
    <w:name w:val="Footnote Text Char"/>
    <w:aliases w:val="5_G Char"/>
    <w:basedOn w:val="DefaultParagraphFont"/>
    <w:link w:val="FootnoteText"/>
    <w:rsid w:val="001C4AEB"/>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8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FFFD7-FE08-4CDD-BBF5-925F4595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150</TotalTime>
  <Pages>4</Pages>
  <Words>1313</Words>
  <Characters>7519</Characters>
  <Application>Microsoft Office Word</Application>
  <DocSecurity>0</DocSecurity>
  <Lines>165</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ECE/TRANS/WP.15/AC.2/2019/34</vt:lpstr>
      <vt:lpstr/>
    </vt:vector>
  </TitlesOfParts>
  <Company>CSD</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ECE/TRANS/WP.15/AC.2/2019/34</dc:title>
  <dc:creator>Marie-Claude Collet</dc:creator>
  <cp:lastModifiedBy>Marie-Claude Collet</cp:lastModifiedBy>
  <cp:revision>12</cp:revision>
  <cp:lastPrinted>2019-11-12T10:44:00Z</cp:lastPrinted>
  <dcterms:created xsi:type="dcterms:W3CDTF">2019-11-06T14:55:00Z</dcterms:created>
  <dcterms:modified xsi:type="dcterms:W3CDTF">2019-11-12T10:46:00Z</dcterms:modified>
</cp:coreProperties>
</file>