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DBFCBF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B2FD449" w14:textId="77777777" w:rsidR="002D5AAC" w:rsidRDefault="002D5AAC" w:rsidP="007806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4EFC2D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D11C502" w14:textId="77777777" w:rsidR="002D5AAC" w:rsidRDefault="0078064D" w:rsidP="0078064D">
            <w:pPr>
              <w:jc w:val="right"/>
            </w:pPr>
            <w:r w:rsidRPr="0078064D">
              <w:rPr>
                <w:sz w:val="40"/>
              </w:rPr>
              <w:t>ECE</w:t>
            </w:r>
            <w:r>
              <w:t>/TRANS/WP.15/AC.2/2020/14</w:t>
            </w:r>
          </w:p>
        </w:tc>
      </w:tr>
      <w:tr w:rsidR="002D5AAC" w:rsidRPr="0078064D" w14:paraId="2788B86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FFE42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E222A0" wp14:editId="0F57350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E13CF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BED5096" w14:textId="77777777" w:rsidR="002D5AAC" w:rsidRDefault="0078064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A396E73" w14:textId="77777777" w:rsidR="0078064D" w:rsidRDefault="0078064D" w:rsidP="007806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November 2019</w:t>
            </w:r>
          </w:p>
          <w:p w14:paraId="584EF13E" w14:textId="77777777" w:rsidR="0078064D" w:rsidRDefault="0078064D" w:rsidP="007806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789AB97" w14:textId="77777777" w:rsidR="0078064D" w:rsidRPr="008D53B6" w:rsidRDefault="0078064D" w:rsidP="007806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43179E50" w14:textId="77777777" w:rsidR="0078064D" w:rsidRDefault="008A37C8" w:rsidP="0078064D">
      <w:pPr>
        <w:spacing w:before="120" w:line="234" w:lineRule="atLeast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C213ACD" w14:textId="77777777" w:rsidR="0078064D" w:rsidRPr="0078064D" w:rsidRDefault="0078064D" w:rsidP="0078064D">
      <w:pPr>
        <w:spacing w:before="120" w:line="234" w:lineRule="atLeast"/>
        <w:rPr>
          <w:sz w:val="28"/>
          <w:szCs w:val="28"/>
        </w:rPr>
      </w:pPr>
      <w:r w:rsidRPr="0078064D">
        <w:rPr>
          <w:sz w:val="28"/>
          <w:szCs w:val="28"/>
        </w:rPr>
        <w:t>Комитет по внутреннему транспорту</w:t>
      </w:r>
    </w:p>
    <w:p w14:paraId="21D9BF37" w14:textId="77777777" w:rsidR="0078064D" w:rsidRPr="0078064D" w:rsidRDefault="0078064D" w:rsidP="0078064D">
      <w:pPr>
        <w:spacing w:before="120" w:line="234" w:lineRule="atLeast"/>
        <w:rPr>
          <w:b/>
          <w:sz w:val="24"/>
          <w:szCs w:val="24"/>
        </w:rPr>
      </w:pPr>
      <w:r w:rsidRPr="0078064D">
        <w:rPr>
          <w:b/>
          <w:bCs/>
          <w:sz w:val="24"/>
          <w:szCs w:val="24"/>
        </w:rPr>
        <w:t>Рабочая группа по перевозкам опасных грузов</w:t>
      </w:r>
    </w:p>
    <w:p w14:paraId="39895475" w14:textId="77777777" w:rsidR="0078064D" w:rsidRPr="00D87B75" w:rsidRDefault="0078064D" w:rsidP="0078064D">
      <w:pPr>
        <w:spacing w:before="120" w:line="234" w:lineRule="atLeast"/>
        <w:rPr>
          <w:b/>
        </w:rPr>
      </w:pPr>
      <w:r w:rsidRPr="00D87B75">
        <w:rPr>
          <w:b/>
          <w:bCs/>
        </w:rPr>
        <w:t>Совместное совещание экспертов по Правилам,</w:t>
      </w:r>
      <w:r>
        <w:rPr>
          <w:b/>
          <w:bCs/>
        </w:rPr>
        <w:br/>
      </w:r>
      <w:r w:rsidRPr="00D87B75">
        <w:rPr>
          <w:b/>
          <w:bCs/>
        </w:rPr>
        <w:t>прилагаемым к Европейскому соглашению о международной</w:t>
      </w:r>
      <w:r>
        <w:rPr>
          <w:b/>
          <w:bCs/>
        </w:rPr>
        <w:br/>
      </w:r>
      <w:r w:rsidRPr="00D87B75">
        <w:rPr>
          <w:b/>
          <w:bCs/>
        </w:rPr>
        <w:t>перевозке опасных грузов по внутренним водным путям (ВОПОГ)</w:t>
      </w:r>
      <w:r>
        <w:rPr>
          <w:b/>
          <w:bCs/>
        </w:rPr>
        <w:br/>
      </w:r>
      <w:r w:rsidRPr="00D87B75">
        <w:rPr>
          <w:b/>
          <w:bCs/>
        </w:rPr>
        <w:t>(Комитет по вопросам безопасности ВОПОГ)</w:t>
      </w:r>
    </w:p>
    <w:p w14:paraId="6479DE2D" w14:textId="77777777" w:rsidR="0078064D" w:rsidRPr="00D87B75" w:rsidRDefault="0078064D" w:rsidP="0078064D">
      <w:pPr>
        <w:spacing w:before="120" w:line="234" w:lineRule="atLeast"/>
        <w:rPr>
          <w:b/>
        </w:rPr>
      </w:pPr>
      <w:r w:rsidRPr="00D87B75">
        <w:rPr>
          <w:b/>
          <w:bCs/>
        </w:rPr>
        <w:t>Тридцать шестая сессия</w:t>
      </w:r>
    </w:p>
    <w:p w14:paraId="324D3DBD" w14:textId="77777777" w:rsidR="0078064D" w:rsidRPr="00D87B75" w:rsidRDefault="0078064D" w:rsidP="0078064D">
      <w:pPr>
        <w:spacing w:line="234" w:lineRule="atLeast"/>
      </w:pPr>
      <w:r w:rsidRPr="00D87B75">
        <w:t>Женева, 27–31 января 2020 года</w:t>
      </w:r>
    </w:p>
    <w:p w14:paraId="584649E2" w14:textId="77777777" w:rsidR="0078064D" w:rsidRPr="00D87B75" w:rsidRDefault="0078064D" w:rsidP="0078064D">
      <w:pPr>
        <w:spacing w:line="234" w:lineRule="atLeast"/>
      </w:pPr>
      <w:r w:rsidRPr="00D87B75">
        <w:t>Пункт 5 b) предварительной повестки дня</w:t>
      </w:r>
    </w:p>
    <w:p w14:paraId="1B8D5538" w14:textId="77777777" w:rsidR="0078064D" w:rsidRPr="00D87B75" w:rsidRDefault="0078064D" w:rsidP="0078064D">
      <w:pPr>
        <w:spacing w:line="234" w:lineRule="atLeast"/>
        <w:rPr>
          <w:b/>
          <w:bCs/>
        </w:rPr>
      </w:pPr>
      <w:r w:rsidRPr="00D87B75">
        <w:rPr>
          <w:b/>
          <w:bCs/>
        </w:rPr>
        <w:t>Предложения о внесении поправок в Правила,</w:t>
      </w:r>
      <w:r>
        <w:rPr>
          <w:b/>
          <w:bCs/>
        </w:rPr>
        <w:br/>
      </w:r>
      <w:r w:rsidRPr="00D87B75">
        <w:rPr>
          <w:b/>
          <w:bCs/>
        </w:rPr>
        <w:t>прилагаемые к ВОПОГ: другие предложения</w:t>
      </w:r>
    </w:p>
    <w:p w14:paraId="180B1153" w14:textId="77777777" w:rsidR="0078064D" w:rsidRPr="00D87B75" w:rsidRDefault="0078064D" w:rsidP="0078064D">
      <w:pPr>
        <w:pStyle w:val="HChG"/>
        <w:spacing w:before="300" w:line="260" w:lineRule="exact"/>
      </w:pPr>
      <w:r w:rsidRPr="00D87B75">
        <w:tab/>
      </w:r>
      <w:r w:rsidRPr="00D87B75">
        <w:tab/>
      </w:r>
      <w:r w:rsidRPr="00D87B75">
        <w:rPr>
          <w:bCs/>
        </w:rPr>
        <w:t>Конструкционные материалы</w:t>
      </w:r>
    </w:p>
    <w:p w14:paraId="7BA457AB" w14:textId="77777777" w:rsidR="0078064D" w:rsidRPr="0078064D" w:rsidRDefault="0078064D" w:rsidP="0078064D">
      <w:pPr>
        <w:pStyle w:val="H1G"/>
        <w:spacing w:before="300" w:line="260" w:lineRule="exact"/>
        <w:rPr>
          <w:b w:val="0"/>
          <w:snapToGrid w:val="0"/>
        </w:rPr>
      </w:pPr>
      <w:r w:rsidRPr="00D87B75">
        <w:tab/>
      </w:r>
      <w:r w:rsidRPr="00D87B75">
        <w:tab/>
      </w:r>
      <w:r w:rsidRPr="00D87B75">
        <w:rPr>
          <w:bCs/>
        </w:rPr>
        <w:t>Передано совместно Европейским союзом речного судоходства</w:t>
      </w:r>
      <w:r>
        <w:rPr>
          <w:bCs/>
          <w:lang w:val="en-US"/>
        </w:rPr>
        <w:t> </w:t>
      </w:r>
      <w:r w:rsidRPr="00D87B75">
        <w:rPr>
          <w:bCs/>
        </w:rPr>
        <w:t>(ЕСРС), Европейским союзом речного и прибрежного транспорта (ЕСРПТ) и Европейской организацией судоводителей</w:t>
      </w:r>
      <w:r>
        <w:rPr>
          <w:bCs/>
          <w:lang w:val="en-US"/>
        </w:rPr>
        <w:t> </w:t>
      </w:r>
      <w:r w:rsidRPr="00D87B75">
        <w:rPr>
          <w:bCs/>
        </w:rPr>
        <w:t>(EOС)</w:t>
      </w:r>
      <w:r w:rsidRPr="0078064D">
        <w:rPr>
          <w:rStyle w:val="FootnoteReference"/>
          <w:b w:val="0"/>
          <w:snapToGrid w:val="0"/>
          <w:sz w:val="20"/>
          <w:vertAlign w:val="baseline"/>
        </w:rPr>
        <w:footnoteReference w:customMarkFollows="1" w:id="1"/>
        <w:t>*</w:t>
      </w:r>
      <w:r w:rsidRPr="0078064D">
        <w:rPr>
          <w:b w:val="0"/>
          <w:snapToGrid w:val="0"/>
          <w:sz w:val="20"/>
        </w:rPr>
        <w:t xml:space="preserve"> </w:t>
      </w:r>
      <w:r w:rsidRPr="0078064D">
        <w:rPr>
          <w:rStyle w:val="FootnoteReference"/>
          <w:b w:val="0"/>
          <w:snapToGrid w:val="0"/>
          <w:sz w:val="20"/>
          <w:vertAlign w:val="baseline"/>
        </w:rPr>
        <w:footnoteReference w:customMarkFollows="1" w:id="2"/>
        <w:t>**</w:t>
      </w:r>
    </w:p>
    <w:p w14:paraId="6AC43600" w14:textId="77777777" w:rsidR="0078064D" w:rsidRPr="00D87B75" w:rsidRDefault="0078064D" w:rsidP="0078064D">
      <w:pPr>
        <w:pStyle w:val="HChG"/>
        <w:spacing w:before="300" w:line="280" w:lineRule="exact"/>
      </w:pPr>
      <w:r w:rsidRPr="00D87B75">
        <w:tab/>
      </w:r>
      <w:r w:rsidRPr="00D87B75">
        <w:tab/>
      </w:r>
      <w:r w:rsidRPr="00D87B75">
        <w:rPr>
          <w:bCs/>
        </w:rPr>
        <w:t>Введение</w:t>
      </w:r>
    </w:p>
    <w:p w14:paraId="04589A03" w14:textId="77777777" w:rsidR="0078064D" w:rsidRPr="00D87B75" w:rsidRDefault="0078064D" w:rsidP="0078064D">
      <w:pPr>
        <w:pStyle w:val="SingleTxtG"/>
        <w:spacing w:after="100" w:line="230" w:lineRule="atLeast"/>
      </w:pPr>
      <w:r w:rsidRPr="00D87B75">
        <w:t>1.</w:t>
      </w:r>
      <w:r w:rsidRPr="00D87B75">
        <w:tab/>
        <w:t>На своей тридцать второй сессии Комитет по вопросам безопасности ВОПОГ принял поправки к положениям, касающимся используемых материалов. Данные поправки вступили в силу 1 января 2019 года. Речь идет прежде всего об обеспечении четкого представления данных в табличной форме в пункт</w:t>
      </w:r>
      <w:r>
        <w:t>е</w:t>
      </w:r>
      <w:r w:rsidRPr="00D87B75">
        <w:t xml:space="preserve"> 9.3.x.0.3. Эти поправки, как и предлагалось, были включены в издание ВОПОГ 2019 года.</w:t>
      </w:r>
    </w:p>
    <w:p w14:paraId="561909E1" w14:textId="77777777" w:rsidR="0078064D" w:rsidRPr="00D87B75" w:rsidRDefault="0078064D" w:rsidP="0078064D">
      <w:pPr>
        <w:pStyle w:val="SingleTxtG"/>
        <w:spacing w:after="100" w:line="230" w:lineRule="atLeast"/>
      </w:pPr>
      <w:r w:rsidRPr="00D87B75">
        <w:t>2.</w:t>
      </w:r>
      <w:r w:rsidRPr="00D87B75">
        <w:tab/>
        <w:t>Поправки были внесены также в пункты 9.3.x.0.2 и 9.3.x.0.5. Однако в рабочем документе ECE/TRANS/WP.15/AC.2/2018/19 авторы предложения сделали редакционную ошибку, которая не была обнаружена</w:t>
      </w:r>
      <w:r>
        <w:t xml:space="preserve">. Данная ошибка </w:t>
      </w:r>
      <w:r w:rsidRPr="00D87B75">
        <w:t>в настоящее время фигурирует в ВОПОГ.</w:t>
      </w:r>
    </w:p>
    <w:p w14:paraId="199CDDB3" w14:textId="77777777" w:rsidR="0078064D" w:rsidRPr="00D87B75" w:rsidRDefault="0078064D" w:rsidP="0078064D">
      <w:pPr>
        <w:pStyle w:val="SingleTxtG"/>
        <w:spacing w:after="100" w:line="230" w:lineRule="atLeast"/>
      </w:pPr>
      <w:r w:rsidRPr="00D87B75">
        <w:t>3.</w:t>
      </w:r>
      <w:r w:rsidRPr="00D87B75">
        <w:tab/>
      </w:r>
      <w:r>
        <w:t xml:space="preserve">С момента </w:t>
      </w:r>
      <w:r w:rsidRPr="00D87B75">
        <w:t xml:space="preserve">вступления в силу ВОПОГ 2019 года пункты 9.3.x.0.2 и 9.3.x.0.5 </w:t>
      </w:r>
      <w:r>
        <w:t xml:space="preserve">имеют </w:t>
      </w:r>
      <w:r w:rsidRPr="00D87B75">
        <w:t>следующ</w:t>
      </w:r>
      <w:r>
        <w:t>ую</w:t>
      </w:r>
      <w:r w:rsidRPr="00DB3827">
        <w:t xml:space="preserve"> </w:t>
      </w:r>
      <w:r w:rsidRPr="00D87B75">
        <w:t>формулир</w:t>
      </w:r>
      <w:r>
        <w:t>овку</w:t>
      </w:r>
      <w:r w:rsidRPr="00D87B75">
        <w:t>:</w:t>
      </w:r>
    </w:p>
    <w:p w14:paraId="31F1D127" w14:textId="77777777" w:rsidR="0078064D" w:rsidRPr="00D87B75" w:rsidRDefault="0078064D" w:rsidP="0078064D">
      <w:pPr>
        <w:pStyle w:val="SingleTxtG"/>
        <w:spacing w:after="80" w:line="230" w:lineRule="atLeast"/>
        <w:ind w:left="1701"/>
        <w:rPr>
          <w:rFonts w:eastAsia="Calibri"/>
        </w:rPr>
      </w:pPr>
      <w:r w:rsidRPr="00D87B75">
        <w:t>«9.3.x.0.2</w:t>
      </w:r>
      <w:r w:rsidRPr="00D87B75">
        <w:tab/>
        <w:t>В пределах грузового пространства запрещается использование дерева, алюминиевых сплавов, пластмасс или резины, за исключением тех случаев, когда это прямо разрешается в пункте 9.3.х.0.3 ниже или в свидетельстве о допущении.»</w:t>
      </w:r>
      <w:r>
        <w:t>.</w:t>
      </w:r>
    </w:p>
    <w:p w14:paraId="24F196B1" w14:textId="77777777" w:rsidR="0078064D" w:rsidRPr="00D87B75" w:rsidRDefault="0078064D" w:rsidP="0078064D">
      <w:pPr>
        <w:pStyle w:val="SingleTxtG"/>
        <w:ind w:left="1701"/>
      </w:pPr>
      <w:bookmarkStart w:id="1" w:name="_Hlk23759589"/>
      <w:r w:rsidRPr="00D87B75">
        <w:lastRenderedPageBreak/>
        <w:t>«9.3.x.0.5</w:t>
      </w:r>
      <w:r w:rsidRPr="00D87B75">
        <w:tab/>
        <w:t xml:space="preserve">Судовые шлюпки разрешается изготавливать из пластмасс только в том случае, если материал является трудновоспламеняющимся. Запрещается использование дерева, алюминиевых сплавов, пластмасс или резины, за исключением тех случаев, когда это прямо разрешается в пункте 9.3.х.0.3 или в свидетельстве о допущении. </w:t>
      </w:r>
      <w:bookmarkStart w:id="2" w:name="_Hlk23759312"/>
    </w:p>
    <w:bookmarkEnd w:id="2"/>
    <w:p w14:paraId="632ECFC0" w14:textId="77777777" w:rsidR="0078064D" w:rsidRPr="00D87B75" w:rsidRDefault="0078064D" w:rsidP="0078064D">
      <w:pPr>
        <w:pStyle w:val="SingleTxtG"/>
        <w:ind w:left="1701"/>
      </w:pPr>
      <w:r w:rsidRPr="00D87B75">
        <w:t>Настилы (сходные трапы), находящиеся в пределах грузового пространства, разрешается изготавливать из алюминиевых сплавов или пластмасс только в том случае, если материал является трудновоспламеняющимся и неэлектропроводящим.»</w:t>
      </w:r>
      <w:r>
        <w:t>.</w:t>
      </w:r>
    </w:p>
    <w:bookmarkEnd w:id="1"/>
    <w:p w14:paraId="15E4F595" w14:textId="77777777" w:rsidR="0078064D" w:rsidRPr="00D87B75" w:rsidRDefault="0078064D" w:rsidP="0078064D">
      <w:pPr>
        <w:pStyle w:val="SingleTxtG"/>
        <w:tabs>
          <w:tab w:val="left" w:pos="1701"/>
        </w:tabs>
      </w:pPr>
      <w:r w:rsidRPr="00D87B75">
        <w:t>4.</w:t>
      </w:r>
      <w:r w:rsidRPr="00D87B75">
        <w:tab/>
        <w:t>Формулировка пункта 9.3.x.0.2 является правильной. Ошибка в поданной просьбе заключается в том, что содержание пунктов 9.3.x.0.2 было непреднамеренно воспроизведено в перв</w:t>
      </w:r>
      <w:r>
        <w:t>ом</w:t>
      </w:r>
      <w:r w:rsidRPr="00D87B75">
        <w:t xml:space="preserve"> абзац</w:t>
      </w:r>
      <w:r>
        <w:t>е</w:t>
      </w:r>
      <w:r w:rsidRPr="00D87B75">
        <w:t xml:space="preserve"> пункт</w:t>
      </w:r>
      <w:r>
        <w:t>а</w:t>
      </w:r>
      <w:r w:rsidRPr="00D87B75">
        <w:t xml:space="preserve"> 9.3.x.0.5.</w:t>
      </w:r>
    </w:p>
    <w:p w14:paraId="0BAE2023" w14:textId="77777777" w:rsidR="0078064D" w:rsidRPr="00D87B75" w:rsidRDefault="00F6446E" w:rsidP="0078064D">
      <w:pPr>
        <w:pStyle w:val="SingleTxtG"/>
        <w:tabs>
          <w:tab w:val="left" w:pos="1701"/>
        </w:tabs>
        <w:ind w:left="1701"/>
        <w:rPr>
          <w:rFonts w:eastAsia="Calibri"/>
        </w:rPr>
      </w:pPr>
      <w:r>
        <w:t>«</w:t>
      </w:r>
      <w:r w:rsidR="0078064D" w:rsidRPr="00D87B75">
        <w:t>Запрещается использование дерева, алюминиевых сплавов, пластмасс или резины, за исключением тех случаев, когда это прямо разрешается в пункте</w:t>
      </w:r>
      <w:r w:rsidR="002F6D23">
        <w:t> </w:t>
      </w:r>
      <w:r w:rsidR="0078064D" w:rsidRPr="00D87B75">
        <w:t>9.3.х.0.3 или в свидетельстве о допущении.»</w:t>
      </w:r>
      <w:r w:rsidR="0078064D">
        <w:t>.</w:t>
      </w:r>
    </w:p>
    <w:p w14:paraId="32138B60" w14:textId="77777777" w:rsidR="0078064D" w:rsidRPr="00D87B75" w:rsidRDefault="0078064D" w:rsidP="0078064D">
      <w:pPr>
        <w:pStyle w:val="SingleTxtG"/>
      </w:pPr>
      <w:r w:rsidRPr="00D87B75">
        <w:t>5.</w:t>
      </w:r>
      <w:r w:rsidRPr="00D87B75">
        <w:tab/>
        <w:t>Комитету по вопросам безопасности ВОПОГ предлагается исправить эту ошибку в пункт</w:t>
      </w:r>
      <w:r>
        <w:t>е</w:t>
      </w:r>
      <w:r w:rsidRPr="00D87B75">
        <w:t xml:space="preserve"> 9.3.x.0.5</w:t>
      </w:r>
      <w:r>
        <w:t xml:space="preserve">, </w:t>
      </w:r>
      <w:r w:rsidRPr="00D87B75">
        <w:t>использ</w:t>
      </w:r>
      <w:r>
        <w:t xml:space="preserve">уя </w:t>
      </w:r>
      <w:r w:rsidRPr="00D87B75">
        <w:t>следующую формулировку:</w:t>
      </w:r>
    </w:p>
    <w:p w14:paraId="32D69F3E" w14:textId="77777777" w:rsidR="0078064D" w:rsidRPr="00D87B75" w:rsidRDefault="0078064D" w:rsidP="0078064D">
      <w:pPr>
        <w:pStyle w:val="SingleTxtG"/>
        <w:ind w:left="1701"/>
        <w:rPr>
          <w:rFonts w:eastAsia="Calibri"/>
        </w:rPr>
      </w:pPr>
      <w:r w:rsidRPr="00D87B75">
        <w:t>«9.3.x.0.5</w:t>
      </w:r>
      <w:r w:rsidRPr="00D87B75">
        <w:tab/>
        <w:t>Судовые шлюпки, находящиеся в пределах грузового пространства, разрешается изготавливать из пластмасс только в том случае, если материал является трудновоспламеняющимся.</w:t>
      </w:r>
    </w:p>
    <w:p w14:paraId="6EA7DE4B" w14:textId="77777777" w:rsidR="0078064D" w:rsidRPr="00D87B75" w:rsidRDefault="0078064D" w:rsidP="0078064D">
      <w:pPr>
        <w:pStyle w:val="SingleTxtG"/>
        <w:ind w:left="1701"/>
        <w:rPr>
          <w:rFonts w:eastAsia="Calibri"/>
        </w:rPr>
      </w:pPr>
      <w:r w:rsidRPr="00D87B75">
        <w:t>Настилы (сходные трапы), находящиеся в пределах грузового пространства, разрешается изготавливать из алюминиевых сплавов или пластмасс только в том случае, если материал является трудновоспламеняющимся и неэлектропроводящим.»</w:t>
      </w:r>
      <w:r>
        <w:t>.</w:t>
      </w:r>
    </w:p>
    <w:p w14:paraId="3907DC1B" w14:textId="77777777" w:rsidR="0078064D" w:rsidRPr="00D87B75" w:rsidRDefault="00F6446E" w:rsidP="0078064D">
      <w:pPr>
        <w:pStyle w:val="HChG"/>
      </w:pPr>
      <w:r>
        <w:tab/>
      </w:r>
      <w:r w:rsidR="0078064D" w:rsidRPr="00D87B75">
        <w:t>I.</w:t>
      </w:r>
      <w:r w:rsidR="0078064D" w:rsidRPr="00D87B75">
        <w:tab/>
      </w:r>
      <w:r w:rsidR="0078064D" w:rsidRPr="00D87B75">
        <w:rPr>
          <w:bCs/>
        </w:rPr>
        <w:t>Обоснование</w:t>
      </w:r>
    </w:p>
    <w:p w14:paraId="7D93D132" w14:textId="77777777" w:rsidR="0078064D" w:rsidRPr="00D87B75" w:rsidRDefault="0078064D" w:rsidP="0078064D">
      <w:pPr>
        <w:pStyle w:val="SingleTxtG"/>
      </w:pPr>
      <w:r w:rsidRPr="00D87B75">
        <w:t>6.</w:t>
      </w:r>
      <w:r w:rsidRPr="00D87B75">
        <w:tab/>
        <w:t>Нынешняя формулировка первого абзаца пункта 9.3.x.0.5 содержит неверную ссылку на пункт 9.3.x.0.3 в отношении материала судовых шлюпок (трудновоспламеняющий). В этом нет необходимости, поскольку судовые шлюпки в пункте 9.3.x.0.3 не упоминаются.</w:t>
      </w:r>
    </w:p>
    <w:p w14:paraId="2ACD5FC1" w14:textId="77777777" w:rsidR="0078064D" w:rsidRPr="00D87B75" w:rsidRDefault="0078064D" w:rsidP="0078064D">
      <w:pPr>
        <w:spacing w:before="240"/>
        <w:jc w:val="center"/>
        <w:rPr>
          <w:u w:val="single"/>
        </w:rPr>
      </w:pPr>
      <w:r w:rsidRPr="00D87B75">
        <w:rPr>
          <w:u w:val="single"/>
        </w:rPr>
        <w:tab/>
      </w:r>
      <w:r w:rsidRPr="00D87B75">
        <w:rPr>
          <w:u w:val="single"/>
        </w:rPr>
        <w:tab/>
      </w:r>
      <w:r w:rsidRPr="00D87B75">
        <w:rPr>
          <w:u w:val="single"/>
        </w:rPr>
        <w:tab/>
      </w:r>
    </w:p>
    <w:p w14:paraId="23DF3ADE" w14:textId="77777777" w:rsidR="00E12C5F" w:rsidRPr="008D53B6" w:rsidRDefault="00E12C5F" w:rsidP="00D9145B"/>
    <w:sectPr w:rsidR="00E12C5F" w:rsidRPr="008D53B6" w:rsidSect="0078064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155CF" w14:textId="77777777" w:rsidR="00C22E37" w:rsidRPr="00A312BC" w:rsidRDefault="00C22E37" w:rsidP="00A312BC"/>
  </w:endnote>
  <w:endnote w:type="continuationSeparator" w:id="0">
    <w:p w14:paraId="53A14314" w14:textId="77777777" w:rsidR="00C22E37" w:rsidRPr="00A312BC" w:rsidRDefault="00C22E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7D5E" w14:textId="77777777" w:rsidR="0078064D" w:rsidRPr="0078064D" w:rsidRDefault="0078064D">
    <w:pPr>
      <w:pStyle w:val="Footer"/>
    </w:pPr>
    <w:r w:rsidRPr="0078064D">
      <w:rPr>
        <w:b/>
        <w:sz w:val="18"/>
      </w:rPr>
      <w:fldChar w:fldCharType="begin"/>
    </w:r>
    <w:r w:rsidRPr="0078064D">
      <w:rPr>
        <w:b/>
        <w:sz w:val="18"/>
      </w:rPr>
      <w:instrText xml:space="preserve"> PAGE  \* MERGEFORMAT </w:instrText>
    </w:r>
    <w:r w:rsidRPr="0078064D">
      <w:rPr>
        <w:b/>
        <w:sz w:val="18"/>
      </w:rPr>
      <w:fldChar w:fldCharType="separate"/>
    </w:r>
    <w:r w:rsidRPr="0078064D">
      <w:rPr>
        <w:b/>
        <w:noProof/>
        <w:sz w:val="18"/>
      </w:rPr>
      <w:t>2</w:t>
    </w:r>
    <w:r w:rsidRPr="0078064D">
      <w:rPr>
        <w:b/>
        <w:sz w:val="18"/>
      </w:rPr>
      <w:fldChar w:fldCharType="end"/>
    </w:r>
    <w:r>
      <w:rPr>
        <w:b/>
        <w:sz w:val="18"/>
      </w:rPr>
      <w:tab/>
    </w:r>
    <w:r>
      <w:t>GE.19-19513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C45BE" w14:textId="77777777" w:rsidR="0078064D" w:rsidRPr="0078064D" w:rsidRDefault="0078064D" w:rsidP="0078064D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GE.19-19513</w:t>
    </w:r>
    <w:r>
      <w:tab/>
    </w:r>
    <w:r w:rsidRPr="0078064D">
      <w:rPr>
        <w:b/>
        <w:sz w:val="18"/>
      </w:rPr>
      <w:fldChar w:fldCharType="begin"/>
    </w:r>
    <w:r w:rsidRPr="0078064D">
      <w:rPr>
        <w:b/>
        <w:sz w:val="18"/>
      </w:rPr>
      <w:instrText xml:space="preserve"> PAGE  \* MERGEFORMAT </w:instrText>
    </w:r>
    <w:r w:rsidRPr="0078064D">
      <w:rPr>
        <w:b/>
        <w:sz w:val="18"/>
      </w:rPr>
      <w:fldChar w:fldCharType="separate"/>
    </w:r>
    <w:r w:rsidRPr="0078064D">
      <w:rPr>
        <w:b/>
        <w:noProof/>
        <w:sz w:val="18"/>
      </w:rPr>
      <w:t>3</w:t>
    </w:r>
    <w:r w:rsidRPr="007806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263D" w14:textId="77777777" w:rsidR="00042B72" w:rsidRPr="0078064D" w:rsidRDefault="0078064D" w:rsidP="0078064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E21BAB" wp14:editId="734C618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19-19513  (R)</w:t>
    </w:r>
    <w:r w:rsidR="002F6D23">
      <w:t xml:space="preserve">  181119  181119</w:t>
    </w:r>
    <w:r>
      <w:br/>
    </w:r>
    <w:r w:rsidRPr="0078064D">
      <w:rPr>
        <w:rFonts w:ascii="C39T30Lfz" w:hAnsi="C39T30Lfz"/>
        <w:kern w:val="14"/>
        <w:sz w:val="56"/>
      </w:rPr>
      <w:t></w:t>
    </w:r>
    <w:r w:rsidRPr="0078064D">
      <w:rPr>
        <w:rFonts w:ascii="C39T30Lfz" w:hAnsi="C39T30Lfz"/>
        <w:kern w:val="14"/>
        <w:sz w:val="56"/>
      </w:rPr>
      <w:t></w:t>
    </w:r>
    <w:r w:rsidRPr="0078064D">
      <w:rPr>
        <w:rFonts w:ascii="C39T30Lfz" w:hAnsi="C39T30Lfz"/>
        <w:kern w:val="14"/>
        <w:sz w:val="56"/>
      </w:rPr>
      <w:t></w:t>
    </w:r>
    <w:r w:rsidRPr="0078064D">
      <w:rPr>
        <w:rFonts w:ascii="C39T30Lfz" w:hAnsi="C39T30Lfz"/>
        <w:kern w:val="14"/>
        <w:sz w:val="56"/>
      </w:rPr>
      <w:t></w:t>
    </w:r>
    <w:r w:rsidRPr="0078064D">
      <w:rPr>
        <w:rFonts w:ascii="C39T30Lfz" w:hAnsi="C39T30Lfz"/>
        <w:kern w:val="14"/>
        <w:sz w:val="56"/>
      </w:rPr>
      <w:t></w:t>
    </w:r>
    <w:r w:rsidRPr="0078064D">
      <w:rPr>
        <w:rFonts w:ascii="C39T30Lfz" w:hAnsi="C39T30Lfz"/>
        <w:kern w:val="14"/>
        <w:sz w:val="56"/>
      </w:rPr>
      <w:t></w:t>
    </w:r>
    <w:r w:rsidRPr="0078064D">
      <w:rPr>
        <w:rFonts w:ascii="C39T30Lfz" w:hAnsi="C39T30Lfz"/>
        <w:kern w:val="14"/>
        <w:sz w:val="56"/>
      </w:rPr>
      <w:t></w:t>
    </w:r>
    <w:r w:rsidRPr="0078064D">
      <w:rPr>
        <w:rFonts w:ascii="C39T30Lfz" w:hAnsi="C39T30Lfz"/>
        <w:kern w:val="14"/>
        <w:sz w:val="56"/>
      </w:rPr>
      <w:t></w:t>
    </w:r>
    <w:r w:rsidRPr="0078064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0FF3FE7" wp14:editId="3B43773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324F" w14:textId="77777777" w:rsidR="00C22E37" w:rsidRPr="001075E9" w:rsidRDefault="00C22E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3ABC5C" w14:textId="77777777" w:rsidR="00C22E37" w:rsidRDefault="00C22E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641E502" w14:textId="77777777" w:rsidR="0078064D" w:rsidRPr="00D87B75" w:rsidRDefault="0078064D" w:rsidP="0078064D">
      <w:pPr>
        <w:pStyle w:val="FootnoteText"/>
        <w:spacing w:line="214" w:lineRule="exact"/>
      </w:pPr>
      <w:r>
        <w:tab/>
      </w:r>
      <w:r w:rsidRPr="0078064D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</w:t>
      </w:r>
      <w:r w:rsidRPr="0078064D">
        <w:t>/</w:t>
      </w:r>
      <w:r>
        <w:t>ZKR/ADN/WP.15/AC.2/2020/14.</w:t>
      </w:r>
    </w:p>
  </w:footnote>
  <w:footnote w:id="2">
    <w:p w14:paraId="48FB37A5" w14:textId="77777777" w:rsidR="0078064D" w:rsidRPr="00D87B75" w:rsidRDefault="0078064D" w:rsidP="0078064D">
      <w:pPr>
        <w:pStyle w:val="FootnoteText"/>
        <w:spacing w:line="214" w:lineRule="exact"/>
      </w:pPr>
      <w:r>
        <w:tab/>
      </w:r>
      <w:r w:rsidRPr="0078064D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</w:t>
      </w:r>
      <w:r w:rsidRPr="0078064D">
        <w:t>–</w:t>
      </w:r>
      <w:r>
        <w:t>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421B" w14:textId="5061B940" w:rsidR="0078064D" w:rsidRPr="0078064D" w:rsidRDefault="00E07F0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895B7" w14:textId="12211CF3" w:rsidR="0078064D" w:rsidRPr="0078064D" w:rsidRDefault="00E07F0B" w:rsidP="0078064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3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59AA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6D23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064D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209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2E37"/>
    <w:rsid w:val="00C60F0C"/>
    <w:rsid w:val="00C71E84"/>
    <w:rsid w:val="00C805C9"/>
    <w:rsid w:val="00C92939"/>
    <w:rsid w:val="00CA1679"/>
    <w:rsid w:val="00CB151C"/>
    <w:rsid w:val="00CC79D4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7F0B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446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1ECE4"/>
  <w15:docId w15:val="{0753280B-E954-455F-A0C1-58830C4F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8064D"/>
    <w:rPr>
      <w:lang w:val="ru-RU" w:eastAsia="en-US"/>
    </w:rPr>
  </w:style>
  <w:style w:type="character" w:customStyle="1" w:styleId="HChGChar">
    <w:name w:val="_ H _Ch_G Char"/>
    <w:link w:val="HChG"/>
    <w:rsid w:val="0078064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ECE/TRANS/WP.15/AC.2/2020/14</vt:lpstr>
      <vt:lpstr>ECE/TRANS/WP.15/AC.2/2020/14</vt:lpstr>
      <vt:lpstr>A/</vt:lpstr>
    </vt:vector>
  </TitlesOfParts>
  <Company>DCM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ECE/TRANS/WP.15/AC.2/2020/14</dc:title>
  <dc:subject/>
  <dc:creator>Uliana ANTIPOVA</dc:creator>
  <cp:keywords/>
  <cp:lastModifiedBy>Marie-Claude Collet</cp:lastModifiedBy>
  <cp:revision>3</cp:revision>
  <cp:lastPrinted>2019-12-02T13:49:00Z</cp:lastPrinted>
  <dcterms:created xsi:type="dcterms:W3CDTF">2019-12-02T13:49:00Z</dcterms:created>
  <dcterms:modified xsi:type="dcterms:W3CDTF">2019-12-02T13:49:00Z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