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142"/>
        <w:gridCol w:w="1138"/>
        <w:gridCol w:w="3398"/>
        <w:gridCol w:w="2268"/>
        <w:gridCol w:w="2693"/>
      </w:tblGrid>
      <w:tr w:rsidR="002D5AAC" w14:paraId="4711FADF" w14:textId="77777777" w:rsidTr="00387CD4">
        <w:trPr>
          <w:trHeight w:hRule="exact" w:val="851"/>
        </w:trPr>
        <w:tc>
          <w:tcPr>
            <w:tcW w:w="142" w:type="dxa"/>
            <w:tcBorders>
              <w:bottom w:val="single" w:sz="4" w:space="0" w:color="auto"/>
            </w:tcBorders>
          </w:tcPr>
          <w:p w14:paraId="146DE53E" w14:textId="77777777" w:rsidR="002D5AAC" w:rsidRDefault="002D5AAC" w:rsidP="000C0122">
            <w:pPr>
              <w:kinsoku w:val="0"/>
              <w:overflowPunct w:val="0"/>
              <w:autoSpaceDE w:val="0"/>
              <w:autoSpaceDN w:val="0"/>
              <w:adjustRightInd w:val="0"/>
              <w:snapToGrid w:val="0"/>
            </w:pPr>
            <w:bookmarkStart w:id="0" w:name="_GoBack"/>
            <w:bookmarkEnd w:id="0"/>
          </w:p>
        </w:tc>
        <w:tc>
          <w:tcPr>
            <w:tcW w:w="4536" w:type="dxa"/>
            <w:gridSpan w:val="2"/>
            <w:tcBorders>
              <w:bottom w:val="single" w:sz="4" w:space="0" w:color="auto"/>
            </w:tcBorders>
            <w:vAlign w:val="bottom"/>
          </w:tcPr>
          <w:p w14:paraId="57002A34" w14:textId="77777777" w:rsidR="002D5AAC" w:rsidRPr="00BD33EE" w:rsidRDefault="00DF71B9" w:rsidP="00387CD4">
            <w:pPr>
              <w:spacing w:after="80" w:line="300" w:lineRule="exact"/>
              <w:rPr>
                <w:sz w:val="28"/>
              </w:rPr>
            </w:pPr>
            <w:r>
              <w:rPr>
                <w:sz w:val="28"/>
              </w:rPr>
              <w:t>Организация Объединенных Наций</w:t>
            </w:r>
          </w:p>
        </w:tc>
        <w:tc>
          <w:tcPr>
            <w:tcW w:w="4961" w:type="dxa"/>
            <w:gridSpan w:val="2"/>
            <w:tcBorders>
              <w:bottom w:val="single" w:sz="4" w:space="0" w:color="auto"/>
            </w:tcBorders>
            <w:vAlign w:val="bottom"/>
          </w:tcPr>
          <w:p w14:paraId="3C5FECF3" w14:textId="77777777" w:rsidR="002D5AAC" w:rsidRDefault="000C0122" w:rsidP="000C0122">
            <w:pPr>
              <w:jc w:val="right"/>
            </w:pPr>
            <w:r w:rsidRPr="000C0122">
              <w:rPr>
                <w:sz w:val="40"/>
              </w:rPr>
              <w:t>ECE</w:t>
            </w:r>
            <w:r>
              <w:t>/TRANS/WP.15/AC.2/2020/12</w:t>
            </w:r>
          </w:p>
        </w:tc>
      </w:tr>
      <w:tr w:rsidR="002D5AAC" w:rsidRPr="000C0122" w14:paraId="19C88966" w14:textId="77777777" w:rsidTr="00387CD4">
        <w:trPr>
          <w:trHeight w:hRule="exact" w:val="2835"/>
        </w:trPr>
        <w:tc>
          <w:tcPr>
            <w:tcW w:w="1280" w:type="dxa"/>
            <w:gridSpan w:val="2"/>
            <w:tcBorders>
              <w:top w:val="single" w:sz="4" w:space="0" w:color="auto"/>
              <w:bottom w:val="single" w:sz="12" w:space="0" w:color="auto"/>
            </w:tcBorders>
          </w:tcPr>
          <w:p w14:paraId="17D219A0" w14:textId="77777777" w:rsidR="002D5AAC" w:rsidRDefault="002E5067" w:rsidP="00387CD4">
            <w:pPr>
              <w:spacing w:before="120"/>
              <w:jc w:val="center"/>
            </w:pPr>
            <w:r>
              <w:rPr>
                <w:noProof/>
                <w:lang w:eastAsia="ru-RU"/>
              </w:rPr>
              <w:drawing>
                <wp:inline distT="0" distB="0" distL="0" distR="0" wp14:anchorId="553BE4BC" wp14:editId="75C2E440">
                  <wp:extent cx="714375" cy="590550"/>
                  <wp:effectExtent l="0" t="0" r="0" b="0"/>
                  <wp:docPr id="2"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666" w:type="dxa"/>
            <w:gridSpan w:val="2"/>
            <w:tcBorders>
              <w:top w:val="single" w:sz="4" w:space="0" w:color="auto"/>
              <w:bottom w:val="single" w:sz="12" w:space="0" w:color="auto"/>
            </w:tcBorders>
          </w:tcPr>
          <w:p w14:paraId="722DD614" w14:textId="77777777" w:rsidR="002D5AAC" w:rsidRPr="00033EE1" w:rsidRDefault="008A37C8" w:rsidP="00387CD4">
            <w:pPr>
              <w:spacing w:before="120" w:line="460" w:lineRule="exact"/>
              <w:rPr>
                <w:b/>
                <w:sz w:val="34"/>
                <w:szCs w:val="34"/>
              </w:rPr>
            </w:pPr>
            <w:r w:rsidRPr="008A37C8">
              <w:rPr>
                <w:rFonts w:eastAsia="Times New Roman" w:cs="Times New Roman"/>
                <w:b/>
                <w:spacing w:val="-4"/>
                <w:sz w:val="40"/>
                <w:szCs w:val="40"/>
              </w:rPr>
              <w:t xml:space="preserve">Экономический </w:t>
            </w:r>
            <w:r w:rsidRPr="008A37C8">
              <w:rPr>
                <w:rFonts w:eastAsia="Times New Roman" w:cs="Times New Roman"/>
                <w:b/>
                <w:spacing w:val="-4"/>
                <w:sz w:val="40"/>
                <w:szCs w:val="40"/>
              </w:rPr>
              <w:br/>
              <w:t>и Социальный Совет</w:t>
            </w:r>
          </w:p>
        </w:tc>
        <w:tc>
          <w:tcPr>
            <w:tcW w:w="2693" w:type="dxa"/>
            <w:tcBorders>
              <w:top w:val="single" w:sz="4" w:space="0" w:color="auto"/>
              <w:bottom w:val="single" w:sz="12" w:space="0" w:color="auto"/>
            </w:tcBorders>
          </w:tcPr>
          <w:p w14:paraId="637ABDFE" w14:textId="77777777" w:rsidR="002D5AAC" w:rsidRDefault="000C0122" w:rsidP="00387CD4">
            <w:pPr>
              <w:spacing w:before="240"/>
              <w:rPr>
                <w:lang w:val="en-US"/>
              </w:rPr>
            </w:pPr>
            <w:r>
              <w:rPr>
                <w:lang w:val="en-US"/>
              </w:rPr>
              <w:t>Distr.: General</w:t>
            </w:r>
          </w:p>
          <w:p w14:paraId="76D79582" w14:textId="77777777" w:rsidR="000C0122" w:rsidRDefault="000C0122" w:rsidP="000C0122">
            <w:pPr>
              <w:spacing w:line="240" w:lineRule="exact"/>
              <w:rPr>
                <w:lang w:val="en-US"/>
              </w:rPr>
            </w:pPr>
            <w:r>
              <w:rPr>
                <w:lang w:val="en-US"/>
              </w:rPr>
              <w:t>12 November 2019</w:t>
            </w:r>
          </w:p>
          <w:p w14:paraId="478F8D12" w14:textId="77777777" w:rsidR="000C0122" w:rsidRDefault="000C0122" w:rsidP="000C0122">
            <w:pPr>
              <w:spacing w:line="240" w:lineRule="exact"/>
              <w:rPr>
                <w:lang w:val="en-US"/>
              </w:rPr>
            </w:pPr>
            <w:r>
              <w:rPr>
                <w:lang w:val="en-US"/>
              </w:rPr>
              <w:t>Russian</w:t>
            </w:r>
          </w:p>
          <w:p w14:paraId="6923B44B" w14:textId="77777777" w:rsidR="000C0122" w:rsidRPr="008D53B6" w:rsidRDefault="000C0122" w:rsidP="000C0122">
            <w:pPr>
              <w:spacing w:line="240" w:lineRule="exact"/>
              <w:rPr>
                <w:lang w:val="en-US"/>
              </w:rPr>
            </w:pPr>
            <w:r>
              <w:rPr>
                <w:lang w:val="en-US"/>
              </w:rPr>
              <w:t>Original: English</w:t>
            </w:r>
          </w:p>
        </w:tc>
      </w:tr>
    </w:tbl>
    <w:p w14:paraId="3D4BD3F7" w14:textId="77777777" w:rsidR="000C0122" w:rsidRDefault="008A37C8" w:rsidP="00255343">
      <w:pPr>
        <w:spacing w:before="120"/>
        <w:rPr>
          <w:b/>
          <w:sz w:val="28"/>
          <w:szCs w:val="28"/>
        </w:rPr>
      </w:pPr>
      <w:r w:rsidRPr="00245892">
        <w:rPr>
          <w:b/>
          <w:sz w:val="28"/>
          <w:szCs w:val="28"/>
        </w:rPr>
        <w:t>Европейская экономическая комиссия</w:t>
      </w:r>
    </w:p>
    <w:p w14:paraId="210F7044" w14:textId="77777777" w:rsidR="000C0122" w:rsidRPr="00CB31ED" w:rsidRDefault="000C0122" w:rsidP="000C0122">
      <w:pPr>
        <w:spacing w:before="120"/>
        <w:rPr>
          <w:sz w:val="28"/>
          <w:szCs w:val="28"/>
        </w:rPr>
      </w:pPr>
      <w:r w:rsidRPr="00CB31ED">
        <w:rPr>
          <w:sz w:val="28"/>
          <w:szCs w:val="28"/>
        </w:rPr>
        <w:t>Комитет по внутреннему транспорту</w:t>
      </w:r>
    </w:p>
    <w:p w14:paraId="6852A9C2" w14:textId="77777777" w:rsidR="000C0122" w:rsidRPr="00CB31ED" w:rsidRDefault="000C0122" w:rsidP="000C0122">
      <w:pPr>
        <w:spacing w:before="120"/>
        <w:rPr>
          <w:b/>
          <w:sz w:val="24"/>
          <w:szCs w:val="24"/>
        </w:rPr>
      </w:pPr>
      <w:r w:rsidRPr="00CB31ED">
        <w:rPr>
          <w:b/>
          <w:bCs/>
          <w:sz w:val="24"/>
          <w:szCs w:val="24"/>
        </w:rPr>
        <w:t>Рабочая группа по перевозкам опасных грузов</w:t>
      </w:r>
    </w:p>
    <w:p w14:paraId="46475523" w14:textId="77777777" w:rsidR="000C0122" w:rsidRPr="00CB31ED" w:rsidRDefault="000C0122" w:rsidP="000C0122">
      <w:pPr>
        <w:spacing w:before="120"/>
        <w:rPr>
          <w:b/>
        </w:rPr>
      </w:pPr>
      <w:r>
        <w:rPr>
          <w:b/>
          <w:bCs/>
        </w:rPr>
        <w:t xml:space="preserve">Совместное совещание экспертов по Правилам, прилагаемым </w:t>
      </w:r>
      <w:r>
        <w:rPr>
          <w:b/>
          <w:bCs/>
        </w:rPr>
        <w:br/>
        <w:t xml:space="preserve">к Европейскому соглашению о международной перевозке </w:t>
      </w:r>
      <w:r>
        <w:rPr>
          <w:b/>
          <w:bCs/>
        </w:rPr>
        <w:br/>
        <w:t xml:space="preserve">опасных грузов по внутренним водным путям (ВОПОГ) </w:t>
      </w:r>
      <w:r>
        <w:rPr>
          <w:b/>
          <w:bCs/>
        </w:rPr>
        <w:br/>
        <w:t>(Комитет по вопросам безопасности ВОПОГ)</w:t>
      </w:r>
    </w:p>
    <w:p w14:paraId="3999FB81" w14:textId="77777777" w:rsidR="000C0122" w:rsidRPr="00CB31ED" w:rsidRDefault="000C0122" w:rsidP="000C0122">
      <w:pPr>
        <w:spacing w:before="120"/>
        <w:rPr>
          <w:b/>
        </w:rPr>
      </w:pPr>
      <w:r>
        <w:rPr>
          <w:b/>
          <w:bCs/>
        </w:rPr>
        <w:t>Тридцать шестая сессия</w:t>
      </w:r>
    </w:p>
    <w:p w14:paraId="63524AE5" w14:textId="77777777" w:rsidR="000C0122" w:rsidRPr="00CB31ED" w:rsidRDefault="000C0122" w:rsidP="000C0122">
      <w:r>
        <w:t>Женева, 27–31 января 2020 года</w:t>
      </w:r>
    </w:p>
    <w:p w14:paraId="67101485" w14:textId="77777777" w:rsidR="000C0122" w:rsidRPr="00CB31ED" w:rsidRDefault="000C0122" w:rsidP="000C0122">
      <w:r>
        <w:t>Пункт 5 b) предварительной повестки дня</w:t>
      </w:r>
    </w:p>
    <w:p w14:paraId="6EF030A5" w14:textId="77777777" w:rsidR="000C0122" w:rsidRPr="00CB31ED" w:rsidRDefault="000C0122" w:rsidP="000C0122">
      <w:pPr>
        <w:rPr>
          <w:b/>
          <w:bCs/>
        </w:rPr>
      </w:pPr>
      <w:r>
        <w:rPr>
          <w:b/>
          <w:bCs/>
        </w:rPr>
        <w:t xml:space="preserve">Предложения о внесении поправок в Правила, </w:t>
      </w:r>
      <w:r>
        <w:rPr>
          <w:b/>
          <w:bCs/>
        </w:rPr>
        <w:br/>
        <w:t>прилагаемые к ВОПОГ:</w:t>
      </w:r>
      <w:r w:rsidRPr="000C0122">
        <w:rPr>
          <w:b/>
          <w:bCs/>
        </w:rPr>
        <w:t xml:space="preserve"> </w:t>
      </w:r>
      <w:r>
        <w:rPr>
          <w:b/>
          <w:bCs/>
        </w:rPr>
        <w:t>другие предложения</w:t>
      </w:r>
    </w:p>
    <w:p w14:paraId="0F870D3A" w14:textId="77777777" w:rsidR="000C0122" w:rsidRPr="00CB31ED" w:rsidRDefault="000C0122" w:rsidP="000C0122">
      <w:pPr>
        <w:pStyle w:val="HChG"/>
      </w:pPr>
      <w:r>
        <w:tab/>
      </w:r>
      <w:r>
        <w:tab/>
      </w:r>
      <w:r>
        <w:rPr>
          <w:bCs/>
        </w:rPr>
        <w:t>Переходные положения, касающиеся автономных систем взрывозащиты</w:t>
      </w:r>
    </w:p>
    <w:p w14:paraId="4B13111C" w14:textId="77777777" w:rsidR="000C0122" w:rsidRPr="000C0122" w:rsidRDefault="000C0122" w:rsidP="000C0122">
      <w:pPr>
        <w:pStyle w:val="H1G"/>
      </w:pPr>
      <w:r>
        <w:tab/>
      </w:r>
      <w:r>
        <w:tab/>
      </w:r>
      <w:r>
        <w:rPr>
          <w:bCs/>
        </w:rPr>
        <w:t>Передано правительством Нидерландов</w:t>
      </w:r>
      <w:r w:rsidRPr="000C0122">
        <w:rPr>
          <w:rStyle w:val="FootnoteReference"/>
          <w:b w:val="0"/>
          <w:bCs/>
          <w:sz w:val="20"/>
          <w:vertAlign w:val="baseline"/>
        </w:rPr>
        <w:footnoteReference w:customMarkFollows="1" w:id="1"/>
        <w:t>*</w:t>
      </w:r>
      <w:r>
        <w:rPr>
          <w:b w:val="0"/>
          <w:bCs/>
          <w:sz w:val="20"/>
        </w:rPr>
        <w:t xml:space="preserve"> </w:t>
      </w:r>
      <w:r w:rsidRPr="000C0122">
        <w:rPr>
          <w:rStyle w:val="FootnoteReference"/>
          <w:b w:val="0"/>
          <w:bCs/>
          <w:sz w:val="20"/>
          <w:vertAlign w:val="baseline"/>
        </w:rPr>
        <w:footnoteReference w:customMarkFollows="1" w:id="2"/>
        <w:t>**</w:t>
      </w:r>
      <w:r>
        <w:t xml:space="preserve"> </w:t>
      </w:r>
    </w:p>
    <w:tbl>
      <w:tblPr>
        <w:tblW w:w="9589"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544"/>
        <w:gridCol w:w="6045"/>
      </w:tblGrid>
      <w:tr w:rsidR="000C0122" w:rsidRPr="003134DF" w14:paraId="038A2DAE" w14:textId="77777777" w:rsidTr="000C0122">
        <w:trPr>
          <w:jc w:val="center"/>
        </w:trPr>
        <w:tc>
          <w:tcPr>
            <w:tcW w:w="3544" w:type="dxa"/>
            <w:tcBorders>
              <w:top w:val="single" w:sz="4" w:space="0" w:color="auto"/>
            </w:tcBorders>
          </w:tcPr>
          <w:p w14:paraId="35842B00" w14:textId="77777777" w:rsidR="000C0122" w:rsidRPr="003134DF" w:rsidRDefault="000C0122" w:rsidP="00981881">
            <w:pPr>
              <w:tabs>
                <w:tab w:val="left" w:pos="284"/>
              </w:tabs>
              <w:spacing w:before="120" w:after="120"/>
            </w:pPr>
            <w:r w:rsidRPr="000C0122">
              <w:rPr>
                <w:rFonts w:cs="Times New Roman"/>
              </w:rPr>
              <w:tab/>
            </w:r>
            <w:r w:rsidRPr="000C0122">
              <w:rPr>
                <w:rFonts w:cs="Times New Roman"/>
                <w:i/>
                <w:sz w:val="24"/>
              </w:rPr>
              <w:t>Резюме</w:t>
            </w:r>
          </w:p>
        </w:tc>
        <w:tc>
          <w:tcPr>
            <w:tcW w:w="6045" w:type="dxa"/>
            <w:tcBorders>
              <w:top w:val="single" w:sz="4" w:space="0" w:color="auto"/>
            </w:tcBorders>
          </w:tcPr>
          <w:p w14:paraId="2A7271F2" w14:textId="77777777" w:rsidR="000C0122" w:rsidRPr="003134DF" w:rsidRDefault="000C0122" w:rsidP="00981881">
            <w:pPr>
              <w:spacing w:before="120" w:after="120"/>
            </w:pPr>
          </w:p>
        </w:tc>
      </w:tr>
      <w:tr w:rsidR="000C0122" w:rsidRPr="00CB31ED" w14:paraId="22FA1148" w14:textId="77777777" w:rsidTr="000C0122">
        <w:trPr>
          <w:jc w:val="center"/>
        </w:trPr>
        <w:tc>
          <w:tcPr>
            <w:tcW w:w="3544" w:type="dxa"/>
          </w:tcPr>
          <w:p w14:paraId="67071ABD" w14:textId="77777777" w:rsidR="000C0122" w:rsidRPr="003134DF" w:rsidRDefault="000C0122" w:rsidP="000C0122">
            <w:pPr>
              <w:tabs>
                <w:tab w:val="left" w:pos="284"/>
              </w:tabs>
              <w:spacing w:before="120" w:after="120"/>
            </w:pPr>
            <w:r>
              <w:tab/>
            </w:r>
            <w:r>
              <w:rPr>
                <w:b/>
                <w:bCs/>
              </w:rPr>
              <w:t>Существо предложения:</w:t>
            </w:r>
          </w:p>
        </w:tc>
        <w:tc>
          <w:tcPr>
            <w:tcW w:w="6045" w:type="dxa"/>
          </w:tcPr>
          <w:p w14:paraId="1699BD26" w14:textId="77777777" w:rsidR="000C0122" w:rsidRPr="00CB31ED" w:rsidRDefault="000C0122" w:rsidP="00981881">
            <w:pPr>
              <w:spacing w:before="120" w:after="120"/>
            </w:pPr>
            <w:r>
              <w:t xml:space="preserve">В настоящем документе содержится ряд поправок, направленных </w:t>
            </w:r>
            <w:r>
              <w:br/>
              <w:t xml:space="preserve">на устранение противоречия между многосторонним </w:t>
            </w:r>
            <w:r>
              <w:br/>
              <w:t xml:space="preserve">соглашением М 018 и действующими переходными положениями, касающимися автономных систем защиты, которые содержатся </w:t>
            </w:r>
            <w:r>
              <w:br/>
              <w:t xml:space="preserve">в Правилах, прилагаемых к ВОПОГ. Предлагается внести </w:t>
            </w:r>
            <w:r w:rsidR="009F3F17">
              <w:br/>
            </w:r>
            <w:r>
              <w:t xml:space="preserve">поправки в указанные переходные положения и впоследствии </w:t>
            </w:r>
            <w:r>
              <w:br/>
              <w:t xml:space="preserve">отменить М 018. </w:t>
            </w:r>
          </w:p>
        </w:tc>
      </w:tr>
      <w:tr w:rsidR="000C0122" w:rsidRPr="00CB31ED" w14:paraId="097C4B32" w14:textId="77777777" w:rsidTr="000C0122">
        <w:trPr>
          <w:trHeight w:val="509"/>
          <w:jc w:val="center"/>
        </w:trPr>
        <w:tc>
          <w:tcPr>
            <w:tcW w:w="3544" w:type="dxa"/>
          </w:tcPr>
          <w:p w14:paraId="6E75ACA7" w14:textId="77777777" w:rsidR="000C0122" w:rsidRPr="003134DF" w:rsidRDefault="000C0122" w:rsidP="00981881">
            <w:pPr>
              <w:tabs>
                <w:tab w:val="left" w:pos="284"/>
              </w:tabs>
              <w:spacing w:before="120" w:after="120"/>
              <w:rPr>
                <w:b/>
              </w:rPr>
            </w:pPr>
            <w:r>
              <w:tab/>
            </w:r>
            <w:r>
              <w:rPr>
                <w:b/>
                <w:bCs/>
              </w:rPr>
              <w:t>Предлагаемое решение:</w:t>
            </w:r>
          </w:p>
        </w:tc>
        <w:tc>
          <w:tcPr>
            <w:tcW w:w="6045" w:type="dxa"/>
          </w:tcPr>
          <w:p w14:paraId="336D7708" w14:textId="77777777" w:rsidR="000C0122" w:rsidRPr="00CB31ED" w:rsidRDefault="000C0122" w:rsidP="009F3F17">
            <w:pPr>
              <w:spacing w:before="120" w:after="120"/>
            </w:pPr>
            <w:r>
              <w:t>Комитету по вопросам безопасности предлагается обсудить и</w:t>
            </w:r>
            <w:r w:rsidR="009F3F17">
              <w:rPr>
                <w:lang w:val="fr-CA"/>
              </w:rPr>
              <w:t> </w:t>
            </w:r>
            <w:r>
              <w:t>принять поправки, предлагаемые в пункте 6.</w:t>
            </w:r>
          </w:p>
        </w:tc>
      </w:tr>
      <w:tr w:rsidR="000C0122" w:rsidRPr="000C0122" w14:paraId="60062C02" w14:textId="77777777" w:rsidTr="000C0122">
        <w:trPr>
          <w:jc w:val="center"/>
        </w:trPr>
        <w:tc>
          <w:tcPr>
            <w:tcW w:w="3544" w:type="dxa"/>
          </w:tcPr>
          <w:p w14:paraId="005D761D" w14:textId="77777777" w:rsidR="000C0122" w:rsidRPr="003134DF" w:rsidRDefault="000C0122" w:rsidP="00981881">
            <w:pPr>
              <w:tabs>
                <w:tab w:val="left" w:pos="284"/>
              </w:tabs>
              <w:spacing w:before="120" w:after="120"/>
              <w:rPr>
                <w:b/>
              </w:rPr>
            </w:pPr>
            <w:r>
              <w:tab/>
            </w:r>
            <w:r>
              <w:rPr>
                <w:b/>
                <w:bCs/>
              </w:rPr>
              <w:t>Справочные документы:</w:t>
            </w:r>
          </w:p>
        </w:tc>
        <w:tc>
          <w:tcPr>
            <w:tcW w:w="6045" w:type="dxa"/>
          </w:tcPr>
          <w:p w14:paraId="1C88EBD0" w14:textId="77777777" w:rsidR="000C0122" w:rsidRPr="00CB31ED" w:rsidRDefault="000C0122" w:rsidP="00981881">
            <w:pPr>
              <w:spacing w:before="120"/>
            </w:pPr>
            <w:r>
              <w:t>Неофициальный документ INF.4 тридцать четвертой сессии</w:t>
            </w:r>
          </w:p>
          <w:p w14:paraId="4BCB43A9" w14:textId="77777777" w:rsidR="000C0122" w:rsidRPr="000C0122" w:rsidRDefault="000C0122" w:rsidP="00981881">
            <w:pPr>
              <w:rPr>
                <w:lang w:val="en-US"/>
              </w:rPr>
            </w:pPr>
            <w:r w:rsidRPr="00CB31ED">
              <w:rPr>
                <w:lang w:val="en-US"/>
              </w:rPr>
              <w:t>ECE/TRANS/WP.15/AC.2/70 (</w:t>
            </w:r>
            <w:r>
              <w:t>пункт</w:t>
            </w:r>
            <w:r w:rsidRPr="00CB31ED">
              <w:rPr>
                <w:lang w:val="en-US"/>
              </w:rPr>
              <w:t xml:space="preserve"> 29)</w:t>
            </w:r>
          </w:p>
          <w:p w14:paraId="4FEF7BFE" w14:textId="77777777" w:rsidR="000C0122" w:rsidRPr="00CB31ED" w:rsidRDefault="000C0122" w:rsidP="00981881">
            <w:r>
              <w:t>Неофициальный документ INF.24 тридцать пятой сессии</w:t>
            </w:r>
          </w:p>
          <w:p w14:paraId="317491B2" w14:textId="77777777" w:rsidR="000C0122" w:rsidRPr="000C0122" w:rsidRDefault="000C0122" w:rsidP="00981881">
            <w:pPr>
              <w:spacing w:after="120"/>
              <w:rPr>
                <w:lang w:val="en-US"/>
              </w:rPr>
            </w:pPr>
            <w:r w:rsidRPr="00CB31ED">
              <w:rPr>
                <w:lang w:val="en-US"/>
              </w:rPr>
              <w:t>ECE/TRANS/WP.15/AC.2/72 (</w:t>
            </w:r>
            <w:r>
              <w:t>пункт</w:t>
            </w:r>
            <w:r w:rsidRPr="00CB31ED">
              <w:rPr>
                <w:lang w:val="en-US"/>
              </w:rPr>
              <w:t xml:space="preserve"> 37)</w:t>
            </w:r>
          </w:p>
        </w:tc>
      </w:tr>
      <w:tr w:rsidR="000C0122" w:rsidRPr="000C0122" w14:paraId="440CB0D8" w14:textId="77777777" w:rsidTr="000C0122">
        <w:trPr>
          <w:jc w:val="center"/>
        </w:trPr>
        <w:tc>
          <w:tcPr>
            <w:tcW w:w="3544" w:type="dxa"/>
            <w:tcBorders>
              <w:bottom w:val="single" w:sz="4" w:space="0" w:color="auto"/>
            </w:tcBorders>
          </w:tcPr>
          <w:p w14:paraId="67D33A77" w14:textId="77777777" w:rsidR="000C0122" w:rsidRPr="000C0122" w:rsidRDefault="000C0122" w:rsidP="000C0122">
            <w:pPr>
              <w:rPr>
                <w:rFonts w:cs="Times New Roman"/>
              </w:rPr>
            </w:pPr>
          </w:p>
        </w:tc>
        <w:tc>
          <w:tcPr>
            <w:tcW w:w="6045" w:type="dxa"/>
            <w:tcBorders>
              <w:bottom w:val="single" w:sz="4" w:space="0" w:color="auto"/>
            </w:tcBorders>
          </w:tcPr>
          <w:p w14:paraId="2D76DD18" w14:textId="77777777" w:rsidR="000C0122" w:rsidRPr="000C0122" w:rsidRDefault="000C0122" w:rsidP="000C0122">
            <w:pPr>
              <w:rPr>
                <w:rFonts w:cs="Times New Roman"/>
              </w:rPr>
            </w:pPr>
          </w:p>
        </w:tc>
      </w:tr>
    </w:tbl>
    <w:p w14:paraId="35E9211E" w14:textId="77777777" w:rsidR="000C0122" w:rsidRPr="00CB31ED" w:rsidRDefault="000C0122" w:rsidP="000C0122">
      <w:pPr>
        <w:pStyle w:val="HChG"/>
        <w:rPr>
          <w:sz w:val="24"/>
          <w:szCs w:val="24"/>
        </w:rPr>
      </w:pPr>
      <w:r w:rsidRPr="00CB31ED">
        <w:rPr>
          <w:lang w:val="en-US"/>
        </w:rPr>
        <w:lastRenderedPageBreak/>
        <w:tab/>
      </w:r>
      <w:r>
        <w:rPr>
          <w:lang w:val="en-US"/>
        </w:rPr>
        <w:tab/>
      </w:r>
      <w:r>
        <w:rPr>
          <w:lang w:val="en-US"/>
        </w:rPr>
        <w:tab/>
      </w:r>
      <w:r>
        <w:t>Введение</w:t>
      </w:r>
    </w:p>
    <w:p w14:paraId="4BA83CC9" w14:textId="77777777" w:rsidR="000C0122" w:rsidRPr="00CB31ED" w:rsidRDefault="000C0122" w:rsidP="000C0122">
      <w:pPr>
        <w:pStyle w:val="SingleTxtG"/>
      </w:pPr>
      <w:r>
        <w:t>1.</w:t>
      </w:r>
      <w:r>
        <w:tab/>
        <w:t>В ВОПОГ 2019 года Договаривающиеся стороны приняли новый набор правил по взрывобезопасности. В этот набор вошли также новые переходные положения для танкеров (пункт 1.6.7.2.2.2 ВОПОГ), некоторые из которых касаются группы (подгруппы) взрывоопасности автономных систем взрывозащиты (пункты 9.3.2.20.4, 9.3.3.20.4, 9.3.2.21.1 g), 9.3.3.21.1 g), 9.3.2.22.4 e), 9.3.3.22.4 d), 9.3.2.26.2 и 9.3.3.26.2</w:t>
      </w:r>
      <w:r w:rsidR="00DF68DD">
        <w:rPr>
          <w:lang w:val="fr-CA"/>
        </w:rPr>
        <w:t> </w:t>
      </w:r>
      <w:r>
        <w:t>b)). На существующих судах эти подгруппы должны применяться при возобновлении свидетельства о допущении после 31 декабря 2024 года.</w:t>
      </w:r>
    </w:p>
    <w:p w14:paraId="1030D067" w14:textId="77777777" w:rsidR="000C0122" w:rsidRPr="00CB31ED" w:rsidRDefault="000C0122" w:rsidP="000C0122">
      <w:pPr>
        <w:pStyle w:val="SingleTxtG"/>
      </w:pPr>
      <w:r>
        <w:t>2.</w:t>
      </w:r>
      <w:r>
        <w:tab/>
        <w:t>В ходе разработки новых правил по взрывобезопасности восемь Договаривающихся сторон разработали и подписали в 2016 году многостороннее соглашение о подразделении группы взрывоопасности II B (M 018). В соответствии с этим многосторонним соглашением судовладельцы обязаны применять новое подразделение групп взрывоопасности при возобновлении свидетельства о допущении после 31 декабря 2018 года.</w:t>
      </w:r>
    </w:p>
    <w:p w14:paraId="3BB7A9AE" w14:textId="77777777" w:rsidR="000C0122" w:rsidRPr="00CB31ED" w:rsidRDefault="000C0122" w:rsidP="000C0122">
      <w:pPr>
        <w:pStyle w:val="SingleTxtG"/>
      </w:pPr>
      <w:r>
        <w:t>3.</w:t>
      </w:r>
      <w:r>
        <w:tab/>
        <w:t>Это противоречие между М 018 и принятыми переходными положениями было признано и обсуждено на тридцать четвертой и тридцать пятой сессиях Комитета по вопросам безопасности ВОПОГ. Было отмечено, что признанные классификационные общества указали, что все они в настоящее время применяют М 018 при возобновлении свидетельства о допущении. На основе этой информации делегация Нидерландов вызвалась подготовить проект решения проблемы противоречия между М 018 и переходными положениями, который приводится ниже.</w:t>
      </w:r>
    </w:p>
    <w:p w14:paraId="0FF53CC6" w14:textId="77777777" w:rsidR="000C0122" w:rsidRPr="00CB31ED" w:rsidRDefault="000C0122" w:rsidP="000C0122">
      <w:pPr>
        <w:pStyle w:val="HChG"/>
      </w:pPr>
      <w:r>
        <w:tab/>
        <w:t>I.</w:t>
      </w:r>
      <w:r>
        <w:tab/>
        <w:t>Поправки для обсуждения</w:t>
      </w:r>
    </w:p>
    <w:p w14:paraId="4E29331F" w14:textId="77777777" w:rsidR="000C0122" w:rsidRPr="00CB31ED" w:rsidRDefault="000C0122" w:rsidP="000C0122">
      <w:pPr>
        <w:pStyle w:val="SingleTxtG"/>
      </w:pPr>
      <w:r>
        <w:t>4.</w:t>
      </w:r>
      <w:r>
        <w:tab/>
        <w:t>Хотя первоначально Комитет по вопросам безопасности ВОПОГ планировал продлить срок действия М 018 и исключить соответствующие переходные положения, делегация Нидерландов считает более целесообразным внести поправки в переходные положения и отменить М 018, поскольку в отличие от принятых многосторонних соглашений переходные положения являются неотъемлемой частью Правил, прилагаемых к ВОПОГ.</w:t>
      </w:r>
    </w:p>
    <w:p w14:paraId="1D9B1923" w14:textId="77777777" w:rsidR="000C0122" w:rsidRPr="00CB31ED" w:rsidRDefault="000C0122" w:rsidP="000C0122">
      <w:pPr>
        <w:pStyle w:val="SingleTxtG"/>
      </w:pPr>
      <w:r>
        <w:t>5.</w:t>
      </w:r>
      <w:r>
        <w:tab/>
        <w:t>В ходе рассмотрения поправок выяснилось, что, хотя М 018 относится только к пламегасителям, подразделение группы взрывоопасности применяется ко всем автономным системам взрывозащиты. По мнению делегации Нидерландов, с точки зрения безопасности нежелательно разделять введение подгрупп для различных автономных систем взрывозащиты. Поэтому для «внедрения» М 018 в переходные положения Правил, прилагаемых к ВОПОГ, требуется внести поправки во все переходные положения, касающиеся группы/подгруппы взрывоопасности автономных систем взрывозащиты.</w:t>
      </w:r>
    </w:p>
    <w:p w14:paraId="62200444" w14:textId="77777777" w:rsidR="000C0122" w:rsidRPr="00CB31ED" w:rsidRDefault="000C0122" w:rsidP="000C0122">
      <w:pPr>
        <w:pStyle w:val="SingleTxtG"/>
      </w:pPr>
      <w:r>
        <w:t>6.</w:t>
      </w:r>
      <w:r>
        <w:tab/>
        <w:t>Этот подход приводит к необходимости внесения следующих поправок в пункт</w:t>
      </w:r>
      <w:r w:rsidR="00DF68DD">
        <w:rPr>
          <w:lang w:val="fr-CA"/>
        </w:rPr>
        <w:t> </w:t>
      </w:r>
      <w:r>
        <w:t>1.6.7.2.2.2 ВОПОГ:</w:t>
      </w:r>
    </w:p>
    <w:p w14:paraId="01509985" w14:textId="77777777" w:rsidR="000C0122" w:rsidRPr="00CB31ED" w:rsidRDefault="000C0122" w:rsidP="000C0122">
      <w:pPr>
        <w:pStyle w:val="SingleTxtG"/>
      </w:pPr>
      <w:r>
        <w:rPr>
          <w:strike/>
        </w:rPr>
        <w:t>Исключенный текст зачеркнут</w:t>
      </w:r>
      <w:r>
        <w:t xml:space="preserve">, </w:t>
      </w:r>
      <w:r w:rsidRPr="000C0122">
        <w:rPr>
          <w:b/>
          <w:u w:val="single"/>
        </w:rPr>
        <w:t>дополнительный текст напечатан жирным шрифтом и подчеркнут</w:t>
      </w:r>
      <w:r>
        <w:t>.</w:t>
      </w:r>
    </w:p>
    <w:p w14:paraId="0C1E3D9D" w14:textId="77777777" w:rsidR="000C0122" w:rsidRPr="00CB31ED" w:rsidRDefault="000C0122" w:rsidP="000C0122">
      <w:pPr>
        <w:pStyle w:val="SingleTxtG"/>
      </w:pPr>
      <w:r>
        <w:t>«1.6.7.2.2.2</w:t>
      </w:r>
      <w:r>
        <w:tab/>
        <w:t>Таблица общих переходных положений – танкеры</w:t>
      </w:r>
    </w:p>
    <w:tbl>
      <w:tblPr>
        <w:tblStyle w:val="TableGrid"/>
        <w:tblW w:w="7370" w:type="dxa"/>
        <w:tblInd w:w="1134" w:type="dxa"/>
        <w:tblLayout w:type="fixed"/>
        <w:tblLook w:val="04A0" w:firstRow="1" w:lastRow="0" w:firstColumn="1" w:lastColumn="0" w:noHBand="0" w:noVBand="1"/>
      </w:tblPr>
      <w:tblGrid>
        <w:gridCol w:w="1388"/>
        <w:gridCol w:w="2643"/>
        <w:gridCol w:w="3339"/>
      </w:tblGrid>
      <w:tr w:rsidR="000C0122" w:rsidRPr="00CB42B6" w14:paraId="6E513428" w14:textId="77777777" w:rsidTr="00981881">
        <w:tc>
          <w:tcPr>
            <w:tcW w:w="1388" w:type="dxa"/>
            <w:shd w:val="clear" w:color="auto" w:fill="auto"/>
          </w:tcPr>
          <w:p w14:paraId="7F2E6FA6" w14:textId="77777777" w:rsidR="000C0122" w:rsidRPr="00CB42B6" w:rsidRDefault="000C0122" w:rsidP="00981881">
            <w:pPr>
              <w:rPr>
                <w:i/>
                <w:iCs/>
              </w:rPr>
            </w:pPr>
            <w:r>
              <w:rPr>
                <w:i/>
                <w:iCs/>
              </w:rPr>
              <w:t>Пункты</w:t>
            </w:r>
          </w:p>
        </w:tc>
        <w:tc>
          <w:tcPr>
            <w:tcW w:w="2643" w:type="dxa"/>
            <w:shd w:val="clear" w:color="auto" w:fill="auto"/>
          </w:tcPr>
          <w:p w14:paraId="337E20D0" w14:textId="77777777" w:rsidR="000C0122" w:rsidRPr="00CB42B6" w:rsidRDefault="000C0122" w:rsidP="00981881">
            <w:pPr>
              <w:rPr>
                <w:i/>
                <w:iCs/>
              </w:rPr>
            </w:pPr>
            <w:r>
              <w:rPr>
                <w:i/>
                <w:iCs/>
              </w:rPr>
              <w:t>Вопрос</w:t>
            </w:r>
          </w:p>
        </w:tc>
        <w:tc>
          <w:tcPr>
            <w:tcW w:w="3339" w:type="dxa"/>
            <w:shd w:val="clear" w:color="auto" w:fill="auto"/>
          </w:tcPr>
          <w:p w14:paraId="08BDA435" w14:textId="77777777" w:rsidR="000C0122" w:rsidRPr="00CB42B6" w:rsidRDefault="000C0122" w:rsidP="00981881">
            <w:pPr>
              <w:rPr>
                <w:i/>
                <w:iCs/>
              </w:rPr>
            </w:pPr>
            <w:r>
              <w:rPr>
                <w:i/>
                <w:iCs/>
              </w:rPr>
              <w:t>Сроки и замечания</w:t>
            </w:r>
          </w:p>
        </w:tc>
      </w:tr>
      <w:tr w:rsidR="000C0122" w14:paraId="3549F4C0" w14:textId="77777777" w:rsidTr="00981881">
        <w:tc>
          <w:tcPr>
            <w:tcW w:w="1388" w:type="dxa"/>
            <w:shd w:val="clear" w:color="auto" w:fill="auto"/>
          </w:tcPr>
          <w:p w14:paraId="3C4AD77F" w14:textId="77777777" w:rsidR="000C0122" w:rsidRDefault="000C0122" w:rsidP="00981881">
            <w:r>
              <w:t>…</w:t>
            </w:r>
          </w:p>
        </w:tc>
        <w:tc>
          <w:tcPr>
            <w:tcW w:w="2643" w:type="dxa"/>
            <w:shd w:val="clear" w:color="auto" w:fill="auto"/>
          </w:tcPr>
          <w:p w14:paraId="1E39EB72" w14:textId="77777777" w:rsidR="000C0122" w:rsidRDefault="000C0122" w:rsidP="00981881">
            <w:r>
              <w:t>…</w:t>
            </w:r>
          </w:p>
        </w:tc>
        <w:tc>
          <w:tcPr>
            <w:tcW w:w="3339" w:type="dxa"/>
            <w:shd w:val="clear" w:color="auto" w:fill="auto"/>
          </w:tcPr>
          <w:p w14:paraId="2F0A32C1" w14:textId="77777777" w:rsidR="000C0122" w:rsidRDefault="000C0122" w:rsidP="00981881">
            <w:r>
              <w:t>…</w:t>
            </w:r>
          </w:p>
        </w:tc>
      </w:tr>
      <w:tr w:rsidR="000C0122" w:rsidRPr="00CB31ED" w14:paraId="55421129" w14:textId="77777777" w:rsidTr="00981881">
        <w:tc>
          <w:tcPr>
            <w:tcW w:w="1388" w:type="dxa"/>
            <w:shd w:val="clear" w:color="auto" w:fill="auto"/>
          </w:tcPr>
          <w:p w14:paraId="713F2D08" w14:textId="77777777" w:rsidR="000C0122" w:rsidRDefault="000C0122" w:rsidP="00981881">
            <w:pPr>
              <w:spacing w:before="60"/>
            </w:pPr>
            <w:r>
              <w:t>9.3.2.20.4</w:t>
            </w:r>
          </w:p>
          <w:p w14:paraId="1FAF9075" w14:textId="77777777" w:rsidR="000C0122" w:rsidRDefault="000C0122" w:rsidP="00981881">
            <w:pPr>
              <w:spacing w:before="60"/>
            </w:pPr>
            <w:r>
              <w:t>9.3.3.20.4</w:t>
            </w:r>
          </w:p>
        </w:tc>
        <w:tc>
          <w:tcPr>
            <w:tcW w:w="2643" w:type="dxa"/>
            <w:shd w:val="clear" w:color="auto" w:fill="auto"/>
          </w:tcPr>
          <w:p w14:paraId="2D45986B" w14:textId="77777777" w:rsidR="000C0122" w:rsidRDefault="000C0122" w:rsidP="00981881">
            <w:pPr>
              <w:spacing w:before="60"/>
            </w:pPr>
            <w:r>
              <w:t>Группа/подгруппа взрывоопасности</w:t>
            </w:r>
          </w:p>
        </w:tc>
        <w:tc>
          <w:tcPr>
            <w:tcW w:w="3339" w:type="dxa"/>
            <w:shd w:val="clear" w:color="auto" w:fill="auto"/>
          </w:tcPr>
          <w:p w14:paraId="61F51863" w14:textId="77777777" w:rsidR="000C0122" w:rsidRPr="00CB31ED" w:rsidRDefault="000C0122" w:rsidP="00981881">
            <w:pPr>
              <w:spacing w:before="60"/>
            </w:pPr>
            <w:r>
              <w:t>Н.З.М. с 1 января 2019 года</w:t>
            </w:r>
          </w:p>
          <w:p w14:paraId="12B56DCD" w14:textId="77777777" w:rsidR="000C0122" w:rsidRPr="00CB31ED" w:rsidRDefault="000C0122" w:rsidP="00981881">
            <w:pPr>
              <w:spacing w:before="60" w:after="60"/>
            </w:pPr>
            <w:r>
              <w:t xml:space="preserve">Возобновление свидетельства о допущении после 31 декабря </w:t>
            </w:r>
            <w:r w:rsidRPr="00DA465A">
              <w:rPr>
                <w:strike/>
              </w:rPr>
              <w:t>2024</w:t>
            </w:r>
            <w:r>
              <w:t xml:space="preserve"> </w:t>
            </w:r>
            <w:r w:rsidRPr="00DA465A">
              <w:rPr>
                <w:b/>
                <w:bCs/>
                <w:u w:val="single"/>
              </w:rPr>
              <w:t>2018</w:t>
            </w:r>
            <w:r>
              <w:t xml:space="preserve"> года</w:t>
            </w:r>
          </w:p>
        </w:tc>
      </w:tr>
      <w:tr w:rsidR="000C0122" w14:paraId="63813F3B" w14:textId="77777777" w:rsidTr="00981881">
        <w:tc>
          <w:tcPr>
            <w:tcW w:w="1388" w:type="dxa"/>
            <w:shd w:val="clear" w:color="auto" w:fill="auto"/>
          </w:tcPr>
          <w:p w14:paraId="62993ADE" w14:textId="77777777" w:rsidR="000C0122" w:rsidRDefault="000C0122" w:rsidP="00981881">
            <w:r>
              <w:t>…</w:t>
            </w:r>
          </w:p>
        </w:tc>
        <w:tc>
          <w:tcPr>
            <w:tcW w:w="2643" w:type="dxa"/>
            <w:shd w:val="clear" w:color="auto" w:fill="auto"/>
          </w:tcPr>
          <w:p w14:paraId="2B7442D9" w14:textId="77777777" w:rsidR="000C0122" w:rsidRDefault="000C0122" w:rsidP="00981881">
            <w:r>
              <w:t>…</w:t>
            </w:r>
          </w:p>
        </w:tc>
        <w:tc>
          <w:tcPr>
            <w:tcW w:w="3339" w:type="dxa"/>
            <w:shd w:val="clear" w:color="auto" w:fill="auto"/>
          </w:tcPr>
          <w:p w14:paraId="26353D66" w14:textId="77777777" w:rsidR="000C0122" w:rsidRDefault="000C0122" w:rsidP="00981881">
            <w:r>
              <w:t>…</w:t>
            </w:r>
          </w:p>
        </w:tc>
      </w:tr>
      <w:tr w:rsidR="000C0122" w:rsidRPr="00CB31ED" w14:paraId="1A63A782" w14:textId="77777777" w:rsidTr="00981881">
        <w:tc>
          <w:tcPr>
            <w:tcW w:w="1388" w:type="dxa"/>
            <w:shd w:val="clear" w:color="auto" w:fill="auto"/>
          </w:tcPr>
          <w:p w14:paraId="706397B7" w14:textId="77777777" w:rsidR="000C0122" w:rsidRDefault="000C0122" w:rsidP="000C0122">
            <w:pPr>
              <w:pageBreakBefore/>
              <w:spacing w:before="60"/>
            </w:pPr>
            <w:r>
              <w:lastRenderedPageBreak/>
              <w:t>9.3.2.21.1 g)</w:t>
            </w:r>
          </w:p>
          <w:p w14:paraId="37C04D27" w14:textId="77777777" w:rsidR="000C0122" w:rsidRDefault="000C0122" w:rsidP="00981881">
            <w:pPr>
              <w:spacing w:before="60"/>
            </w:pPr>
            <w:r>
              <w:t>9.3.3.21.1 g)</w:t>
            </w:r>
          </w:p>
        </w:tc>
        <w:tc>
          <w:tcPr>
            <w:tcW w:w="2643" w:type="dxa"/>
            <w:shd w:val="clear" w:color="auto" w:fill="auto"/>
          </w:tcPr>
          <w:p w14:paraId="675CACCE" w14:textId="77777777" w:rsidR="000C0122" w:rsidRDefault="000C0122" w:rsidP="00981881">
            <w:pPr>
              <w:spacing w:before="60"/>
            </w:pPr>
            <w:r>
              <w:t>Группа/подгруппа взрывоопасности</w:t>
            </w:r>
          </w:p>
        </w:tc>
        <w:tc>
          <w:tcPr>
            <w:tcW w:w="3339" w:type="dxa"/>
            <w:shd w:val="clear" w:color="auto" w:fill="auto"/>
          </w:tcPr>
          <w:p w14:paraId="695E3A4B" w14:textId="77777777" w:rsidR="000C0122" w:rsidRPr="00CB31ED" w:rsidRDefault="000C0122" w:rsidP="00981881">
            <w:pPr>
              <w:spacing w:before="60"/>
            </w:pPr>
            <w:r>
              <w:t>Н.З.М. с 1 января 2019 года</w:t>
            </w:r>
          </w:p>
          <w:p w14:paraId="5EEF38D2" w14:textId="77777777" w:rsidR="000C0122" w:rsidRPr="00CB31ED" w:rsidRDefault="000C0122" w:rsidP="00981881">
            <w:pPr>
              <w:spacing w:before="60" w:after="60"/>
            </w:pPr>
            <w:r>
              <w:t xml:space="preserve">Возобновление свидетельства о допущении после 31 декабря </w:t>
            </w:r>
            <w:r w:rsidRPr="00DA465A">
              <w:rPr>
                <w:strike/>
              </w:rPr>
              <w:t>2024</w:t>
            </w:r>
            <w:r>
              <w:t xml:space="preserve"> </w:t>
            </w:r>
            <w:r w:rsidRPr="00DA465A">
              <w:rPr>
                <w:b/>
                <w:bCs/>
                <w:u w:val="single"/>
              </w:rPr>
              <w:t>2018</w:t>
            </w:r>
            <w:r>
              <w:t xml:space="preserve"> года</w:t>
            </w:r>
          </w:p>
        </w:tc>
      </w:tr>
      <w:tr w:rsidR="000C0122" w14:paraId="49CDC877" w14:textId="77777777" w:rsidTr="00981881">
        <w:tc>
          <w:tcPr>
            <w:tcW w:w="1388" w:type="dxa"/>
            <w:shd w:val="clear" w:color="auto" w:fill="auto"/>
          </w:tcPr>
          <w:p w14:paraId="7C1DEA2F" w14:textId="77777777" w:rsidR="000C0122" w:rsidRDefault="000C0122" w:rsidP="00981881">
            <w:r>
              <w:t>…</w:t>
            </w:r>
          </w:p>
        </w:tc>
        <w:tc>
          <w:tcPr>
            <w:tcW w:w="2643" w:type="dxa"/>
            <w:shd w:val="clear" w:color="auto" w:fill="auto"/>
          </w:tcPr>
          <w:p w14:paraId="22AE039D" w14:textId="77777777" w:rsidR="000C0122" w:rsidRDefault="000C0122" w:rsidP="00981881">
            <w:r>
              <w:t>…</w:t>
            </w:r>
          </w:p>
        </w:tc>
        <w:tc>
          <w:tcPr>
            <w:tcW w:w="3339" w:type="dxa"/>
            <w:shd w:val="clear" w:color="auto" w:fill="auto"/>
          </w:tcPr>
          <w:p w14:paraId="08CD5F4D" w14:textId="77777777" w:rsidR="000C0122" w:rsidRDefault="000C0122" w:rsidP="00981881">
            <w:r>
              <w:t>…</w:t>
            </w:r>
          </w:p>
        </w:tc>
      </w:tr>
      <w:tr w:rsidR="000C0122" w:rsidRPr="00CB31ED" w14:paraId="1EB39415" w14:textId="77777777" w:rsidTr="00981881">
        <w:tc>
          <w:tcPr>
            <w:tcW w:w="1388" w:type="dxa"/>
            <w:shd w:val="clear" w:color="auto" w:fill="auto"/>
          </w:tcPr>
          <w:p w14:paraId="76905F9C" w14:textId="77777777" w:rsidR="000C0122" w:rsidRDefault="000C0122" w:rsidP="00981881">
            <w:r>
              <w:t>9.3.2.22.4 e)</w:t>
            </w:r>
          </w:p>
          <w:p w14:paraId="1BB0D078" w14:textId="77777777" w:rsidR="000C0122" w:rsidRPr="00AB2F9E" w:rsidRDefault="000C0122" w:rsidP="00981881">
            <w:r>
              <w:t>9.3.3.22.4 d)</w:t>
            </w:r>
          </w:p>
        </w:tc>
        <w:tc>
          <w:tcPr>
            <w:tcW w:w="2643" w:type="dxa"/>
            <w:shd w:val="clear" w:color="auto" w:fill="auto"/>
          </w:tcPr>
          <w:p w14:paraId="693A5B8A" w14:textId="77777777" w:rsidR="000C0122" w:rsidRDefault="000C0122" w:rsidP="00981881">
            <w:r>
              <w:t>Группа/подгруппа взрывоопасности</w:t>
            </w:r>
          </w:p>
        </w:tc>
        <w:tc>
          <w:tcPr>
            <w:tcW w:w="3339" w:type="dxa"/>
            <w:shd w:val="clear" w:color="auto" w:fill="auto"/>
          </w:tcPr>
          <w:p w14:paraId="7ED6B610" w14:textId="77777777" w:rsidR="000C0122" w:rsidRPr="00CB31ED" w:rsidRDefault="000C0122" w:rsidP="00981881">
            <w:r>
              <w:t>Н.З.М. с 1 января 2019 года</w:t>
            </w:r>
          </w:p>
          <w:p w14:paraId="0E138A76" w14:textId="77777777" w:rsidR="000C0122" w:rsidRPr="00CB31ED" w:rsidRDefault="000C0122" w:rsidP="00981881">
            <w:pPr>
              <w:spacing w:before="60" w:after="60"/>
              <w:rPr>
                <w:b/>
                <w:u w:val="single"/>
              </w:rPr>
            </w:pPr>
            <w:r>
              <w:t xml:space="preserve">Возобновление свидетельства о допущении после 31 декабря </w:t>
            </w:r>
            <w:r w:rsidRPr="00DA465A">
              <w:rPr>
                <w:strike/>
              </w:rPr>
              <w:t>2024</w:t>
            </w:r>
            <w:r>
              <w:t xml:space="preserve"> </w:t>
            </w:r>
            <w:r w:rsidRPr="00DA465A">
              <w:rPr>
                <w:b/>
                <w:bCs/>
                <w:u w:val="single"/>
              </w:rPr>
              <w:t>2018</w:t>
            </w:r>
            <w:r>
              <w:t xml:space="preserve"> года</w:t>
            </w:r>
          </w:p>
        </w:tc>
      </w:tr>
      <w:tr w:rsidR="000C0122" w14:paraId="52136E08" w14:textId="77777777" w:rsidTr="00981881">
        <w:tc>
          <w:tcPr>
            <w:tcW w:w="1388" w:type="dxa"/>
            <w:shd w:val="clear" w:color="auto" w:fill="auto"/>
          </w:tcPr>
          <w:p w14:paraId="6A449A7B" w14:textId="77777777" w:rsidR="000C0122" w:rsidRPr="009D7FAC" w:rsidRDefault="000C0122" w:rsidP="00981881">
            <w:r>
              <w:t>...</w:t>
            </w:r>
          </w:p>
        </w:tc>
        <w:tc>
          <w:tcPr>
            <w:tcW w:w="2643" w:type="dxa"/>
            <w:shd w:val="clear" w:color="auto" w:fill="auto"/>
          </w:tcPr>
          <w:p w14:paraId="64E74B01" w14:textId="77777777" w:rsidR="000C0122" w:rsidRPr="009D7FAC" w:rsidRDefault="000C0122" w:rsidP="00981881">
            <w:r>
              <w:t>…</w:t>
            </w:r>
          </w:p>
        </w:tc>
        <w:tc>
          <w:tcPr>
            <w:tcW w:w="3339" w:type="dxa"/>
            <w:shd w:val="clear" w:color="auto" w:fill="auto"/>
          </w:tcPr>
          <w:p w14:paraId="18355BE7" w14:textId="77777777" w:rsidR="000C0122" w:rsidRPr="009D7FAC" w:rsidRDefault="000C0122" w:rsidP="00981881">
            <w:r>
              <w:t>…</w:t>
            </w:r>
          </w:p>
        </w:tc>
      </w:tr>
      <w:tr w:rsidR="000C0122" w:rsidRPr="00CB31ED" w14:paraId="7F431E37" w14:textId="77777777" w:rsidTr="00981881">
        <w:tc>
          <w:tcPr>
            <w:tcW w:w="1388" w:type="dxa"/>
            <w:shd w:val="clear" w:color="auto" w:fill="auto"/>
          </w:tcPr>
          <w:p w14:paraId="4E70FCD3" w14:textId="77777777" w:rsidR="000C0122" w:rsidRDefault="000C0122" w:rsidP="00981881">
            <w:pPr>
              <w:spacing w:before="60"/>
            </w:pPr>
            <w:r>
              <w:t>9.3.2.26.2</w:t>
            </w:r>
          </w:p>
          <w:p w14:paraId="5FA01546" w14:textId="77777777" w:rsidR="000C0122" w:rsidRPr="009D7FAC" w:rsidRDefault="000C0122" w:rsidP="00981881">
            <w:pPr>
              <w:spacing w:before="60"/>
            </w:pPr>
            <w:r>
              <w:t>9.3.3.26.2 b)</w:t>
            </w:r>
          </w:p>
        </w:tc>
        <w:tc>
          <w:tcPr>
            <w:tcW w:w="2643" w:type="dxa"/>
            <w:shd w:val="clear" w:color="auto" w:fill="auto"/>
          </w:tcPr>
          <w:p w14:paraId="1B5D0A7B" w14:textId="77777777" w:rsidR="000C0122" w:rsidRPr="009D7FAC" w:rsidRDefault="000C0122" w:rsidP="00981881">
            <w:pPr>
              <w:spacing w:before="60"/>
            </w:pPr>
            <w:r>
              <w:t>Группа/подгруппа взрывоопасности</w:t>
            </w:r>
          </w:p>
        </w:tc>
        <w:tc>
          <w:tcPr>
            <w:tcW w:w="3339" w:type="dxa"/>
            <w:shd w:val="clear" w:color="auto" w:fill="auto"/>
          </w:tcPr>
          <w:p w14:paraId="5B67C150" w14:textId="77777777" w:rsidR="000C0122" w:rsidRPr="00CB31ED" w:rsidRDefault="000C0122" w:rsidP="00981881">
            <w:pPr>
              <w:spacing w:before="60"/>
            </w:pPr>
            <w:r>
              <w:t xml:space="preserve">Н.З.М. с 1 января 2019 года </w:t>
            </w:r>
          </w:p>
          <w:p w14:paraId="366FEF7B" w14:textId="77777777" w:rsidR="000C0122" w:rsidRPr="00CB31ED" w:rsidRDefault="000C0122" w:rsidP="00981881">
            <w:pPr>
              <w:spacing w:before="60" w:after="60"/>
            </w:pPr>
            <w:r>
              <w:t xml:space="preserve">Возобновление свидетельства о допущении после 31 декабря </w:t>
            </w:r>
            <w:r>
              <w:rPr>
                <w:strike/>
              </w:rPr>
              <w:t>2024</w:t>
            </w:r>
            <w:r>
              <w:t xml:space="preserve"> </w:t>
            </w:r>
            <w:r>
              <w:rPr>
                <w:b/>
                <w:bCs/>
                <w:u w:val="single"/>
              </w:rPr>
              <w:t>2018</w:t>
            </w:r>
            <w:r>
              <w:t xml:space="preserve"> года</w:t>
            </w:r>
          </w:p>
        </w:tc>
      </w:tr>
      <w:tr w:rsidR="000C0122" w:rsidRPr="000432ED" w14:paraId="151BCE50" w14:textId="77777777" w:rsidTr="00981881">
        <w:tc>
          <w:tcPr>
            <w:tcW w:w="1388" w:type="dxa"/>
            <w:shd w:val="clear" w:color="auto" w:fill="auto"/>
          </w:tcPr>
          <w:p w14:paraId="4CEB30B2" w14:textId="77777777" w:rsidR="000C0122" w:rsidRPr="000432ED" w:rsidRDefault="000C0122" w:rsidP="00981881">
            <w:r>
              <w:t>…</w:t>
            </w:r>
          </w:p>
        </w:tc>
        <w:tc>
          <w:tcPr>
            <w:tcW w:w="2643" w:type="dxa"/>
            <w:shd w:val="clear" w:color="auto" w:fill="auto"/>
          </w:tcPr>
          <w:p w14:paraId="75B7FB4C" w14:textId="77777777" w:rsidR="000C0122" w:rsidRPr="000432ED" w:rsidRDefault="000C0122" w:rsidP="00981881">
            <w:r>
              <w:t>…</w:t>
            </w:r>
          </w:p>
        </w:tc>
        <w:tc>
          <w:tcPr>
            <w:tcW w:w="3339" w:type="dxa"/>
            <w:shd w:val="clear" w:color="auto" w:fill="auto"/>
          </w:tcPr>
          <w:p w14:paraId="2E307C42" w14:textId="77777777" w:rsidR="000C0122" w:rsidRPr="000432ED" w:rsidRDefault="000C0122" w:rsidP="00981881">
            <w:r>
              <w:t>…</w:t>
            </w:r>
          </w:p>
        </w:tc>
      </w:tr>
    </w:tbl>
    <w:p w14:paraId="66C6A0D6" w14:textId="77777777" w:rsidR="000C0122" w:rsidRDefault="000C0122" w:rsidP="000C0122">
      <w:pPr>
        <w:pStyle w:val="SingleTxtG"/>
        <w:spacing w:before="120" w:line="276" w:lineRule="auto"/>
        <w:ind w:left="7938"/>
        <w:jc w:val="right"/>
      </w:pPr>
      <w:r>
        <w:t>».</w:t>
      </w:r>
    </w:p>
    <w:p w14:paraId="6D152069" w14:textId="77777777" w:rsidR="000C0122" w:rsidRPr="00CB31ED" w:rsidRDefault="000C0122" w:rsidP="000C0122">
      <w:pPr>
        <w:pStyle w:val="SingleTxtG"/>
      </w:pPr>
      <w:r>
        <w:t>7.</w:t>
      </w:r>
      <w:r>
        <w:tab/>
        <w:t>В переходных положениях действующего варианта ВОПОГ содержатся еще два положения, касающиеся группы (подгруппы) взрывоопасности. Они связаны с неэлектрическими и электрическими установками и оборудованием (пункт 9.3.X.53.1). Если автономные системы взрывозащиты следует рассматривать в качестве неэлектрических установок, то желательно уточнить переходное положение в пункте</w:t>
      </w:r>
      <w:r w:rsidR="005A704A">
        <w:rPr>
          <w:lang w:val="fr-CA"/>
        </w:rPr>
        <w:t> </w:t>
      </w:r>
      <w:r>
        <w:t>1.6.7.2.2.2 Правил, прилагаемых к ВОПОГ. По мнению делегации Нидерландов, важно рассматривать переходные положения, упомянутые в пункте</w:t>
      </w:r>
      <w:r w:rsidR="005A704A">
        <w:rPr>
          <w:lang w:val="fr-CA"/>
        </w:rPr>
        <w:t> </w:t>
      </w:r>
      <w:r>
        <w:t>6, как более конкретные переходные положения, которые должны иметь приоритет перед более общим переходным положением, касающимся неэлектрических установок и оборудования (пункт 9.3.X.53.1).</w:t>
      </w:r>
    </w:p>
    <w:p w14:paraId="5E8940D9" w14:textId="77777777" w:rsidR="000C0122" w:rsidRPr="00CB31ED" w:rsidRDefault="000C0122" w:rsidP="000C0122">
      <w:pPr>
        <w:pStyle w:val="HChG"/>
      </w:pPr>
      <w:r>
        <w:tab/>
        <w:t>II.</w:t>
      </w:r>
      <w:r>
        <w:tab/>
      </w:r>
      <w:r>
        <w:tab/>
      </w:r>
      <w:r>
        <w:rPr>
          <w:bCs/>
        </w:rPr>
        <w:t>M 018</w:t>
      </w:r>
    </w:p>
    <w:p w14:paraId="5289A377" w14:textId="77777777" w:rsidR="000C0122" w:rsidRPr="00CB31ED" w:rsidRDefault="000C0122" w:rsidP="000C0122">
      <w:pPr>
        <w:pStyle w:val="SingleTxtG"/>
      </w:pPr>
      <w:r>
        <w:t>8.</w:t>
      </w:r>
      <w:r>
        <w:tab/>
        <w:t>Если поправки, предложенные в пункте 6, будут приняты, то с 1 января 2021</w:t>
      </w:r>
      <w:r w:rsidR="005A704A">
        <w:rPr>
          <w:lang w:val="fr-CA"/>
        </w:rPr>
        <w:t> </w:t>
      </w:r>
      <w:r>
        <w:t>года соглашение М 018 станет излишним. Восемь Договаривающихся сторон, подписавших М 018, должны будут в этом случае подготовить отмену данного соглашения начиная с указанной даты.</w:t>
      </w:r>
    </w:p>
    <w:p w14:paraId="0550F5E2" w14:textId="77777777" w:rsidR="000C0122" w:rsidRPr="00CB31ED" w:rsidRDefault="000C0122" w:rsidP="000C0122">
      <w:pPr>
        <w:pStyle w:val="HChG"/>
      </w:pPr>
      <w:r>
        <w:tab/>
        <w:t>III.</w:t>
      </w:r>
      <w:r>
        <w:tab/>
      </w:r>
      <w:r>
        <w:tab/>
      </w:r>
      <w:r>
        <w:rPr>
          <w:bCs/>
        </w:rPr>
        <w:t>Заключение</w:t>
      </w:r>
    </w:p>
    <w:p w14:paraId="0DF596ED" w14:textId="77777777" w:rsidR="00E12C5F" w:rsidRDefault="000C0122" w:rsidP="000C0122">
      <w:pPr>
        <w:pStyle w:val="SingleTxtG"/>
      </w:pPr>
      <w:r>
        <w:t>9.</w:t>
      </w:r>
      <w:r>
        <w:tab/>
        <w:t>Делегация Нидерландов предлагает Комитету по вопросам безопасности обсудить и принять поправки, предлагаемые в пункте 6, и затем просит соответствующие Договаривающиеся стороны отказаться от своей поддержки М 018 с 1 января 2021 года.</w:t>
      </w:r>
    </w:p>
    <w:p w14:paraId="21ABC1F0" w14:textId="77777777" w:rsidR="000C0122" w:rsidRPr="000C0122" w:rsidRDefault="000C0122" w:rsidP="000C0122">
      <w:pPr>
        <w:pStyle w:val="SingleTxtG"/>
        <w:spacing w:before="240" w:after="0"/>
        <w:jc w:val="center"/>
        <w:rPr>
          <w:u w:val="single"/>
        </w:rPr>
      </w:pPr>
      <w:r>
        <w:rPr>
          <w:u w:val="single"/>
        </w:rPr>
        <w:tab/>
      </w:r>
      <w:r>
        <w:rPr>
          <w:u w:val="single"/>
        </w:rPr>
        <w:tab/>
      </w:r>
      <w:r>
        <w:rPr>
          <w:u w:val="single"/>
        </w:rPr>
        <w:tab/>
      </w:r>
      <w:r>
        <w:rPr>
          <w:u w:val="single"/>
        </w:rPr>
        <w:tab/>
      </w:r>
    </w:p>
    <w:sectPr w:rsidR="000C0122" w:rsidRPr="000C0122" w:rsidSect="000C0122">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533FA" w14:textId="77777777" w:rsidR="007508B4" w:rsidRPr="00A312BC" w:rsidRDefault="007508B4" w:rsidP="00A312BC"/>
  </w:endnote>
  <w:endnote w:type="continuationSeparator" w:id="0">
    <w:p w14:paraId="2E6752CE" w14:textId="77777777" w:rsidR="007508B4" w:rsidRPr="00A312BC" w:rsidRDefault="007508B4" w:rsidP="00A31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39T30Lfz">
    <w:panose1 w:val="000004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0705A" w14:textId="77777777" w:rsidR="000C0122" w:rsidRPr="000C0122" w:rsidRDefault="000C0122">
    <w:pPr>
      <w:pStyle w:val="Footer"/>
    </w:pPr>
    <w:r w:rsidRPr="000C0122">
      <w:rPr>
        <w:b/>
        <w:sz w:val="18"/>
      </w:rPr>
      <w:fldChar w:fldCharType="begin"/>
    </w:r>
    <w:r w:rsidRPr="000C0122">
      <w:rPr>
        <w:b/>
        <w:sz w:val="18"/>
      </w:rPr>
      <w:instrText xml:space="preserve"> PAGE  \* MERGEFORMAT </w:instrText>
    </w:r>
    <w:r w:rsidRPr="000C0122">
      <w:rPr>
        <w:b/>
        <w:sz w:val="18"/>
      </w:rPr>
      <w:fldChar w:fldCharType="separate"/>
    </w:r>
    <w:r w:rsidR="00E31682">
      <w:rPr>
        <w:b/>
        <w:noProof/>
        <w:sz w:val="18"/>
      </w:rPr>
      <w:t>2</w:t>
    </w:r>
    <w:r w:rsidRPr="000C0122">
      <w:rPr>
        <w:b/>
        <w:sz w:val="18"/>
      </w:rPr>
      <w:fldChar w:fldCharType="end"/>
    </w:r>
    <w:r>
      <w:rPr>
        <w:b/>
        <w:sz w:val="18"/>
      </w:rPr>
      <w:tab/>
    </w:r>
    <w:r>
      <w:t>GE.19-19510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388AB" w14:textId="77777777" w:rsidR="000C0122" w:rsidRPr="000C0122" w:rsidRDefault="000C0122" w:rsidP="000C0122">
    <w:pPr>
      <w:pStyle w:val="Footer"/>
      <w:tabs>
        <w:tab w:val="clear" w:pos="9639"/>
        <w:tab w:val="right" w:pos="9638"/>
      </w:tabs>
      <w:rPr>
        <w:b/>
        <w:sz w:val="18"/>
      </w:rPr>
    </w:pPr>
    <w:r>
      <w:t>GE.19-19510</w:t>
    </w:r>
    <w:r>
      <w:tab/>
    </w:r>
    <w:r w:rsidRPr="000C0122">
      <w:rPr>
        <w:b/>
        <w:sz w:val="18"/>
      </w:rPr>
      <w:fldChar w:fldCharType="begin"/>
    </w:r>
    <w:r w:rsidRPr="000C0122">
      <w:rPr>
        <w:b/>
        <w:sz w:val="18"/>
      </w:rPr>
      <w:instrText xml:space="preserve"> PAGE  \* MERGEFORMAT </w:instrText>
    </w:r>
    <w:r w:rsidRPr="000C0122">
      <w:rPr>
        <w:b/>
        <w:sz w:val="18"/>
      </w:rPr>
      <w:fldChar w:fldCharType="separate"/>
    </w:r>
    <w:r w:rsidR="00E31682">
      <w:rPr>
        <w:b/>
        <w:noProof/>
        <w:sz w:val="18"/>
      </w:rPr>
      <w:t>3</w:t>
    </w:r>
    <w:r w:rsidRPr="000C0122">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F45F2" w14:textId="77777777" w:rsidR="00042B72" w:rsidRPr="000C0122" w:rsidRDefault="000C0122" w:rsidP="000C0122">
    <w:pPr>
      <w:spacing w:before="120" w:line="240" w:lineRule="auto"/>
    </w:pPr>
    <w:r>
      <w:t>GE.</w:t>
    </w:r>
    <w:r w:rsidR="00DF71B9">
      <w:rPr>
        <w:b/>
        <w:noProof/>
        <w:lang w:eastAsia="ru-RU"/>
      </w:rPr>
      <w:drawing>
        <wp:anchor distT="0" distB="0" distL="114300" distR="114300" simplePos="0" relativeHeight="251658240" behindDoc="0" locked="0" layoutInCell="1" allowOverlap="1" wp14:anchorId="1EAFF2A4" wp14:editId="5EFC4F40">
          <wp:simplePos x="0" y="0"/>
          <wp:positionH relativeFrom="margin">
            <wp:posOffset>2699385</wp:posOffset>
          </wp:positionH>
          <wp:positionV relativeFrom="margin">
            <wp:posOffset>9179560</wp:posOffset>
          </wp:positionV>
          <wp:extent cx="2656800" cy="277200"/>
          <wp:effectExtent l="0" t="0" r="0" b="8890"/>
          <wp:wrapNone/>
          <wp:docPr id="3" name="Рисунок 2" descr="recycle_Rus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Russia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2647"/>
                  <a:stretch/>
                </pic:blipFill>
                <pic:spPr bwMode="auto">
                  <a:xfrm>
                    <a:off x="0" y="0"/>
                    <a:ext cx="2656800" cy="27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19-19510  (R)</w:t>
    </w:r>
    <w:r>
      <w:rPr>
        <w:lang w:val="fr-CA"/>
      </w:rPr>
      <w:t xml:space="preserve">  121119  121119</w:t>
    </w:r>
    <w:r>
      <w:br/>
    </w:r>
    <w:r w:rsidRPr="000C0122">
      <w:rPr>
        <w:rFonts w:ascii="C39T30Lfz" w:hAnsi="C39T30Lfz"/>
        <w:kern w:val="14"/>
        <w:sz w:val="56"/>
      </w:rPr>
      <w:t></w:t>
    </w:r>
    <w:r w:rsidRPr="000C0122">
      <w:rPr>
        <w:rFonts w:ascii="C39T30Lfz" w:hAnsi="C39T30Lfz"/>
        <w:kern w:val="14"/>
        <w:sz w:val="56"/>
      </w:rPr>
      <w:t></w:t>
    </w:r>
    <w:r w:rsidRPr="000C0122">
      <w:rPr>
        <w:rFonts w:ascii="C39T30Lfz" w:hAnsi="C39T30Lfz"/>
        <w:kern w:val="14"/>
        <w:sz w:val="56"/>
      </w:rPr>
      <w:t></w:t>
    </w:r>
    <w:r w:rsidRPr="000C0122">
      <w:rPr>
        <w:rFonts w:ascii="C39T30Lfz" w:hAnsi="C39T30Lfz"/>
        <w:kern w:val="14"/>
        <w:sz w:val="56"/>
      </w:rPr>
      <w:t></w:t>
    </w:r>
    <w:r w:rsidRPr="000C0122">
      <w:rPr>
        <w:rFonts w:ascii="C39T30Lfz" w:hAnsi="C39T30Lfz"/>
        <w:kern w:val="14"/>
        <w:sz w:val="56"/>
      </w:rPr>
      <w:t></w:t>
    </w:r>
    <w:r w:rsidRPr="000C0122">
      <w:rPr>
        <w:rFonts w:ascii="C39T30Lfz" w:hAnsi="C39T30Lfz"/>
        <w:kern w:val="14"/>
        <w:sz w:val="56"/>
      </w:rPr>
      <w:t></w:t>
    </w:r>
    <w:r w:rsidRPr="000C0122">
      <w:rPr>
        <w:rFonts w:ascii="C39T30Lfz" w:hAnsi="C39T30Lfz"/>
        <w:kern w:val="14"/>
        <w:sz w:val="56"/>
      </w:rPr>
      <w:t></w:t>
    </w:r>
    <w:r w:rsidRPr="000C0122">
      <w:rPr>
        <w:rFonts w:ascii="C39T30Lfz" w:hAnsi="C39T30Lfz"/>
        <w:kern w:val="14"/>
        <w:sz w:val="56"/>
      </w:rPr>
      <w:t></w:t>
    </w:r>
    <w:r w:rsidRPr="000C0122">
      <w:rPr>
        <w:rFonts w:ascii="C39T30Lfz" w:hAnsi="C39T30Lfz"/>
        <w:kern w:val="14"/>
        <w:sz w:val="56"/>
      </w:rPr>
      <w:t></w:t>
    </w:r>
    <w:r>
      <w:rPr>
        <w:noProof/>
        <w:lang w:eastAsia="ru-RU"/>
      </w:rPr>
      <w:drawing>
        <wp:anchor distT="0" distB="0" distL="114300" distR="114300" simplePos="0" relativeHeight="251659264" behindDoc="0" locked="0" layoutInCell="1" allowOverlap="1" wp14:anchorId="107923A5" wp14:editId="125918CE">
          <wp:simplePos x="0" y="0"/>
          <wp:positionH relativeFrom="margin">
            <wp:posOffset>5489575</wp:posOffset>
          </wp:positionH>
          <wp:positionV relativeFrom="margin">
            <wp:posOffset>8855710</wp:posOffset>
          </wp:positionV>
          <wp:extent cx="638175" cy="638175"/>
          <wp:effectExtent l="0" t="0" r="9525" b="9525"/>
          <wp:wrapNone/>
          <wp:docPr id="1" name="Рисунок 1" descr="https://undocs.org/m2/QRCode.ashx?DS=ECE/TRANS/WP.15/AC.2/2020/12&amp;Size=2&amp;Lan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ECE/TRANS/WP.15/AC.2/2020/12&amp;Size=2&amp;Lang=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BB50ED" w14:textId="77777777" w:rsidR="007508B4" w:rsidRPr="001075E9" w:rsidRDefault="007508B4" w:rsidP="001075E9">
      <w:pPr>
        <w:tabs>
          <w:tab w:val="right" w:pos="2155"/>
        </w:tabs>
        <w:spacing w:after="80" w:line="240" w:lineRule="auto"/>
        <w:ind w:left="680"/>
        <w:rPr>
          <w:u w:val="single"/>
        </w:rPr>
      </w:pPr>
      <w:r>
        <w:rPr>
          <w:u w:val="single"/>
        </w:rPr>
        <w:tab/>
      </w:r>
    </w:p>
  </w:footnote>
  <w:footnote w:type="continuationSeparator" w:id="0">
    <w:p w14:paraId="09810188" w14:textId="77777777" w:rsidR="007508B4" w:rsidRDefault="007508B4" w:rsidP="00407B78">
      <w:pPr>
        <w:tabs>
          <w:tab w:val="right" w:pos="2155"/>
        </w:tabs>
        <w:spacing w:after="80"/>
        <w:ind w:left="680"/>
        <w:rPr>
          <w:u w:val="single"/>
        </w:rPr>
      </w:pPr>
      <w:r>
        <w:rPr>
          <w:u w:val="single"/>
        </w:rPr>
        <w:tab/>
      </w:r>
    </w:p>
  </w:footnote>
  <w:footnote w:id="1">
    <w:p w14:paraId="7F196296" w14:textId="77777777" w:rsidR="000C0122" w:rsidRPr="00CB31ED" w:rsidRDefault="000C0122" w:rsidP="00DF68DD">
      <w:pPr>
        <w:pStyle w:val="FootnoteText"/>
      </w:pPr>
      <w:r>
        <w:tab/>
      </w:r>
      <w:r w:rsidRPr="000C0122">
        <w:rPr>
          <w:sz w:val="20"/>
        </w:rPr>
        <w:t>*</w:t>
      </w:r>
      <w:r>
        <w:tab/>
        <w:t>Распространено на немецком языке Центральной комиссией судоходства по Рейну под условным обозначением CCNR/ZKR/ADN/WP.15/AC.2/2020/12.</w:t>
      </w:r>
    </w:p>
  </w:footnote>
  <w:footnote w:id="2">
    <w:p w14:paraId="0BE806D6" w14:textId="77777777" w:rsidR="000C0122" w:rsidRPr="00CB31ED" w:rsidRDefault="000C0122" w:rsidP="00DF68DD">
      <w:pPr>
        <w:pStyle w:val="FootnoteText"/>
      </w:pPr>
      <w:r>
        <w:tab/>
      </w:r>
      <w:r w:rsidRPr="000C0122">
        <w:rPr>
          <w:sz w:val="20"/>
        </w:rPr>
        <w:t>**</w:t>
      </w:r>
      <w:r>
        <w:tab/>
        <w:t>В соответствии с программой работы Комитета по внутреннему транспорту на 2018–2019 годы (ECE/TRANS/2018/21/Add.1, направление деятельности 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120DE" w14:textId="1CC3273D" w:rsidR="000C0122" w:rsidRPr="000C0122" w:rsidRDefault="00950532">
    <w:pPr>
      <w:pStyle w:val="Header"/>
    </w:pPr>
    <w:r>
      <w:fldChar w:fldCharType="begin"/>
    </w:r>
    <w:r>
      <w:instrText xml:space="preserve"> TITLE  \* MERGEFORMAT </w:instrText>
    </w:r>
    <w:r>
      <w:fldChar w:fldCharType="separate"/>
    </w:r>
    <w:r>
      <w:t>ECE/TRANS/WP.15/AC.2/2020/12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C31B8" w14:textId="72537543" w:rsidR="000C0122" w:rsidRPr="000C0122" w:rsidRDefault="00950532" w:rsidP="000C0122">
    <w:pPr>
      <w:pStyle w:val="Header"/>
      <w:jc w:val="right"/>
    </w:pPr>
    <w:r>
      <w:fldChar w:fldCharType="begin"/>
    </w:r>
    <w:r>
      <w:instrText xml:space="preserve"> TITLE  \* MERGEFORMAT </w:instrText>
    </w:r>
    <w:r>
      <w:fldChar w:fldCharType="separate"/>
    </w:r>
    <w:r>
      <w:t>ECE/TRANS/WP.15/AC.2/2020/12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910B6" w14:textId="77777777" w:rsidR="000C0122" w:rsidRDefault="000C0122" w:rsidP="000C0122">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EF4F9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1BE14172"/>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36A7743B"/>
    <w:multiLevelType w:val="hybridMultilevel"/>
    <w:tmpl w:val="165289D8"/>
    <w:lvl w:ilvl="0" w:tplc="14C64E84">
      <w:start w:val="1"/>
      <w:numFmt w:val="bullet"/>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8C6CF5"/>
    <w:multiLevelType w:val="hybridMultilevel"/>
    <w:tmpl w:val="93FCAD22"/>
    <w:lvl w:ilvl="0" w:tplc="F73C6636">
      <w:start w:val="1"/>
      <w:numFmt w:val="bullet"/>
      <w:pStyle w:val="Bullet2G"/>
      <w:lvlText w:val="•"/>
      <w:lvlJc w:val="left"/>
      <w:pPr>
        <w:tabs>
          <w:tab w:val="num" w:pos="2268"/>
        </w:tabs>
        <w:ind w:left="2268"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534FFF"/>
    <w:multiLevelType w:val="multilevel"/>
    <w:tmpl w:val="0C0A0023"/>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5BC90228"/>
    <w:multiLevelType w:val="hybridMultilevel"/>
    <w:tmpl w:val="E5464F8E"/>
    <w:lvl w:ilvl="0" w:tplc="FD0C5992">
      <w:start w:val="1"/>
      <w:numFmt w:val="decimal"/>
      <w:pStyle w:val="ParaNoG"/>
      <w:lvlText w:val="%1."/>
      <w:lvlJc w:val="left"/>
      <w:pPr>
        <w:tabs>
          <w:tab w:val="num" w:pos="1491"/>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5BF12F8"/>
    <w:multiLevelType w:val="hybridMultilevel"/>
    <w:tmpl w:val="43A6C61A"/>
    <w:lvl w:ilvl="0" w:tplc="A652453E">
      <w:start w:val="1"/>
      <w:numFmt w:val="bullet"/>
      <w:pStyle w:val="Bullet1G"/>
      <w:lvlText w:val="•"/>
      <w:lvlJc w:val="left"/>
      <w:pPr>
        <w:tabs>
          <w:tab w:val="num" w:pos="1701"/>
        </w:tabs>
        <w:ind w:left="1701"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FD3DE4"/>
    <w:multiLevelType w:val="hybridMultilevel"/>
    <w:tmpl w:val="569E52D4"/>
    <w:lvl w:ilvl="0" w:tplc="E77E5F5E">
      <w:start w:val="1"/>
      <w:numFmt w:val="bullet"/>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5E3887"/>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7"/>
  </w:num>
  <w:num w:numId="2">
    <w:abstractNumId w:val="12"/>
  </w:num>
  <w:num w:numId="3">
    <w:abstractNumId w:val="11"/>
  </w:num>
  <w:num w:numId="4">
    <w:abstractNumId w:val="18"/>
  </w:num>
  <w:num w:numId="5">
    <w:abstractNumId w:val="1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6"/>
  </w:num>
  <w:num w:numId="17">
    <w:abstractNumId w:val="13"/>
  </w:num>
  <w:num w:numId="18">
    <w:abstractNumId w:val="15"/>
  </w:num>
  <w:num w:numId="19">
    <w:abstractNumId w:val="16"/>
  </w:num>
  <w:num w:numId="20">
    <w:abstractNumId w:val="13"/>
  </w:num>
  <w:num w:numId="21">
    <w:abstractNumId w:val="15"/>
  </w:num>
  <w:num w:numId="22">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autoHyphenation/>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8B4"/>
    <w:rsid w:val="00033EE1"/>
    <w:rsid w:val="00042B72"/>
    <w:rsid w:val="000558BD"/>
    <w:rsid w:val="000567AF"/>
    <w:rsid w:val="000B57E7"/>
    <w:rsid w:val="000B6373"/>
    <w:rsid w:val="000C0122"/>
    <w:rsid w:val="000E4E5B"/>
    <w:rsid w:val="000F09DF"/>
    <w:rsid w:val="000F61B2"/>
    <w:rsid w:val="001075E9"/>
    <w:rsid w:val="0014152F"/>
    <w:rsid w:val="00180183"/>
    <w:rsid w:val="0018024D"/>
    <w:rsid w:val="0018649F"/>
    <w:rsid w:val="00196389"/>
    <w:rsid w:val="001B3EF6"/>
    <w:rsid w:val="001C7A89"/>
    <w:rsid w:val="00255343"/>
    <w:rsid w:val="0027151D"/>
    <w:rsid w:val="002A2EFC"/>
    <w:rsid w:val="002B0106"/>
    <w:rsid w:val="002B74B1"/>
    <w:rsid w:val="002C0E18"/>
    <w:rsid w:val="002D5AAC"/>
    <w:rsid w:val="002E5067"/>
    <w:rsid w:val="002F405F"/>
    <w:rsid w:val="002F7EEC"/>
    <w:rsid w:val="00300F61"/>
    <w:rsid w:val="00301299"/>
    <w:rsid w:val="00305C08"/>
    <w:rsid w:val="00307FB6"/>
    <w:rsid w:val="00317339"/>
    <w:rsid w:val="00322004"/>
    <w:rsid w:val="003402C2"/>
    <w:rsid w:val="00381C24"/>
    <w:rsid w:val="00387CD4"/>
    <w:rsid w:val="003958D0"/>
    <w:rsid w:val="003A0D43"/>
    <w:rsid w:val="003A48CE"/>
    <w:rsid w:val="003B00E5"/>
    <w:rsid w:val="003E0B46"/>
    <w:rsid w:val="00407B78"/>
    <w:rsid w:val="00424203"/>
    <w:rsid w:val="00452493"/>
    <w:rsid w:val="00453318"/>
    <w:rsid w:val="00454AF2"/>
    <w:rsid w:val="00454E07"/>
    <w:rsid w:val="00472C5C"/>
    <w:rsid w:val="004E05B7"/>
    <w:rsid w:val="0050108D"/>
    <w:rsid w:val="00513081"/>
    <w:rsid w:val="00517901"/>
    <w:rsid w:val="00526683"/>
    <w:rsid w:val="005639C1"/>
    <w:rsid w:val="005709E0"/>
    <w:rsid w:val="00572E19"/>
    <w:rsid w:val="005961C8"/>
    <w:rsid w:val="005966F1"/>
    <w:rsid w:val="005A704A"/>
    <w:rsid w:val="005D7914"/>
    <w:rsid w:val="005E2B41"/>
    <w:rsid w:val="005F0B42"/>
    <w:rsid w:val="00617A43"/>
    <w:rsid w:val="006345DB"/>
    <w:rsid w:val="00640F49"/>
    <w:rsid w:val="00680D03"/>
    <w:rsid w:val="00681A10"/>
    <w:rsid w:val="006A1ED8"/>
    <w:rsid w:val="006C2031"/>
    <w:rsid w:val="006D461A"/>
    <w:rsid w:val="006F35EE"/>
    <w:rsid w:val="006F74C6"/>
    <w:rsid w:val="007021FF"/>
    <w:rsid w:val="00712895"/>
    <w:rsid w:val="00734ACB"/>
    <w:rsid w:val="007508B4"/>
    <w:rsid w:val="00757357"/>
    <w:rsid w:val="00792497"/>
    <w:rsid w:val="00806737"/>
    <w:rsid w:val="00825F8D"/>
    <w:rsid w:val="00834B71"/>
    <w:rsid w:val="0086445C"/>
    <w:rsid w:val="00894693"/>
    <w:rsid w:val="008A08D7"/>
    <w:rsid w:val="008A37C8"/>
    <w:rsid w:val="008B6909"/>
    <w:rsid w:val="008D53B6"/>
    <w:rsid w:val="008E609C"/>
    <w:rsid w:val="008F7609"/>
    <w:rsid w:val="00906890"/>
    <w:rsid w:val="00911BE4"/>
    <w:rsid w:val="00950532"/>
    <w:rsid w:val="00951972"/>
    <w:rsid w:val="009608F3"/>
    <w:rsid w:val="009A24AC"/>
    <w:rsid w:val="009C59D7"/>
    <w:rsid w:val="009C6FE6"/>
    <w:rsid w:val="009D7E7D"/>
    <w:rsid w:val="009F3F17"/>
    <w:rsid w:val="00A14DA8"/>
    <w:rsid w:val="00A312BC"/>
    <w:rsid w:val="00A84021"/>
    <w:rsid w:val="00A84D35"/>
    <w:rsid w:val="00A917B3"/>
    <w:rsid w:val="00AB4B51"/>
    <w:rsid w:val="00B10CC7"/>
    <w:rsid w:val="00B36DF7"/>
    <w:rsid w:val="00B539E7"/>
    <w:rsid w:val="00B62458"/>
    <w:rsid w:val="00BC18B2"/>
    <w:rsid w:val="00BD33EE"/>
    <w:rsid w:val="00BE1CC7"/>
    <w:rsid w:val="00C106D6"/>
    <w:rsid w:val="00C119AE"/>
    <w:rsid w:val="00C128E9"/>
    <w:rsid w:val="00C60F0C"/>
    <w:rsid w:val="00C71E84"/>
    <w:rsid w:val="00C805C9"/>
    <w:rsid w:val="00C92939"/>
    <w:rsid w:val="00CA1679"/>
    <w:rsid w:val="00CB151C"/>
    <w:rsid w:val="00CE5A1A"/>
    <w:rsid w:val="00CF55F6"/>
    <w:rsid w:val="00D33D63"/>
    <w:rsid w:val="00D5253A"/>
    <w:rsid w:val="00D873A8"/>
    <w:rsid w:val="00D90028"/>
    <w:rsid w:val="00D90138"/>
    <w:rsid w:val="00D9145B"/>
    <w:rsid w:val="00DD78D1"/>
    <w:rsid w:val="00DE32CD"/>
    <w:rsid w:val="00DF5767"/>
    <w:rsid w:val="00DF68DD"/>
    <w:rsid w:val="00DF71B9"/>
    <w:rsid w:val="00E12C5F"/>
    <w:rsid w:val="00E31682"/>
    <w:rsid w:val="00E73F76"/>
    <w:rsid w:val="00EA2C9F"/>
    <w:rsid w:val="00EA420E"/>
    <w:rsid w:val="00ED0BDA"/>
    <w:rsid w:val="00EE142A"/>
    <w:rsid w:val="00EF1360"/>
    <w:rsid w:val="00EF3220"/>
    <w:rsid w:val="00F2523A"/>
    <w:rsid w:val="00F43903"/>
    <w:rsid w:val="00F94155"/>
    <w:rsid w:val="00F9783F"/>
    <w:rsid w:val="00FD2EF7"/>
    <w:rsid w:val="00FE447E"/>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FD9159"/>
  <w15:docId w15:val="{DA4AA4B8-554A-4828-8282-0E4BFD32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lsdException w:name="List 2" w:semiHidden="1" w:unhideWhenUsed="1"/>
    <w:lsdException w:name="List 3" w:semiHidden="1" w:unhideWhenUsed="1"/>
    <w:lsdException w:name="List 4" w:semiHidden="1" w:uiPriority="1"/>
    <w:lsdException w:name="List 5" w:semiHidden="1" w:uiPriority="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
    <w:lsdException w:name="Salutation" w:semiHidden="1" w:uiPriority="1"/>
    <w:lsdException w:name="Date" w:semiHidden="1" w:uiPriority="1"/>
    <w:lsdException w:name="Body Text First Indent" w:semiHidden="1" w:uiPriority="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
    <w:lsdException w:name="Emphasis" w:semiHidden="1"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9145B"/>
    <w:pPr>
      <w:suppressAutoHyphens/>
      <w:spacing w:line="240" w:lineRule="atLeast"/>
    </w:pPr>
    <w:rPr>
      <w:rFonts w:eastAsiaTheme="minorHAnsi" w:cstheme="minorBidi"/>
      <w:szCs w:val="22"/>
      <w:lang w:val="ru-RU" w:eastAsia="en-US"/>
    </w:rPr>
  </w:style>
  <w:style w:type="paragraph" w:styleId="Heading1">
    <w:name w:val="heading 1"/>
    <w:aliases w:val="Table_G"/>
    <w:basedOn w:val="Normal"/>
    <w:next w:val="Normal"/>
    <w:link w:val="Heading1Char"/>
    <w:qFormat/>
    <w:rsid w:val="00617A43"/>
    <w:pPr>
      <w:keepNext/>
      <w:tabs>
        <w:tab w:val="left" w:pos="567"/>
      </w:tabs>
      <w:jc w:val="both"/>
      <w:outlineLvl w:val="0"/>
    </w:pPr>
    <w:rPr>
      <w:rFonts w:eastAsia="Times New Roman" w:cs="Arial"/>
      <w:b/>
      <w:bCs/>
      <w:szCs w:val="32"/>
      <w:lang w:eastAsia="ru-RU"/>
    </w:rPr>
  </w:style>
  <w:style w:type="paragraph" w:styleId="Heading2">
    <w:name w:val="heading 2"/>
    <w:basedOn w:val="Normal"/>
    <w:next w:val="Normal"/>
    <w:semiHidden/>
    <w:rsid w:val="009C6FE6"/>
    <w:pPr>
      <w:keepNext/>
      <w:outlineLvl w:val="1"/>
    </w:pPr>
    <w:rPr>
      <w:rFonts w:cs="Arial"/>
      <w:bCs/>
      <w:iCs/>
      <w:szCs w:val="28"/>
    </w:rPr>
  </w:style>
  <w:style w:type="paragraph" w:styleId="Heading3">
    <w:name w:val="heading 3"/>
    <w:basedOn w:val="Normal"/>
    <w:next w:val="Normal"/>
    <w:semiHidden/>
    <w:rsid w:val="009C6FE6"/>
    <w:pPr>
      <w:keepNext/>
      <w:spacing w:before="240" w:after="60"/>
      <w:outlineLvl w:val="2"/>
    </w:pPr>
    <w:rPr>
      <w:rFonts w:ascii="Arial" w:hAnsi="Arial" w:cs="Arial"/>
      <w:b/>
      <w:bCs/>
      <w:sz w:val="26"/>
      <w:szCs w:val="26"/>
    </w:rPr>
  </w:style>
  <w:style w:type="paragraph" w:styleId="Heading4">
    <w:name w:val="heading 4"/>
    <w:basedOn w:val="Normal"/>
    <w:next w:val="Normal"/>
    <w:semiHidden/>
    <w:rsid w:val="009C6FE6"/>
    <w:pPr>
      <w:keepNext/>
      <w:spacing w:before="240" w:after="60"/>
      <w:outlineLvl w:val="3"/>
    </w:pPr>
    <w:rPr>
      <w:b/>
      <w:bCs/>
      <w:sz w:val="28"/>
      <w:szCs w:val="28"/>
    </w:rPr>
  </w:style>
  <w:style w:type="paragraph" w:styleId="Heading5">
    <w:name w:val="heading 5"/>
    <w:basedOn w:val="Normal"/>
    <w:next w:val="Normal"/>
    <w:semiHidden/>
    <w:rsid w:val="009C6FE6"/>
    <w:pPr>
      <w:spacing w:before="240" w:after="60"/>
      <w:outlineLvl w:val="4"/>
    </w:pPr>
    <w:rPr>
      <w:b/>
      <w:bCs/>
      <w:i/>
      <w:iCs/>
      <w:sz w:val="26"/>
      <w:szCs w:val="26"/>
    </w:rPr>
  </w:style>
  <w:style w:type="paragraph" w:styleId="Heading6">
    <w:name w:val="heading 6"/>
    <w:basedOn w:val="Normal"/>
    <w:next w:val="Normal"/>
    <w:semiHidden/>
    <w:rsid w:val="009C6FE6"/>
    <w:pPr>
      <w:spacing w:before="240" w:after="60"/>
      <w:outlineLvl w:val="5"/>
    </w:pPr>
    <w:rPr>
      <w:b/>
      <w:bCs/>
      <w:sz w:val="22"/>
    </w:rPr>
  </w:style>
  <w:style w:type="paragraph" w:styleId="Heading7">
    <w:name w:val="heading 7"/>
    <w:basedOn w:val="Normal"/>
    <w:next w:val="Normal"/>
    <w:semiHidden/>
    <w:rsid w:val="009C6FE6"/>
    <w:pPr>
      <w:spacing w:before="240" w:after="60"/>
      <w:outlineLvl w:val="6"/>
    </w:pPr>
    <w:rPr>
      <w:sz w:val="24"/>
      <w:szCs w:val="24"/>
    </w:rPr>
  </w:style>
  <w:style w:type="paragraph" w:styleId="Heading8">
    <w:name w:val="heading 8"/>
    <w:basedOn w:val="Normal"/>
    <w:next w:val="Normal"/>
    <w:semiHidden/>
    <w:rsid w:val="009C6FE6"/>
    <w:pPr>
      <w:spacing w:before="240" w:after="60"/>
      <w:outlineLvl w:val="7"/>
    </w:pPr>
    <w:rPr>
      <w:i/>
      <w:iCs/>
      <w:sz w:val="24"/>
      <w:szCs w:val="24"/>
    </w:rPr>
  </w:style>
  <w:style w:type="paragraph" w:styleId="Heading9">
    <w:name w:val="heading 9"/>
    <w:basedOn w:val="Normal"/>
    <w:next w:val="Normal"/>
    <w:semiHidden/>
    <w:rsid w:val="009C6FE6"/>
    <w:pPr>
      <w:spacing w:before="240" w:after="60"/>
      <w:outlineLvl w:val="8"/>
    </w:pPr>
    <w:rPr>
      <w:rFonts w:ascii="Arial"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1"/>
    <w:semiHidden/>
    <w:rsid w:val="009C6FE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C71E84"/>
    <w:rPr>
      <w:rFonts w:ascii="Tahoma" w:eastAsiaTheme="minorHAnsi" w:hAnsi="Tahoma" w:cs="Tahoma"/>
      <w:sz w:val="16"/>
      <w:szCs w:val="16"/>
      <w:lang w:val="ru-RU" w:eastAsia="en-US"/>
    </w:rPr>
  </w:style>
  <w:style w:type="paragraph" w:customStyle="1" w:styleId="HMG">
    <w:name w:val="_ H __M_G"/>
    <w:basedOn w:val="Normal"/>
    <w:next w:val="Normal"/>
    <w:qFormat/>
    <w:rsid w:val="00617A43"/>
    <w:pPr>
      <w:keepNext/>
      <w:keepLines/>
      <w:tabs>
        <w:tab w:val="right" w:pos="851"/>
      </w:tabs>
      <w:spacing w:before="240" w:after="240" w:line="360" w:lineRule="exact"/>
      <w:ind w:left="1134" w:right="1134" w:hanging="1134"/>
    </w:pPr>
    <w:rPr>
      <w:rFonts w:eastAsia="Times New Roman" w:cs="Times New Roman"/>
      <w:b/>
      <w:sz w:val="34"/>
      <w:szCs w:val="20"/>
      <w:lang w:eastAsia="ru-RU"/>
    </w:rPr>
  </w:style>
  <w:style w:type="paragraph" w:customStyle="1" w:styleId="HChG">
    <w:name w:val="_ H _Ch_G"/>
    <w:basedOn w:val="Normal"/>
    <w:next w:val="Normal"/>
    <w:qFormat/>
    <w:rsid w:val="00617A43"/>
    <w:pPr>
      <w:keepNext/>
      <w:keepLines/>
      <w:tabs>
        <w:tab w:val="right" w:pos="851"/>
      </w:tabs>
      <w:spacing w:before="360" w:after="240" w:line="300" w:lineRule="exact"/>
      <w:ind w:left="1134" w:right="1134" w:hanging="1134"/>
    </w:pPr>
    <w:rPr>
      <w:rFonts w:eastAsia="Times New Roman" w:cs="Times New Roman"/>
      <w:b/>
      <w:sz w:val="28"/>
      <w:szCs w:val="20"/>
      <w:lang w:eastAsia="ru-RU"/>
    </w:rPr>
  </w:style>
  <w:style w:type="paragraph" w:customStyle="1" w:styleId="H1G">
    <w:name w:val="_ H_1_G"/>
    <w:basedOn w:val="Normal"/>
    <w:next w:val="Normal"/>
    <w:qFormat/>
    <w:rsid w:val="00617A43"/>
    <w:pPr>
      <w:keepNext/>
      <w:keepLines/>
      <w:tabs>
        <w:tab w:val="right" w:pos="851"/>
      </w:tabs>
      <w:spacing w:before="360" w:after="240" w:line="270" w:lineRule="exact"/>
      <w:ind w:left="1134" w:right="1134" w:hanging="1134"/>
    </w:pPr>
    <w:rPr>
      <w:rFonts w:eastAsia="Times New Roman" w:cs="Times New Roman"/>
      <w:b/>
      <w:sz w:val="24"/>
      <w:szCs w:val="20"/>
      <w:lang w:eastAsia="ru-RU"/>
    </w:rPr>
  </w:style>
  <w:style w:type="paragraph" w:customStyle="1" w:styleId="H23G">
    <w:name w:val="_ H_2/3_G"/>
    <w:basedOn w:val="Normal"/>
    <w:next w:val="Normal"/>
    <w:qFormat/>
    <w:rsid w:val="00617A43"/>
    <w:pPr>
      <w:keepNext/>
      <w:keepLines/>
      <w:tabs>
        <w:tab w:val="right" w:pos="851"/>
      </w:tabs>
      <w:spacing w:before="240" w:after="120" w:line="240" w:lineRule="exact"/>
      <w:ind w:left="1134" w:right="1134" w:hanging="1134"/>
    </w:pPr>
    <w:rPr>
      <w:rFonts w:eastAsia="Times New Roman" w:cs="Times New Roman"/>
      <w:b/>
      <w:szCs w:val="20"/>
      <w:lang w:eastAsia="ru-RU"/>
    </w:rPr>
  </w:style>
  <w:style w:type="paragraph" w:customStyle="1" w:styleId="H4G">
    <w:name w:val="_ H_4_G"/>
    <w:basedOn w:val="Normal"/>
    <w:next w:val="Normal"/>
    <w:qFormat/>
    <w:rsid w:val="00617A43"/>
    <w:pPr>
      <w:keepNext/>
      <w:keepLines/>
      <w:tabs>
        <w:tab w:val="right" w:pos="851"/>
      </w:tabs>
      <w:spacing w:before="240" w:after="120" w:line="240" w:lineRule="exact"/>
      <w:ind w:left="1134" w:right="1134" w:hanging="1134"/>
      <w:outlineLvl w:val="3"/>
    </w:pPr>
    <w:rPr>
      <w:rFonts w:eastAsia="Times New Roman" w:cs="Times New Roman"/>
      <w:i/>
      <w:szCs w:val="20"/>
      <w:lang w:eastAsia="ru-RU"/>
    </w:rPr>
  </w:style>
  <w:style w:type="paragraph" w:customStyle="1" w:styleId="H56G">
    <w:name w:val="_ H_5/6_G"/>
    <w:basedOn w:val="Normal"/>
    <w:next w:val="Normal"/>
    <w:qFormat/>
    <w:rsid w:val="00617A43"/>
    <w:pPr>
      <w:keepNext/>
      <w:keepLines/>
      <w:tabs>
        <w:tab w:val="right" w:pos="851"/>
      </w:tabs>
      <w:spacing w:before="240" w:after="120" w:line="240" w:lineRule="exact"/>
      <w:ind w:left="1134" w:right="1134" w:hanging="1134"/>
    </w:pPr>
    <w:rPr>
      <w:rFonts w:eastAsia="Times New Roman" w:cs="Times New Roman"/>
      <w:szCs w:val="20"/>
      <w:lang w:eastAsia="ru-RU"/>
    </w:rPr>
  </w:style>
  <w:style w:type="paragraph" w:customStyle="1" w:styleId="SingleTxtG">
    <w:name w:val="_ Single Txt_G"/>
    <w:basedOn w:val="Normal"/>
    <w:link w:val="SingleTxtGChar"/>
    <w:qFormat/>
    <w:rsid w:val="00C71E84"/>
    <w:pPr>
      <w:spacing w:after="120"/>
      <w:ind w:left="1134" w:right="1134"/>
      <w:jc w:val="both"/>
    </w:pPr>
    <w:rPr>
      <w:rFonts w:eastAsia="Times New Roman" w:cs="Times New Roman"/>
      <w:szCs w:val="20"/>
    </w:rPr>
  </w:style>
  <w:style w:type="paragraph" w:customStyle="1" w:styleId="SLG">
    <w:name w:val="__S_L_G"/>
    <w:basedOn w:val="Normal"/>
    <w:next w:val="Normal"/>
    <w:qFormat/>
    <w:rsid w:val="00617A43"/>
    <w:pPr>
      <w:keepNext/>
      <w:keepLines/>
      <w:spacing w:before="240" w:after="240" w:line="580" w:lineRule="exact"/>
      <w:ind w:left="1134" w:right="1134"/>
    </w:pPr>
    <w:rPr>
      <w:rFonts w:eastAsia="Times New Roman" w:cs="Times New Roman"/>
      <w:b/>
      <w:sz w:val="56"/>
      <w:szCs w:val="20"/>
      <w:lang w:eastAsia="ru-RU"/>
    </w:rPr>
  </w:style>
  <w:style w:type="paragraph" w:customStyle="1" w:styleId="SMG">
    <w:name w:val="__S_M_G"/>
    <w:basedOn w:val="Normal"/>
    <w:next w:val="Normal"/>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SSG">
    <w:name w:val="__S_S_G"/>
    <w:basedOn w:val="Normal"/>
    <w:next w:val="Normal"/>
    <w:qFormat/>
    <w:rsid w:val="00617A43"/>
    <w:pPr>
      <w:keepNext/>
      <w:keepLines/>
      <w:spacing w:before="240" w:after="240" w:line="300" w:lineRule="exact"/>
      <w:ind w:left="1134" w:right="1134"/>
    </w:pPr>
    <w:rPr>
      <w:rFonts w:eastAsia="Times New Roman" w:cs="Times New Roman"/>
      <w:b/>
      <w:sz w:val="28"/>
      <w:szCs w:val="20"/>
      <w:lang w:eastAsia="ru-RU"/>
    </w:rPr>
  </w:style>
  <w:style w:type="paragraph" w:customStyle="1" w:styleId="XLargeG">
    <w:name w:val="__XLarge_G"/>
    <w:basedOn w:val="Normal"/>
    <w:next w:val="Normal"/>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Bullet1G">
    <w:name w:val="_Bullet 1_G"/>
    <w:basedOn w:val="Normal"/>
    <w:qFormat/>
    <w:rsid w:val="00617A43"/>
    <w:pPr>
      <w:numPr>
        <w:numId w:val="19"/>
      </w:numPr>
      <w:spacing w:after="120"/>
      <w:ind w:right="1134"/>
      <w:jc w:val="both"/>
    </w:pPr>
    <w:rPr>
      <w:rFonts w:eastAsia="Times New Roman" w:cs="Times New Roman"/>
      <w:szCs w:val="20"/>
      <w:lang w:eastAsia="ru-RU"/>
    </w:rPr>
  </w:style>
  <w:style w:type="paragraph" w:customStyle="1" w:styleId="Bullet2G">
    <w:name w:val="_Bullet 2_G"/>
    <w:basedOn w:val="Normal"/>
    <w:qFormat/>
    <w:rsid w:val="00617A43"/>
    <w:pPr>
      <w:numPr>
        <w:numId w:val="20"/>
      </w:numPr>
      <w:spacing w:after="120"/>
      <w:ind w:right="1134"/>
      <w:jc w:val="both"/>
    </w:pPr>
    <w:rPr>
      <w:rFonts w:eastAsia="Times New Roman" w:cs="Times New Roman"/>
      <w:szCs w:val="20"/>
      <w:lang w:eastAsia="ru-RU"/>
    </w:rPr>
  </w:style>
  <w:style w:type="paragraph" w:customStyle="1" w:styleId="ParaNoG">
    <w:name w:val="_ParaNo._G"/>
    <w:basedOn w:val="Normal"/>
    <w:next w:val="Normal"/>
    <w:qFormat/>
    <w:rsid w:val="00C71E84"/>
    <w:pPr>
      <w:numPr>
        <w:numId w:val="21"/>
      </w:numPr>
      <w:tabs>
        <w:tab w:val="clear" w:pos="1491"/>
      </w:tabs>
      <w:spacing w:after="120"/>
      <w:ind w:right="1134"/>
      <w:jc w:val="both"/>
      <w:outlineLvl w:val="0"/>
    </w:pPr>
    <w:rPr>
      <w:rFonts w:eastAsia="Times New Roman" w:cs="Times New Roman"/>
      <w:szCs w:val="20"/>
      <w:lang w:eastAsia="ru-RU"/>
    </w:rPr>
  </w:style>
  <w:style w:type="table" w:customStyle="1" w:styleId="TabNum">
    <w:name w:val="_TabNum"/>
    <w:basedOn w:val="TableNormal"/>
    <w:rsid w:val="00617A43"/>
    <w:pPr>
      <w:spacing w:before="40" w:after="40" w:line="220" w:lineRule="exact"/>
      <w:jc w:val="right"/>
    </w:pPr>
    <w:rPr>
      <w:sz w:val="18"/>
      <w:lang w:val="ru-RU" w:eastAsia="ru-RU"/>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TableNormal"/>
    <w:rsid w:val="00617A43"/>
    <w:pPr>
      <w:spacing w:before="40" w:after="120" w:line="240" w:lineRule="atLeast"/>
    </w:pPr>
    <w:rPr>
      <w:lang w:val="ru-RU" w:eastAsia="ru-RU"/>
    </w:r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Header">
    <w:name w:val="header"/>
    <w:aliases w:val="6_G"/>
    <w:basedOn w:val="Normal"/>
    <w:next w:val="Normal"/>
    <w:link w:val="HeaderChar"/>
    <w:qFormat/>
    <w:rsid w:val="00617A43"/>
    <w:pPr>
      <w:pBdr>
        <w:bottom w:val="single" w:sz="4" w:space="4" w:color="auto"/>
      </w:pBdr>
      <w:tabs>
        <w:tab w:val="right" w:pos="9639"/>
      </w:tabs>
    </w:pPr>
    <w:rPr>
      <w:rFonts w:eastAsia="Times New Roman" w:cs="Times New Roman"/>
      <w:b/>
      <w:sz w:val="18"/>
      <w:szCs w:val="20"/>
      <w:lang w:val="en-GB" w:eastAsia="ru-RU"/>
    </w:rPr>
  </w:style>
  <w:style w:type="character" w:customStyle="1" w:styleId="HeaderChar">
    <w:name w:val="Header Char"/>
    <w:aliases w:val="6_G Char"/>
    <w:basedOn w:val="DefaultParagraphFont"/>
    <w:link w:val="Header"/>
    <w:rsid w:val="00617A43"/>
    <w:rPr>
      <w:b/>
      <w:sz w:val="18"/>
      <w:lang w:val="en-GB" w:eastAsia="ru-RU"/>
    </w:rPr>
  </w:style>
  <w:style w:type="character" w:styleId="PageNumber">
    <w:name w:val="page number"/>
    <w:aliases w:val="7_G"/>
    <w:basedOn w:val="DefaultParagraphFont"/>
    <w:qFormat/>
    <w:rsid w:val="00617A43"/>
    <w:rPr>
      <w:rFonts w:ascii="Times New Roman" w:hAnsi="Times New Roman"/>
      <w:b/>
      <w:sz w:val="18"/>
    </w:rPr>
  </w:style>
  <w:style w:type="paragraph" w:styleId="Footer">
    <w:name w:val="footer"/>
    <w:aliases w:val="3_G"/>
    <w:basedOn w:val="Normal"/>
    <w:link w:val="FooterChar"/>
    <w:qFormat/>
    <w:rsid w:val="00617A43"/>
    <w:pPr>
      <w:tabs>
        <w:tab w:val="right" w:pos="9639"/>
      </w:tabs>
    </w:pPr>
    <w:rPr>
      <w:rFonts w:eastAsia="Times New Roman" w:cs="Times New Roman"/>
      <w:sz w:val="16"/>
      <w:szCs w:val="20"/>
      <w:lang w:val="en-GB" w:eastAsia="ru-RU"/>
    </w:rPr>
  </w:style>
  <w:style w:type="character" w:customStyle="1" w:styleId="FooterChar">
    <w:name w:val="Footer Char"/>
    <w:aliases w:val="3_G Char"/>
    <w:basedOn w:val="DefaultParagraphFont"/>
    <w:link w:val="Footer"/>
    <w:rsid w:val="00617A43"/>
    <w:rPr>
      <w:sz w:val="16"/>
      <w:lang w:val="en-GB" w:eastAsia="ru-RU"/>
    </w:rPr>
  </w:style>
  <w:style w:type="character" w:styleId="FootnoteReference">
    <w:name w:val="footnote reference"/>
    <w:aliases w:val="4_G"/>
    <w:basedOn w:val="DefaultParagraphFont"/>
    <w:qFormat/>
    <w:rsid w:val="00617A43"/>
    <w:rPr>
      <w:rFonts w:ascii="Times New Roman" w:hAnsi="Times New Roman"/>
      <w:dstrike w:val="0"/>
      <w:sz w:val="18"/>
      <w:vertAlign w:val="superscript"/>
    </w:rPr>
  </w:style>
  <w:style w:type="character" w:styleId="EndnoteReference">
    <w:name w:val="endnote reference"/>
    <w:aliases w:val="1_G"/>
    <w:basedOn w:val="FootnoteReference"/>
    <w:qFormat/>
    <w:rsid w:val="00617A43"/>
    <w:rPr>
      <w:rFonts w:ascii="Times New Roman" w:hAnsi="Times New Roman"/>
      <w:dstrike w:val="0"/>
      <w:sz w:val="18"/>
      <w:vertAlign w:val="superscript"/>
    </w:rPr>
  </w:style>
  <w:style w:type="table" w:styleId="TableGrid">
    <w:name w:val="Table Grid"/>
    <w:basedOn w:val="TableNormal"/>
    <w:rsid w:val="00D9145B"/>
    <w:rPr>
      <w:rFonts w:eastAsiaTheme="minorHAnsi" w:cstheme="minorBidi"/>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FootnoteText">
    <w:name w:val="footnote text"/>
    <w:aliases w:val="5_G"/>
    <w:basedOn w:val="Normal"/>
    <w:link w:val="FootnoteTextChar"/>
    <w:qFormat/>
    <w:rsid w:val="00617A43"/>
    <w:pPr>
      <w:tabs>
        <w:tab w:val="right" w:pos="1021"/>
      </w:tabs>
      <w:spacing w:line="220" w:lineRule="exact"/>
      <w:ind w:left="1134" w:right="1134" w:hanging="1134"/>
    </w:pPr>
    <w:rPr>
      <w:rFonts w:eastAsia="Times New Roman" w:cs="Times New Roman"/>
      <w:sz w:val="18"/>
      <w:szCs w:val="20"/>
      <w:lang w:eastAsia="ru-RU"/>
    </w:rPr>
  </w:style>
  <w:style w:type="character" w:customStyle="1" w:styleId="FootnoteTextChar">
    <w:name w:val="Footnote Text Char"/>
    <w:aliases w:val="5_G Char"/>
    <w:basedOn w:val="DefaultParagraphFont"/>
    <w:link w:val="FootnoteText"/>
    <w:rsid w:val="00617A43"/>
    <w:rPr>
      <w:sz w:val="18"/>
      <w:lang w:val="ru-RU" w:eastAsia="ru-RU"/>
    </w:rPr>
  </w:style>
  <w:style w:type="paragraph" w:styleId="EndnoteText">
    <w:name w:val="endnote text"/>
    <w:aliases w:val="2_G"/>
    <w:basedOn w:val="FootnoteText"/>
    <w:link w:val="EndnoteTextChar"/>
    <w:qFormat/>
    <w:rsid w:val="00617A43"/>
  </w:style>
  <w:style w:type="character" w:customStyle="1" w:styleId="EndnoteTextChar">
    <w:name w:val="Endnote Text Char"/>
    <w:aliases w:val="2_G Char"/>
    <w:basedOn w:val="DefaultParagraphFont"/>
    <w:link w:val="EndnoteText"/>
    <w:rsid w:val="00617A43"/>
    <w:rPr>
      <w:sz w:val="18"/>
      <w:lang w:val="ru-RU" w:eastAsia="ru-RU"/>
    </w:rPr>
  </w:style>
  <w:style w:type="character" w:customStyle="1" w:styleId="Heading1Char">
    <w:name w:val="Heading 1 Char"/>
    <w:aliases w:val="Table_G Char"/>
    <w:basedOn w:val="DefaultParagraphFont"/>
    <w:link w:val="Heading1"/>
    <w:rsid w:val="00617A43"/>
    <w:rPr>
      <w:rFonts w:cs="Arial"/>
      <w:b/>
      <w:bCs/>
      <w:szCs w:val="32"/>
      <w:lang w:val="ru-RU" w:eastAsia="ru-RU"/>
    </w:rPr>
  </w:style>
  <w:style w:type="character" w:styleId="Hyperlink">
    <w:name w:val="Hyperlink"/>
    <w:basedOn w:val="DefaultParagraphFont"/>
    <w:rsid w:val="00617A43"/>
    <w:rPr>
      <w:color w:val="0000FF" w:themeColor="hyperlink"/>
      <w:u w:val="none"/>
    </w:rPr>
  </w:style>
  <w:style w:type="character" w:styleId="FollowedHyperlink">
    <w:name w:val="FollowedHyperlink"/>
    <w:basedOn w:val="DefaultParagraphFont"/>
    <w:rsid w:val="00617A43"/>
    <w:rPr>
      <w:color w:val="800080" w:themeColor="followedHyperlink"/>
      <w:u w:val="none"/>
    </w:rPr>
  </w:style>
  <w:style w:type="character" w:customStyle="1" w:styleId="SingleTxtGChar">
    <w:name w:val="_ Single Txt_G Char"/>
    <w:link w:val="SingleTxtG"/>
    <w:locked/>
    <w:rsid w:val="000C0122"/>
    <w:rPr>
      <w:lang w:val="ru-RU" w:eastAsia="en-US"/>
    </w:rPr>
  </w:style>
  <w:style w:type="paragraph" w:customStyle="1" w:styleId="ParNoG">
    <w:name w:val="_ParNo_G"/>
    <w:basedOn w:val="SingleTxtG"/>
    <w:qFormat/>
    <w:rsid w:val="000C0122"/>
    <w:pPr>
      <w:numPr>
        <w:numId w:val="22"/>
      </w:numPr>
      <w:suppressAutoHyphens w:val="0"/>
    </w:pPr>
    <w:rPr>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908</Words>
  <Characters>5182</Characters>
  <Application>Microsoft Office Word</Application>
  <DocSecurity>0</DocSecurity>
  <Lines>43</Lines>
  <Paragraphs>12</Paragraphs>
  <ScaleCrop>false</ScaleCrop>
  <HeadingPairs>
    <vt:vector size="6" baseType="variant">
      <vt:variant>
        <vt:lpstr>Title</vt:lpstr>
      </vt:variant>
      <vt:variant>
        <vt:i4>1</vt:i4>
      </vt:variant>
      <vt:variant>
        <vt:lpstr>Название</vt:lpstr>
      </vt:variant>
      <vt:variant>
        <vt:i4>1</vt:i4>
      </vt:variant>
      <vt:variant>
        <vt:lpstr>Título</vt:lpstr>
      </vt:variant>
      <vt:variant>
        <vt:i4>1</vt:i4>
      </vt:variant>
    </vt:vector>
  </HeadingPairs>
  <TitlesOfParts>
    <vt:vector size="3" baseType="lpstr">
      <vt:lpstr>ECE/TRANS/WP.15/AC.2/2020/12</vt:lpstr>
      <vt:lpstr>ECE/TRANS/WP.15/AC.2/2020/12</vt:lpstr>
      <vt:lpstr>A/</vt:lpstr>
    </vt:vector>
  </TitlesOfParts>
  <Company>DCM</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ECE/TRANS/WP.15/AC.2/2020/12</dc:title>
  <dc:subject/>
  <dc:creator>Olga OVTCHINNIKOVA</dc:creator>
  <cp:keywords/>
  <cp:lastModifiedBy>Marie-Claude Collet</cp:lastModifiedBy>
  <cp:revision>3</cp:revision>
  <cp:lastPrinted>2019-12-09T07:12:00Z</cp:lastPrinted>
  <dcterms:created xsi:type="dcterms:W3CDTF">2019-12-09T07:12:00Z</dcterms:created>
  <dcterms:modified xsi:type="dcterms:W3CDTF">2019-12-09T07:13:00Z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ies>
</file>