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C24E8" w14:paraId="3BEE9672" w14:textId="77777777" w:rsidTr="00C97039">
        <w:trPr>
          <w:trHeight w:hRule="exact" w:val="851"/>
        </w:trPr>
        <w:tc>
          <w:tcPr>
            <w:tcW w:w="1276" w:type="dxa"/>
            <w:tcBorders>
              <w:bottom w:val="single" w:sz="4" w:space="0" w:color="auto"/>
            </w:tcBorders>
          </w:tcPr>
          <w:p w14:paraId="6BC37EDE" w14:textId="77777777" w:rsidR="00F35BAF" w:rsidRPr="00CA33B2" w:rsidRDefault="00F35BAF" w:rsidP="005E3367"/>
        </w:tc>
        <w:tc>
          <w:tcPr>
            <w:tcW w:w="2268" w:type="dxa"/>
            <w:tcBorders>
              <w:bottom w:val="single" w:sz="4" w:space="0" w:color="auto"/>
            </w:tcBorders>
            <w:vAlign w:val="bottom"/>
          </w:tcPr>
          <w:p w14:paraId="45E6FCB0" w14:textId="77777777" w:rsidR="00F35BAF" w:rsidRPr="007C24E8" w:rsidRDefault="00F35BAF" w:rsidP="00C97039">
            <w:pPr>
              <w:spacing w:after="80" w:line="300" w:lineRule="exact"/>
              <w:rPr>
                <w:sz w:val="28"/>
              </w:rPr>
            </w:pPr>
            <w:r w:rsidRPr="007C24E8">
              <w:rPr>
                <w:sz w:val="28"/>
              </w:rPr>
              <w:t>Nations Unies</w:t>
            </w:r>
          </w:p>
        </w:tc>
        <w:tc>
          <w:tcPr>
            <w:tcW w:w="6095" w:type="dxa"/>
            <w:gridSpan w:val="2"/>
            <w:tcBorders>
              <w:bottom w:val="single" w:sz="4" w:space="0" w:color="auto"/>
            </w:tcBorders>
            <w:vAlign w:val="bottom"/>
          </w:tcPr>
          <w:p w14:paraId="4978D776" w14:textId="77777777" w:rsidR="00F35BAF" w:rsidRPr="007C24E8" w:rsidRDefault="005E3367" w:rsidP="005E3367">
            <w:pPr>
              <w:jc w:val="right"/>
            </w:pPr>
            <w:r w:rsidRPr="007C24E8">
              <w:rPr>
                <w:sz w:val="40"/>
              </w:rPr>
              <w:t>ECE</w:t>
            </w:r>
            <w:r w:rsidRPr="007C24E8">
              <w:t>/TRANS/WP.15/AC.1/158</w:t>
            </w:r>
          </w:p>
        </w:tc>
      </w:tr>
      <w:tr w:rsidR="00F35BAF" w:rsidRPr="007C24E8" w14:paraId="79EBD503" w14:textId="77777777" w:rsidTr="00C97039">
        <w:trPr>
          <w:trHeight w:hRule="exact" w:val="2835"/>
        </w:trPr>
        <w:tc>
          <w:tcPr>
            <w:tcW w:w="1276" w:type="dxa"/>
            <w:tcBorders>
              <w:top w:val="single" w:sz="4" w:space="0" w:color="auto"/>
              <w:bottom w:val="single" w:sz="12" w:space="0" w:color="auto"/>
            </w:tcBorders>
          </w:tcPr>
          <w:p w14:paraId="4B0E5F51" w14:textId="77777777" w:rsidR="00F35BAF" w:rsidRPr="007C24E8" w:rsidRDefault="00F35BAF" w:rsidP="00C97039">
            <w:pPr>
              <w:spacing w:before="120"/>
              <w:jc w:val="center"/>
            </w:pPr>
            <w:r w:rsidRPr="007C24E8">
              <w:rPr>
                <w:noProof/>
                <w:lang w:eastAsia="fr-CH"/>
              </w:rPr>
              <w:drawing>
                <wp:inline distT="0" distB="0" distL="0" distR="0" wp14:anchorId="21766DDD" wp14:editId="57616E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6B8058" w14:textId="77777777" w:rsidR="00F35BAF" w:rsidRPr="007C24E8" w:rsidRDefault="00F35BAF" w:rsidP="00C97039">
            <w:pPr>
              <w:spacing w:before="120" w:line="420" w:lineRule="exact"/>
              <w:rPr>
                <w:b/>
                <w:sz w:val="40"/>
                <w:szCs w:val="40"/>
              </w:rPr>
            </w:pPr>
            <w:r w:rsidRPr="007C24E8">
              <w:rPr>
                <w:b/>
                <w:sz w:val="40"/>
                <w:szCs w:val="40"/>
              </w:rPr>
              <w:t>Conseil économique et social</w:t>
            </w:r>
          </w:p>
        </w:tc>
        <w:tc>
          <w:tcPr>
            <w:tcW w:w="2835" w:type="dxa"/>
            <w:tcBorders>
              <w:top w:val="single" w:sz="4" w:space="0" w:color="auto"/>
              <w:bottom w:val="single" w:sz="12" w:space="0" w:color="auto"/>
            </w:tcBorders>
          </w:tcPr>
          <w:p w14:paraId="14276240" w14:textId="77777777" w:rsidR="00F35BAF" w:rsidRPr="007C24E8" w:rsidRDefault="005E3367" w:rsidP="00C97039">
            <w:pPr>
              <w:spacing w:before="240"/>
            </w:pPr>
            <w:r w:rsidRPr="007C24E8">
              <w:t>Distr. générale</w:t>
            </w:r>
          </w:p>
          <w:p w14:paraId="45F0E028" w14:textId="77777777" w:rsidR="005E3367" w:rsidRPr="007C24E8" w:rsidRDefault="005E3367" w:rsidP="005E3367">
            <w:pPr>
              <w:spacing w:line="240" w:lineRule="exact"/>
            </w:pPr>
            <w:r w:rsidRPr="007C24E8">
              <w:t>13 octobre 2020</w:t>
            </w:r>
          </w:p>
          <w:p w14:paraId="44D438A2" w14:textId="77777777" w:rsidR="005E3367" w:rsidRPr="007C24E8" w:rsidRDefault="005E3367" w:rsidP="005E3367">
            <w:pPr>
              <w:spacing w:line="240" w:lineRule="exact"/>
            </w:pPr>
            <w:r w:rsidRPr="007C24E8">
              <w:t>Français</w:t>
            </w:r>
          </w:p>
          <w:p w14:paraId="1C8D75C5" w14:textId="77777777" w:rsidR="005E3367" w:rsidRPr="007C24E8" w:rsidRDefault="005E3367" w:rsidP="005E3367">
            <w:pPr>
              <w:spacing w:line="240" w:lineRule="exact"/>
            </w:pPr>
            <w:r w:rsidRPr="007C24E8">
              <w:t>Original</w:t>
            </w:r>
            <w:r w:rsidR="004E3C2D" w:rsidRPr="007C24E8">
              <w:t> :</w:t>
            </w:r>
            <w:r w:rsidRPr="007C24E8">
              <w:t xml:space="preserve"> anglais</w:t>
            </w:r>
          </w:p>
        </w:tc>
      </w:tr>
    </w:tbl>
    <w:p w14:paraId="6757DB1C" w14:textId="77777777" w:rsidR="007F20FA" w:rsidRPr="007C24E8" w:rsidRDefault="007F20FA" w:rsidP="007F20FA">
      <w:pPr>
        <w:spacing w:before="120"/>
        <w:rPr>
          <w:b/>
          <w:sz w:val="28"/>
          <w:szCs w:val="28"/>
        </w:rPr>
      </w:pPr>
      <w:r w:rsidRPr="007C24E8">
        <w:rPr>
          <w:b/>
          <w:sz w:val="28"/>
          <w:szCs w:val="28"/>
        </w:rPr>
        <w:t>Commission économique pour l’Europe</w:t>
      </w:r>
    </w:p>
    <w:p w14:paraId="307DA74D" w14:textId="77777777" w:rsidR="007F20FA" w:rsidRPr="007C24E8" w:rsidRDefault="007F20FA" w:rsidP="007F20FA">
      <w:pPr>
        <w:spacing w:before="120"/>
        <w:rPr>
          <w:sz w:val="28"/>
          <w:szCs w:val="28"/>
        </w:rPr>
      </w:pPr>
      <w:r w:rsidRPr="007C24E8">
        <w:rPr>
          <w:sz w:val="28"/>
          <w:szCs w:val="28"/>
        </w:rPr>
        <w:t>Comité des transports intérieurs</w:t>
      </w:r>
    </w:p>
    <w:p w14:paraId="5F87FE8D" w14:textId="77777777" w:rsidR="005E3367" w:rsidRPr="007C24E8" w:rsidRDefault="005E3367" w:rsidP="005E3367">
      <w:pPr>
        <w:spacing w:before="120"/>
        <w:rPr>
          <w:rFonts w:eastAsia="Calibri"/>
          <w:b/>
          <w:sz w:val="24"/>
          <w:szCs w:val="24"/>
        </w:rPr>
      </w:pPr>
      <w:r w:rsidRPr="007C24E8">
        <w:rPr>
          <w:rFonts w:eastAsia="Calibri"/>
          <w:b/>
          <w:sz w:val="24"/>
          <w:szCs w:val="24"/>
        </w:rPr>
        <w:t>Groupe de travail des transports de marchandises dangereuses</w:t>
      </w:r>
    </w:p>
    <w:p w14:paraId="7F3D4F4B" w14:textId="77777777" w:rsidR="005E3367" w:rsidRPr="007C24E8" w:rsidRDefault="005E3367" w:rsidP="005E3367">
      <w:pPr>
        <w:spacing w:before="120"/>
        <w:rPr>
          <w:rFonts w:eastAsia="Calibri"/>
          <w:b/>
        </w:rPr>
      </w:pPr>
      <w:r w:rsidRPr="007C24E8">
        <w:rPr>
          <w:rFonts w:eastAsia="Calibri"/>
          <w:b/>
        </w:rPr>
        <w:t>Réunion commune de la Commission d’experts du RID et</w:t>
      </w:r>
      <w:r w:rsidR="00F218AE" w:rsidRPr="007C24E8">
        <w:rPr>
          <w:rFonts w:eastAsia="Calibri"/>
          <w:b/>
        </w:rPr>
        <w:t xml:space="preserve"> </w:t>
      </w:r>
      <w:r w:rsidRPr="007C24E8">
        <w:rPr>
          <w:rFonts w:eastAsia="Calibri"/>
          <w:b/>
        </w:rPr>
        <w:br/>
        <w:t>du Groupe de travail des transports de marchandises dangereuses</w:t>
      </w:r>
    </w:p>
    <w:p w14:paraId="6E17FBE9" w14:textId="77777777" w:rsidR="005E3367" w:rsidRPr="007C24E8" w:rsidRDefault="005E3367" w:rsidP="00F218AE">
      <w:pPr>
        <w:pStyle w:val="HChG"/>
      </w:pPr>
      <w:r w:rsidRPr="007C24E8">
        <w:tab/>
      </w:r>
      <w:r w:rsidRPr="007C24E8">
        <w:tab/>
        <w:t>Rapport de la Réunion commune de la Commission d’experts du RID et du Groupe de travail des transports de marchandises dangereuses sur sa session d’automne 2020</w:t>
      </w:r>
      <w:r w:rsidR="0097522F" w:rsidRPr="007C24E8">
        <w:rPr>
          <w:rStyle w:val="FootnoteReference"/>
          <w:b w:val="0"/>
          <w:bCs/>
          <w:sz w:val="20"/>
          <w:vertAlign w:val="baseline"/>
        </w:rPr>
        <w:footnoteReference w:customMarkFollows="1" w:id="2"/>
        <w:t>*</w:t>
      </w:r>
    </w:p>
    <w:p w14:paraId="292809AA" w14:textId="77777777" w:rsidR="005E3367" w:rsidRPr="007C24E8" w:rsidRDefault="005E3367" w:rsidP="00F218AE">
      <w:pPr>
        <w:pStyle w:val="H56G"/>
      </w:pPr>
      <w:r w:rsidRPr="007C24E8">
        <w:tab/>
      </w:r>
      <w:r w:rsidRPr="007C24E8">
        <w:tab/>
        <w:t>Tenue à Berne, les 10 et 11 septembre et à Genève du 14 au18 septembre 2020</w:t>
      </w:r>
    </w:p>
    <w:p w14:paraId="00078784" w14:textId="77777777" w:rsidR="00F218AE" w:rsidRPr="007C24E8" w:rsidRDefault="00F218AE" w:rsidP="00F218AE">
      <w:pPr>
        <w:spacing w:after="120"/>
        <w:rPr>
          <w:sz w:val="28"/>
        </w:rPr>
      </w:pPr>
      <w:r w:rsidRPr="007C24E8">
        <w:rPr>
          <w:sz w:val="28"/>
        </w:rPr>
        <w:t>Table des matières</w:t>
      </w:r>
    </w:p>
    <w:p w14:paraId="3BE694BE" w14:textId="77777777" w:rsidR="00F218AE" w:rsidRPr="007C24E8" w:rsidRDefault="00F218AE" w:rsidP="00F218AE">
      <w:pPr>
        <w:tabs>
          <w:tab w:val="right" w:pos="8929"/>
          <w:tab w:val="right" w:pos="9638"/>
        </w:tabs>
        <w:spacing w:after="120"/>
        <w:ind w:left="283"/>
        <w:rPr>
          <w:i/>
          <w:sz w:val="18"/>
        </w:rPr>
      </w:pPr>
      <w:r w:rsidRPr="007C24E8">
        <w:rPr>
          <w:i/>
          <w:sz w:val="18"/>
        </w:rPr>
        <w:tab/>
        <w:t>Paragraphes</w:t>
      </w:r>
      <w:r w:rsidRPr="007C24E8">
        <w:rPr>
          <w:i/>
          <w:sz w:val="18"/>
        </w:rPr>
        <w:tab/>
        <w:t>Page</w:t>
      </w:r>
    </w:p>
    <w:p w14:paraId="17E502F0"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I.</w:t>
      </w:r>
      <w:r w:rsidRPr="007C24E8">
        <w:tab/>
      </w:r>
      <w:r w:rsidR="00FC2896" w:rsidRPr="007C24E8">
        <w:t>Participation</w:t>
      </w:r>
      <w:r w:rsidRPr="007C24E8">
        <w:tab/>
      </w:r>
      <w:r w:rsidRPr="007C24E8">
        <w:tab/>
      </w:r>
      <w:r w:rsidR="00FC2896" w:rsidRPr="007C24E8">
        <w:t>1−3</w:t>
      </w:r>
      <w:r w:rsidRPr="007C24E8">
        <w:tab/>
      </w:r>
      <w:r w:rsidR="00266329" w:rsidRPr="007C24E8">
        <w:t>4</w:t>
      </w:r>
    </w:p>
    <w:p w14:paraId="47AE5DFF"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II.</w:t>
      </w:r>
      <w:r w:rsidRPr="007C24E8">
        <w:tab/>
      </w:r>
      <w:r w:rsidR="00FC2896" w:rsidRPr="007C24E8">
        <w:t>Ouverture de la session</w:t>
      </w:r>
      <w:r w:rsidRPr="007C24E8">
        <w:tab/>
      </w:r>
      <w:r w:rsidRPr="007C24E8">
        <w:tab/>
      </w:r>
      <w:r w:rsidR="00FC2896" w:rsidRPr="007C24E8">
        <w:t>4</w:t>
      </w:r>
      <w:r w:rsidRPr="007C24E8">
        <w:tab/>
      </w:r>
      <w:r w:rsidR="00266329" w:rsidRPr="007C24E8">
        <w:t>4</w:t>
      </w:r>
    </w:p>
    <w:p w14:paraId="0758CAF2"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III.</w:t>
      </w:r>
      <w:r w:rsidRPr="007C24E8">
        <w:tab/>
      </w:r>
      <w:r w:rsidR="00FC2896" w:rsidRPr="007C24E8">
        <w:t>Adoption de l’ordre du jour (point 1 de l’ordre du jour)</w:t>
      </w:r>
      <w:r w:rsidRPr="007C24E8">
        <w:tab/>
      </w:r>
      <w:r w:rsidRPr="007C24E8">
        <w:tab/>
      </w:r>
      <w:r w:rsidR="00FC2896" w:rsidRPr="007C24E8">
        <w:t>5</w:t>
      </w:r>
      <w:r w:rsidRPr="007C24E8">
        <w:tab/>
      </w:r>
      <w:r w:rsidR="002B35FC">
        <w:t>5</w:t>
      </w:r>
    </w:p>
    <w:p w14:paraId="746E4814"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IV.</w:t>
      </w:r>
      <w:r w:rsidRPr="007C24E8">
        <w:tab/>
      </w:r>
      <w:r w:rsidR="00FC2896" w:rsidRPr="007C24E8">
        <w:t>Citernes (point 2 de l’ordre du jour)</w:t>
      </w:r>
      <w:r w:rsidRPr="007C24E8">
        <w:tab/>
      </w:r>
      <w:r w:rsidRPr="007C24E8">
        <w:tab/>
      </w:r>
      <w:r w:rsidR="00FC2896" w:rsidRPr="007C24E8">
        <w:t>6−13</w:t>
      </w:r>
      <w:r w:rsidRPr="007C24E8">
        <w:tab/>
      </w:r>
      <w:r w:rsidR="00266329" w:rsidRPr="007C24E8">
        <w:t>5</w:t>
      </w:r>
    </w:p>
    <w:p w14:paraId="45D020E0" w14:textId="77777777" w:rsidR="00FC2896" w:rsidRPr="007C24E8" w:rsidRDefault="00FC2896" w:rsidP="00FC2896">
      <w:pPr>
        <w:tabs>
          <w:tab w:val="right" w:leader="dot" w:pos="7654"/>
          <w:tab w:val="right" w:pos="8929"/>
          <w:tab w:val="right" w:pos="9638"/>
        </w:tabs>
        <w:spacing w:after="120"/>
        <w:ind w:left="1559" w:hanging="425"/>
      </w:pPr>
      <w:r w:rsidRPr="007C24E8">
        <w:t>Rapport du Groupe de travail des citernes</w:t>
      </w:r>
      <w:r w:rsidRPr="007C24E8">
        <w:tab/>
      </w:r>
      <w:r w:rsidRPr="007C24E8">
        <w:tab/>
        <w:t>9−13</w:t>
      </w:r>
      <w:r w:rsidRPr="007C24E8">
        <w:tab/>
      </w:r>
      <w:r w:rsidR="00266329" w:rsidRPr="007C24E8">
        <w:t>6</w:t>
      </w:r>
    </w:p>
    <w:p w14:paraId="5C8A03B8"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V.</w:t>
      </w:r>
      <w:r w:rsidRPr="007C24E8">
        <w:tab/>
      </w:r>
      <w:r w:rsidR="00FC2896" w:rsidRPr="007C24E8">
        <w:t>Normes (point 3 de l’ordre du jour)</w:t>
      </w:r>
      <w:r w:rsidRPr="007C24E8">
        <w:tab/>
      </w:r>
      <w:r w:rsidRPr="007C24E8">
        <w:tab/>
      </w:r>
      <w:r w:rsidR="00FC2896" w:rsidRPr="007C24E8">
        <w:t>14−19</w:t>
      </w:r>
      <w:r w:rsidRPr="007C24E8">
        <w:tab/>
      </w:r>
      <w:r w:rsidR="002B35FC">
        <w:t>7</w:t>
      </w:r>
    </w:p>
    <w:p w14:paraId="35BD9B96" w14:textId="77777777" w:rsidR="00F218AE" w:rsidRPr="007C24E8" w:rsidRDefault="00F218AE" w:rsidP="00F218AE">
      <w:pPr>
        <w:tabs>
          <w:tab w:val="right" w:leader="dot" w:pos="7654"/>
          <w:tab w:val="right" w:pos="8929"/>
          <w:tab w:val="right" w:pos="9638"/>
        </w:tabs>
        <w:spacing w:after="120"/>
        <w:ind w:left="1559" w:hanging="425"/>
      </w:pPr>
      <w:r w:rsidRPr="007C24E8">
        <w:t>A.</w:t>
      </w:r>
      <w:r w:rsidRPr="007C24E8">
        <w:tab/>
      </w:r>
      <w:r w:rsidR="00FC2896" w:rsidRPr="007C24E8">
        <w:t xml:space="preserve">Procédure révisée de coopération avec le Comité européen </w:t>
      </w:r>
      <w:r w:rsidR="00D609C8" w:rsidRPr="007C24E8">
        <w:br/>
      </w:r>
      <w:r w:rsidR="00FC2896" w:rsidRPr="007C24E8">
        <w:t xml:space="preserve">de normalisation (CEN) et le Comité européen de normalisation </w:t>
      </w:r>
      <w:r w:rsidR="00D609C8" w:rsidRPr="007C24E8">
        <w:br/>
      </w:r>
      <w:r w:rsidR="00FC2896" w:rsidRPr="007C24E8">
        <w:t>électrotechnique (CENELEC)</w:t>
      </w:r>
      <w:r w:rsidRPr="007C24E8">
        <w:tab/>
      </w:r>
      <w:r w:rsidRPr="007C24E8">
        <w:tab/>
      </w:r>
      <w:r w:rsidR="00FC2896" w:rsidRPr="007C24E8">
        <w:t>14−15</w:t>
      </w:r>
      <w:r w:rsidRPr="007C24E8">
        <w:tab/>
      </w:r>
      <w:r w:rsidR="002B35FC">
        <w:t>7</w:t>
      </w:r>
    </w:p>
    <w:p w14:paraId="460698FE" w14:textId="77777777" w:rsidR="00F218AE" w:rsidRPr="007C24E8" w:rsidRDefault="00F218AE" w:rsidP="00F218AE">
      <w:pPr>
        <w:tabs>
          <w:tab w:val="right" w:leader="dot" w:pos="7654"/>
          <w:tab w:val="right" w:pos="8929"/>
          <w:tab w:val="right" w:pos="9638"/>
        </w:tabs>
        <w:spacing w:after="120"/>
        <w:ind w:left="1559" w:hanging="425"/>
      </w:pPr>
      <w:r w:rsidRPr="007C24E8">
        <w:t>B.</w:t>
      </w:r>
      <w:r w:rsidRPr="007C24E8">
        <w:tab/>
      </w:r>
      <w:r w:rsidR="00D609C8" w:rsidRPr="007C24E8">
        <w:t>Informations sur les activités du Groupe de travail des normes</w:t>
      </w:r>
      <w:r w:rsidRPr="007C24E8">
        <w:tab/>
      </w:r>
      <w:r w:rsidRPr="007C24E8">
        <w:tab/>
      </w:r>
      <w:r w:rsidR="00FC2896" w:rsidRPr="007C24E8">
        <w:t>16</w:t>
      </w:r>
      <w:r w:rsidRPr="007C24E8">
        <w:tab/>
      </w:r>
      <w:r w:rsidR="00266329" w:rsidRPr="007C24E8">
        <w:t>7</w:t>
      </w:r>
    </w:p>
    <w:p w14:paraId="06281767" w14:textId="77777777" w:rsidR="00F218AE" w:rsidRPr="007C24E8" w:rsidRDefault="00F218AE" w:rsidP="00F218AE">
      <w:pPr>
        <w:tabs>
          <w:tab w:val="right" w:leader="dot" w:pos="7654"/>
          <w:tab w:val="right" w:pos="8929"/>
          <w:tab w:val="right" w:pos="9638"/>
        </w:tabs>
        <w:spacing w:after="120"/>
        <w:ind w:left="1559" w:hanging="425"/>
      </w:pPr>
      <w:r w:rsidRPr="007C24E8">
        <w:t>C.</w:t>
      </w:r>
      <w:r w:rsidRPr="007C24E8">
        <w:tab/>
      </w:r>
      <w:r w:rsidR="00D609C8" w:rsidRPr="007C24E8">
        <w:t>Modification des exigences de la norme EN ISO 18119</w:t>
      </w:r>
      <w:r w:rsidRPr="007C24E8">
        <w:tab/>
      </w:r>
      <w:r w:rsidRPr="007C24E8">
        <w:tab/>
      </w:r>
      <w:r w:rsidR="00FC2896" w:rsidRPr="007C24E8">
        <w:t>17</w:t>
      </w:r>
      <w:r w:rsidRPr="007C24E8">
        <w:tab/>
      </w:r>
      <w:r w:rsidR="00266329" w:rsidRPr="007C24E8">
        <w:t>7</w:t>
      </w:r>
    </w:p>
    <w:p w14:paraId="4B1676B3" w14:textId="77777777" w:rsidR="00F218AE" w:rsidRPr="007C24E8" w:rsidRDefault="00F218AE" w:rsidP="00F218AE">
      <w:pPr>
        <w:tabs>
          <w:tab w:val="right" w:leader="dot" w:pos="7654"/>
          <w:tab w:val="right" w:pos="8929"/>
          <w:tab w:val="right" w:pos="9638"/>
        </w:tabs>
        <w:spacing w:after="120"/>
        <w:ind w:left="1559" w:hanging="425"/>
      </w:pPr>
      <w:r w:rsidRPr="007C24E8">
        <w:t>D.</w:t>
      </w:r>
      <w:r w:rsidRPr="007C24E8">
        <w:tab/>
      </w:r>
      <w:r w:rsidR="00D609C8" w:rsidRPr="007C24E8">
        <w:t>Observations et décisions du Groupe de travail des normes</w:t>
      </w:r>
      <w:r w:rsidRPr="007C24E8">
        <w:tab/>
      </w:r>
      <w:r w:rsidRPr="007C24E8">
        <w:tab/>
      </w:r>
      <w:r w:rsidR="00FC2896" w:rsidRPr="007C24E8">
        <w:t>18</w:t>
      </w:r>
      <w:r w:rsidRPr="007C24E8">
        <w:tab/>
      </w:r>
      <w:r w:rsidR="00266329" w:rsidRPr="007C24E8">
        <w:t>7</w:t>
      </w:r>
    </w:p>
    <w:p w14:paraId="37D49848" w14:textId="77777777" w:rsidR="00F218AE" w:rsidRPr="007C24E8" w:rsidRDefault="00F218AE" w:rsidP="00F218AE">
      <w:pPr>
        <w:tabs>
          <w:tab w:val="right" w:leader="dot" w:pos="7654"/>
          <w:tab w:val="right" w:pos="8929"/>
          <w:tab w:val="right" w:pos="9638"/>
        </w:tabs>
        <w:spacing w:after="120"/>
        <w:ind w:left="1559" w:hanging="425"/>
      </w:pPr>
      <w:r w:rsidRPr="007C24E8">
        <w:t>E.</w:t>
      </w:r>
      <w:r w:rsidRPr="007C24E8">
        <w:tab/>
      </w:r>
      <w:r w:rsidR="00D609C8" w:rsidRPr="007C24E8">
        <w:t>Rapport du Groupe de travail des normes (trente et unième réunion)</w:t>
      </w:r>
      <w:r w:rsidRPr="007C24E8">
        <w:tab/>
      </w:r>
      <w:r w:rsidRPr="007C24E8">
        <w:tab/>
      </w:r>
      <w:r w:rsidR="00FC2896" w:rsidRPr="007C24E8">
        <w:t>19</w:t>
      </w:r>
      <w:r w:rsidRPr="007C24E8">
        <w:tab/>
      </w:r>
      <w:r w:rsidR="00266329" w:rsidRPr="007C24E8">
        <w:t>7</w:t>
      </w:r>
    </w:p>
    <w:p w14:paraId="71E2C12B"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VI.</w:t>
      </w:r>
      <w:r w:rsidRPr="007C24E8">
        <w:tab/>
      </w:r>
      <w:r w:rsidR="00D609C8" w:rsidRPr="007C24E8">
        <w:t>Interprétation du RID/ADR/ADN (point 4 de l’ordre du jour)</w:t>
      </w:r>
      <w:r w:rsidRPr="007C24E8">
        <w:tab/>
      </w:r>
      <w:r w:rsidRPr="007C24E8">
        <w:tab/>
      </w:r>
      <w:r w:rsidR="00FC2896" w:rsidRPr="007C24E8">
        <w:t>20−23</w:t>
      </w:r>
      <w:r w:rsidRPr="007C24E8">
        <w:tab/>
      </w:r>
      <w:r w:rsidR="002B35FC">
        <w:t>8</w:t>
      </w:r>
    </w:p>
    <w:p w14:paraId="2319859C" w14:textId="77777777" w:rsidR="00F218AE" w:rsidRPr="007C24E8" w:rsidRDefault="00F218AE" w:rsidP="00F218AE">
      <w:pPr>
        <w:tabs>
          <w:tab w:val="right" w:leader="dot" w:pos="7654"/>
          <w:tab w:val="right" w:pos="8929"/>
          <w:tab w:val="right" w:pos="9638"/>
        </w:tabs>
        <w:spacing w:after="120"/>
        <w:ind w:left="1559" w:hanging="425"/>
      </w:pPr>
      <w:r w:rsidRPr="007C24E8">
        <w:t>A.</w:t>
      </w:r>
      <w:r w:rsidRPr="007C24E8">
        <w:tab/>
      </w:r>
      <w:r w:rsidR="00D609C8" w:rsidRPr="007C24E8">
        <w:t>Batteries usagées/accumulateurs usagés, transport en vrac (AP8)</w:t>
      </w:r>
      <w:r w:rsidRPr="007C24E8">
        <w:tab/>
      </w:r>
      <w:r w:rsidRPr="007C24E8">
        <w:tab/>
      </w:r>
      <w:r w:rsidR="00FC2896" w:rsidRPr="007C24E8">
        <w:t>20</w:t>
      </w:r>
      <w:r w:rsidRPr="007C24E8">
        <w:tab/>
      </w:r>
      <w:r w:rsidR="002B35FC">
        <w:t>8</w:t>
      </w:r>
    </w:p>
    <w:p w14:paraId="2527763C" w14:textId="77777777" w:rsidR="00F218AE" w:rsidRPr="007C24E8" w:rsidRDefault="00F218AE" w:rsidP="00F218AE">
      <w:pPr>
        <w:tabs>
          <w:tab w:val="right" w:leader="dot" w:pos="7654"/>
          <w:tab w:val="right" w:pos="8929"/>
          <w:tab w:val="right" w:pos="9638"/>
        </w:tabs>
        <w:spacing w:after="120"/>
        <w:ind w:left="1559" w:hanging="425"/>
      </w:pPr>
      <w:r w:rsidRPr="007C24E8">
        <w:lastRenderedPageBreak/>
        <w:t>B.</w:t>
      </w:r>
      <w:r w:rsidRPr="007C24E8">
        <w:tab/>
      </w:r>
      <w:r w:rsidR="00D609C8" w:rsidRPr="007C24E8">
        <w:t>Demande d’explicitation des dispositions du paragraphe 3.4.7.1</w:t>
      </w:r>
      <w:r w:rsidRPr="007C24E8">
        <w:tab/>
      </w:r>
      <w:r w:rsidRPr="007C24E8">
        <w:tab/>
      </w:r>
      <w:r w:rsidR="00FC2896" w:rsidRPr="007C24E8">
        <w:t>21</w:t>
      </w:r>
      <w:r w:rsidRPr="007C24E8">
        <w:tab/>
      </w:r>
      <w:r w:rsidR="00266329" w:rsidRPr="007C24E8">
        <w:t>8</w:t>
      </w:r>
    </w:p>
    <w:p w14:paraId="75EF96FD" w14:textId="77777777" w:rsidR="00F218AE" w:rsidRPr="007C24E8" w:rsidRDefault="00F218AE" w:rsidP="00F218AE">
      <w:pPr>
        <w:tabs>
          <w:tab w:val="right" w:leader="dot" w:pos="7654"/>
          <w:tab w:val="right" w:pos="8929"/>
          <w:tab w:val="right" w:pos="9638"/>
        </w:tabs>
        <w:spacing w:after="120"/>
        <w:ind w:left="1559" w:hanging="425"/>
      </w:pPr>
      <w:r w:rsidRPr="007C24E8">
        <w:t>C.</w:t>
      </w:r>
      <w:r w:rsidRPr="007C24E8">
        <w:tab/>
      </w:r>
      <w:r w:rsidR="00D609C8" w:rsidRPr="007C24E8">
        <w:t>Transport de citernes vides non nettoyées</w:t>
      </w:r>
      <w:r w:rsidRPr="007C24E8">
        <w:tab/>
      </w:r>
      <w:r w:rsidRPr="007C24E8">
        <w:tab/>
      </w:r>
      <w:r w:rsidR="00FC2896" w:rsidRPr="007C24E8">
        <w:t>22</w:t>
      </w:r>
      <w:r w:rsidRPr="007C24E8">
        <w:tab/>
      </w:r>
      <w:r w:rsidR="00266329" w:rsidRPr="007C24E8">
        <w:t>8</w:t>
      </w:r>
    </w:p>
    <w:p w14:paraId="038054C9" w14:textId="77777777" w:rsidR="00F218AE" w:rsidRPr="007C24E8" w:rsidRDefault="00F218AE" w:rsidP="00F218AE">
      <w:pPr>
        <w:tabs>
          <w:tab w:val="right" w:leader="dot" w:pos="7654"/>
          <w:tab w:val="right" w:pos="8929"/>
          <w:tab w:val="right" w:pos="9638"/>
        </w:tabs>
        <w:spacing w:after="120"/>
        <w:ind w:left="1559" w:hanging="425"/>
      </w:pPr>
      <w:r w:rsidRPr="007C24E8">
        <w:t>D.</w:t>
      </w:r>
      <w:r w:rsidRPr="007C24E8">
        <w:tab/>
      </w:r>
      <w:r w:rsidR="00D609C8" w:rsidRPr="007C24E8">
        <w:t>Placardage des bennes amovibles</w:t>
      </w:r>
      <w:r w:rsidRPr="007C24E8">
        <w:tab/>
      </w:r>
      <w:r w:rsidRPr="007C24E8">
        <w:tab/>
      </w:r>
      <w:r w:rsidR="00FC2896" w:rsidRPr="007C24E8">
        <w:t>23</w:t>
      </w:r>
      <w:r w:rsidRPr="007C24E8">
        <w:tab/>
      </w:r>
      <w:r w:rsidR="00266329" w:rsidRPr="007C24E8">
        <w:t>8</w:t>
      </w:r>
    </w:p>
    <w:p w14:paraId="6D4153A5"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VII.</w:t>
      </w:r>
      <w:r w:rsidRPr="007C24E8">
        <w:tab/>
      </w:r>
      <w:r w:rsidR="00D609C8" w:rsidRPr="007C24E8">
        <w:t xml:space="preserve">Propositions d’amendements au RID, à l’ADR et à l’ADN </w:t>
      </w:r>
      <w:r w:rsidR="00D609C8" w:rsidRPr="007C24E8">
        <w:br/>
        <w:t>(point 5 de l’ordre du jour)</w:t>
      </w:r>
      <w:r w:rsidRPr="007C24E8">
        <w:tab/>
      </w:r>
      <w:r w:rsidRPr="007C24E8">
        <w:tab/>
      </w:r>
      <w:r w:rsidR="00FC2896" w:rsidRPr="007C24E8">
        <w:t>24−48</w:t>
      </w:r>
      <w:r w:rsidRPr="007C24E8">
        <w:tab/>
      </w:r>
      <w:r w:rsidR="00266329" w:rsidRPr="007C24E8">
        <w:t>8</w:t>
      </w:r>
    </w:p>
    <w:p w14:paraId="7E32DCB8" w14:textId="77777777" w:rsidR="00F218AE" w:rsidRPr="007C24E8" w:rsidRDefault="00F218AE" w:rsidP="00F218AE">
      <w:pPr>
        <w:tabs>
          <w:tab w:val="right" w:leader="dot" w:pos="7654"/>
          <w:tab w:val="right" w:pos="8929"/>
          <w:tab w:val="right" w:pos="9638"/>
        </w:tabs>
        <w:spacing w:after="120"/>
        <w:ind w:left="1559" w:hanging="425"/>
      </w:pPr>
      <w:r w:rsidRPr="007C24E8">
        <w:t>A.</w:t>
      </w:r>
      <w:r w:rsidRPr="007C24E8">
        <w:tab/>
      </w:r>
      <w:r w:rsidR="00D609C8" w:rsidRPr="007C24E8">
        <w:t>Questions en suspens</w:t>
      </w:r>
      <w:r w:rsidRPr="007C24E8">
        <w:tab/>
      </w:r>
      <w:r w:rsidRPr="007C24E8">
        <w:tab/>
      </w:r>
      <w:r w:rsidR="00FC2896" w:rsidRPr="007C24E8">
        <w:t>24−33</w:t>
      </w:r>
      <w:r w:rsidRPr="007C24E8">
        <w:tab/>
      </w:r>
      <w:r w:rsidR="00266329" w:rsidRPr="007C24E8">
        <w:t>8</w:t>
      </w:r>
    </w:p>
    <w:p w14:paraId="004A81BF" w14:textId="77777777" w:rsidR="00F218AE" w:rsidRPr="007C24E8" w:rsidRDefault="00F218AE" w:rsidP="00F218AE">
      <w:pPr>
        <w:tabs>
          <w:tab w:val="right" w:leader="dot" w:pos="7654"/>
          <w:tab w:val="right" w:pos="8929"/>
          <w:tab w:val="right" w:pos="9638"/>
        </w:tabs>
        <w:spacing w:after="120"/>
        <w:ind w:left="1984" w:hanging="425"/>
      </w:pPr>
      <w:r w:rsidRPr="007C24E8">
        <w:t>1.</w:t>
      </w:r>
      <w:r w:rsidRPr="007C24E8">
        <w:tab/>
      </w:r>
      <w:r w:rsidR="00D609C8" w:rsidRPr="007C24E8">
        <w:t xml:space="preserve">Modification de la disposition spéciale 591 du chapitre 3.3 </w:t>
      </w:r>
      <w:r w:rsidR="00D609C8" w:rsidRPr="007C24E8">
        <w:br/>
        <w:t>du RID/de l’ADR/de l’ADN</w:t>
      </w:r>
      <w:r w:rsidRPr="007C24E8">
        <w:tab/>
      </w:r>
      <w:r w:rsidRPr="007C24E8">
        <w:tab/>
      </w:r>
      <w:r w:rsidR="00FC2896" w:rsidRPr="007C24E8">
        <w:t>24</w:t>
      </w:r>
      <w:r w:rsidRPr="007C24E8">
        <w:tab/>
      </w:r>
      <w:r w:rsidR="00266329" w:rsidRPr="007C24E8">
        <w:t>8</w:t>
      </w:r>
    </w:p>
    <w:p w14:paraId="45603C73" w14:textId="77777777" w:rsidR="00F218AE" w:rsidRPr="007C24E8" w:rsidRDefault="00C8440E" w:rsidP="00F218AE">
      <w:pPr>
        <w:tabs>
          <w:tab w:val="right" w:leader="dot" w:pos="7654"/>
          <w:tab w:val="right" w:pos="8929"/>
          <w:tab w:val="right" w:pos="9638"/>
        </w:tabs>
        <w:spacing w:after="120"/>
        <w:ind w:left="1984" w:hanging="425"/>
      </w:pPr>
      <w:r w:rsidRPr="007C24E8">
        <w:t>2</w:t>
      </w:r>
      <w:r w:rsidR="00F218AE" w:rsidRPr="007C24E8">
        <w:t>.</w:t>
      </w:r>
      <w:r w:rsidR="00F218AE" w:rsidRPr="007C24E8">
        <w:tab/>
      </w:r>
      <w:r w:rsidR="00D609C8" w:rsidRPr="007C24E8">
        <w:t>Proposition d’amendement au chapitre 1.2 du RID/ADR</w:t>
      </w:r>
      <w:r w:rsidR="00F218AE" w:rsidRPr="007C24E8">
        <w:tab/>
      </w:r>
      <w:r w:rsidR="00F218AE" w:rsidRPr="007C24E8">
        <w:tab/>
      </w:r>
      <w:r w:rsidR="00FC2896" w:rsidRPr="007C24E8">
        <w:t>25</w:t>
      </w:r>
      <w:r w:rsidR="00F218AE" w:rsidRPr="007C24E8">
        <w:tab/>
      </w:r>
      <w:r w:rsidR="002B35FC">
        <w:t>9</w:t>
      </w:r>
    </w:p>
    <w:p w14:paraId="17FBED3C" w14:textId="77777777" w:rsidR="00F218AE" w:rsidRPr="007C24E8" w:rsidRDefault="00C8440E" w:rsidP="00F218AE">
      <w:pPr>
        <w:tabs>
          <w:tab w:val="right" w:leader="dot" w:pos="7654"/>
          <w:tab w:val="right" w:pos="8929"/>
          <w:tab w:val="right" w:pos="9638"/>
        </w:tabs>
        <w:spacing w:after="120"/>
        <w:ind w:left="1984" w:hanging="425"/>
      </w:pPr>
      <w:r w:rsidRPr="007C24E8">
        <w:t>3</w:t>
      </w:r>
      <w:r w:rsidR="00F218AE" w:rsidRPr="007C24E8">
        <w:t>.</w:t>
      </w:r>
      <w:r w:rsidR="00F218AE" w:rsidRPr="007C24E8">
        <w:tab/>
      </w:r>
      <w:r w:rsidR="00D609C8" w:rsidRPr="007C24E8">
        <w:t xml:space="preserve">Délai d’utilisation des emballages en plastique pour les déchets </w:t>
      </w:r>
      <w:r w:rsidR="00E65BD0" w:rsidRPr="007C24E8">
        <w:br/>
      </w:r>
      <w:r w:rsidR="00D609C8" w:rsidRPr="007C24E8">
        <w:t xml:space="preserve">médicaux du numéro </w:t>
      </w:r>
      <w:r w:rsidR="007C24E8">
        <w:t>ONU </w:t>
      </w:r>
      <w:r w:rsidR="00D609C8" w:rsidRPr="007C24E8">
        <w:t>3549</w:t>
      </w:r>
      <w:r w:rsidR="00F218AE" w:rsidRPr="007C24E8">
        <w:tab/>
      </w:r>
      <w:r w:rsidR="00F218AE" w:rsidRPr="007C24E8">
        <w:tab/>
      </w:r>
      <w:r w:rsidR="00FC2896" w:rsidRPr="007C24E8">
        <w:t>26</w:t>
      </w:r>
      <w:r w:rsidR="00F218AE" w:rsidRPr="007C24E8">
        <w:tab/>
      </w:r>
      <w:r w:rsidR="00266329" w:rsidRPr="007C24E8">
        <w:t>9</w:t>
      </w:r>
    </w:p>
    <w:p w14:paraId="36C8D669" w14:textId="77777777" w:rsidR="00F218AE" w:rsidRPr="007C24E8" w:rsidRDefault="00C8440E" w:rsidP="00F218AE">
      <w:pPr>
        <w:tabs>
          <w:tab w:val="right" w:leader="dot" w:pos="7654"/>
          <w:tab w:val="right" w:pos="8929"/>
          <w:tab w:val="right" w:pos="9638"/>
        </w:tabs>
        <w:spacing w:after="120"/>
        <w:ind w:left="1984" w:hanging="425"/>
      </w:pPr>
      <w:r w:rsidRPr="007C24E8">
        <w:t>4</w:t>
      </w:r>
      <w:r w:rsidR="00F218AE" w:rsidRPr="007C24E8">
        <w:t>.</w:t>
      </w:r>
      <w:r w:rsidR="00F218AE" w:rsidRPr="007C24E8">
        <w:tab/>
      </w:r>
      <w:r w:rsidR="00D609C8" w:rsidRPr="007C24E8">
        <w:t xml:space="preserve">Prescriptions applicables aux engins de transport structurellement </w:t>
      </w:r>
      <w:r w:rsidR="00E65BD0" w:rsidRPr="007C24E8">
        <w:br/>
      </w:r>
      <w:r w:rsidR="00D609C8" w:rsidRPr="007C24E8">
        <w:t>propres à l’emploi</w:t>
      </w:r>
      <w:r w:rsidR="00F218AE" w:rsidRPr="007C24E8">
        <w:tab/>
      </w:r>
      <w:r w:rsidR="00F218AE" w:rsidRPr="007C24E8">
        <w:tab/>
      </w:r>
      <w:r w:rsidR="00FC2896" w:rsidRPr="007C24E8">
        <w:t>27</w:t>
      </w:r>
      <w:r w:rsidR="00F218AE" w:rsidRPr="007C24E8">
        <w:tab/>
      </w:r>
      <w:r w:rsidR="00266329" w:rsidRPr="007C24E8">
        <w:t>9</w:t>
      </w:r>
    </w:p>
    <w:p w14:paraId="51D65C26" w14:textId="77777777" w:rsidR="00F218AE" w:rsidRPr="007C24E8" w:rsidRDefault="00C8440E" w:rsidP="00F218AE">
      <w:pPr>
        <w:tabs>
          <w:tab w:val="right" w:leader="dot" w:pos="7654"/>
          <w:tab w:val="right" w:pos="8929"/>
          <w:tab w:val="right" w:pos="9638"/>
        </w:tabs>
        <w:spacing w:after="120"/>
        <w:ind w:left="1984" w:hanging="425"/>
      </w:pPr>
      <w:r w:rsidRPr="007C24E8">
        <w:t>5</w:t>
      </w:r>
      <w:r w:rsidR="00F218AE" w:rsidRPr="007C24E8">
        <w:t>.</w:t>
      </w:r>
      <w:r w:rsidR="00F218AE" w:rsidRPr="007C24E8">
        <w:tab/>
      </w:r>
      <w:r w:rsidR="00D609C8" w:rsidRPr="007C24E8">
        <w:t xml:space="preserve">Transport d’ENGRAIS EN SOLUTION contenant de l’ammoniac </w:t>
      </w:r>
      <w:r w:rsidR="00E65BD0" w:rsidRPr="007C24E8">
        <w:br/>
      </w:r>
      <w:r w:rsidR="00D609C8" w:rsidRPr="007C24E8">
        <w:t>non combiné (</w:t>
      </w:r>
      <w:r w:rsidR="007C24E8">
        <w:t>ONU </w:t>
      </w:r>
      <w:r w:rsidR="00D609C8" w:rsidRPr="007C24E8">
        <w:t>1043)</w:t>
      </w:r>
      <w:r w:rsidR="00F218AE" w:rsidRPr="007C24E8">
        <w:tab/>
      </w:r>
      <w:r w:rsidR="00F218AE" w:rsidRPr="007C24E8">
        <w:tab/>
      </w:r>
      <w:r w:rsidR="00FC2896" w:rsidRPr="007C24E8">
        <w:t>28</w:t>
      </w:r>
      <w:r w:rsidR="00F218AE" w:rsidRPr="007C24E8">
        <w:tab/>
      </w:r>
      <w:r w:rsidR="00266329" w:rsidRPr="007C24E8">
        <w:t>9</w:t>
      </w:r>
    </w:p>
    <w:p w14:paraId="279A0E20" w14:textId="77777777" w:rsidR="00F218AE" w:rsidRPr="007C24E8" w:rsidRDefault="00C8440E" w:rsidP="00F218AE">
      <w:pPr>
        <w:tabs>
          <w:tab w:val="right" w:leader="dot" w:pos="7654"/>
          <w:tab w:val="right" w:pos="8929"/>
          <w:tab w:val="right" w:pos="9638"/>
        </w:tabs>
        <w:spacing w:after="120"/>
        <w:ind w:left="1984" w:hanging="425"/>
      </w:pPr>
      <w:r w:rsidRPr="007C24E8">
        <w:t>6</w:t>
      </w:r>
      <w:r w:rsidR="00F218AE" w:rsidRPr="007C24E8">
        <w:t>.</w:t>
      </w:r>
      <w:r w:rsidR="00F218AE" w:rsidRPr="007C24E8">
        <w:tab/>
      </w:r>
      <w:r w:rsidR="00D609C8" w:rsidRPr="007C24E8">
        <w:t xml:space="preserve">Nom et description pour la rubrique </w:t>
      </w:r>
      <w:r w:rsidR="007C24E8">
        <w:t>ONU </w:t>
      </w:r>
      <w:r w:rsidR="00D609C8" w:rsidRPr="007C24E8">
        <w:t xml:space="preserve">1345 CHUTES </w:t>
      </w:r>
      <w:r w:rsidR="00E65BD0" w:rsidRPr="007C24E8">
        <w:br/>
      </w:r>
      <w:r w:rsidR="00D609C8" w:rsidRPr="007C24E8">
        <w:t xml:space="preserve">DE CAOUTCHOUC ou DÉCHETS DE CAOUTCHOUC, sous forme </w:t>
      </w:r>
      <w:r w:rsidR="00E65BD0" w:rsidRPr="007C24E8">
        <w:br/>
      </w:r>
      <w:r w:rsidR="00D609C8" w:rsidRPr="007C24E8">
        <w:t>de poudre ou de grains</w:t>
      </w:r>
      <w:r w:rsidR="00F218AE" w:rsidRPr="007C24E8">
        <w:tab/>
      </w:r>
      <w:r w:rsidR="00F218AE" w:rsidRPr="007C24E8">
        <w:tab/>
      </w:r>
      <w:r w:rsidR="00FC2896" w:rsidRPr="007C24E8">
        <w:t>29</w:t>
      </w:r>
      <w:r w:rsidR="00F218AE" w:rsidRPr="007C24E8">
        <w:tab/>
      </w:r>
      <w:r w:rsidR="00266329" w:rsidRPr="007C24E8">
        <w:t>9</w:t>
      </w:r>
    </w:p>
    <w:p w14:paraId="5C1C9FD0" w14:textId="77777777" w:rsidR="00F218AE" w:rsidRPr="007C24E8" w:rsidRDefault="00C8440E" w:rsidP="00F218AE">
      <w:pPr>
        <w:tabs>
          <w:tab w:val="right" w:leader="dot" w:pos="7654"/>
          <w:tab w:val="right" w:pos="8929"/>
          <w:tab w:val="right" w:pos="9638"/>
        </w:tabs>
        <w:spacing w:after="120"/>
        <w:ind w:left="1984" w:hanging="425"/>
      </w:pPr>
      <w:r w:rsidRPr="007C24E8">
        <w:t>7</w:t>
      </w:r>
      <w:r w:rsidR="00F218AE" w:rsidRPr="007C24E8">
        <w:t>.</w:t>
      </w:r>
      <w:r w:rsidR="00F218AE" w:rsidRPr="007C24E8">
        <w:tab/>
      </w:r>
      <w:r w:rsidR="00D609C8" w:rsidRPr="007C24E8">
        <w:t xml:space="preserve">Nom et description pour la rubrique </w:t>
      </w:r>
      <w:r w:rsidR="007C24E8">
        <w:t>ONU </w:t>
      </w:r>
      <w:r w:rsidR="00D609C8" w:rsidRPr="007C24E8">
        <w:t xml:space="preserve">2015 PEROXYDE </w:t>
      </w:r>
      <w:r w:rsidR="00E65BD0" w:rsidRPr="007C24E8">
        <w:br/>
      </w:r>
      <w:r w:rsidR="00D609C8" w:rsidRPr="007C24E8">
        <w:t xml:space="preserve">D’HYDROGÈNE STABILISÉ ou PEROXYDE D’HYDROGÈNE </w:t>
      </w:r>
      <w:r w:rsidR="00E65BD0" w:rsidRPr="007C24E8">
        <w:br/>
      </w:r>
      <w:r w:rsidR="00D609C8" w:rsidRPr="007C24E8">
        <w:t xml:space="preserve">EN SOLUTION AQUEUSE STABILISÉE contenant plus </w:t>
      </w:r>
      <w:r w:rsidR="00E65BD0" w:rsidRPr="007C24E8">
        <w:br/>
      </w:r>
      <w:r w:rsidR="00D609C8" w:rsidRPr="007C24E8">
        <w:t>de 60 % de peroxyde d’hydrogène</w:t>
      </w:r>
      <w:r w:rsidR="00F218AE" w:rsidRPr="007C24E8">
        <w:tab/>
      </w:r>
      <w:r w:rsidR="00F218AE" w:rsidRPr="007C24E8">
        <w:tab/>
      </w:r>
      <w:r w:rsidR="00FC2896" w:rsidRPr="007C24E8">
        <w:t>30</w:t>
      </w:r>
      <w:r w:rsidR="00F218AE" w:rsidRPr="007C24E8">
        <w:tab/>
      </w:r>
      <w:r w:rsidR="00266329" w:rsidRPr="007C24E8">
        <w:t>9</w:t>
      </w:r>
    </w:p>
    <w:p w14:paraId="512BE59F" w14:textId="77777777" w:rsidR="00F218AE" w:rsidRPr="007C24E8" w:rsidRDefault="00C8440E" w:rsidP="00F218AE">
      <w:pPr>
        <w:tabs>
          <w:tab w:val="right" w:leader="dot" w:pos="7654"/>
          <w:tab w:val="right" w:pos="8929"/>
          <w:tab w:val="right" w:pos="9638"/>
        </w:tabs>
        <w:spacing w:after="120"/>
        <w:ind w:left="1984" w:hanging="425"/>
      </w:pPr>
      <w:r w:rsidRPr="007C24E8">
        <w:t>8</w:t>
      </w:r>
      <w:r w:rsidR="00F218AE" w:rsidRPr="007C24E8">
        <w:t>.</w:t>
      </w:r>
      <w:r w:rsidR="00F218AE" w:rsidRPr="007C24E8">
        <w:tab/>
      </w:r>
      <w:r w:rsidR="00D609C8" w:rsidRPr="007C24E8">
        <w:t>Harmonisation de la disposition spéciale 593 avec la section 5.5.3</w:t>
      </w:r>
      <w:r w:rsidR="00F218AE" w:rsidRPr="007C24E8">
        <w:tab/>
      </w:r>
      <w:r w:rsidR="00F218AE" w:rsidRPr="007C24E8">
        <w:tab/>
      </w:r>
      <w:r w:rsidR="00FC2896" w:rsidRPr="007C24E8">
        <w:t>31</w:t>
      </w:r>
      <w:r w:rsidR="00F218AE" w:rsidRPr="007C24E8">
        <w:tab/>
      </w:r>
      <w:r w:rsidR="002B35FC">
        <w:t>10</w:t>
      </w:r>
    </w:p>
    <w:p w14:paraId="1C14F6A8" w14:textId="77777777" w:rsidR="00F218AE" w:rsidRPr="007C24E8" w:rsidRDefault="00C8440E" w:rsidP="00F218AE">
      <w:pPr>
        <w:tabs>
          <w:tab w:val="right" w:leader="dot" w:pos="7654"/>
          <w:tab w:val="right" w:pos="8929"/>
          <w:tab w:val="right" w:pos="9638"/>
        </w:tabs>
        <w:spacing w:after="120"/>
        <w:ind w:left="1984" w:hanging="425"/>
      </w:pPr>
      <w:r w:rsidRPr="007C24E8">
        <w:t>9</w:t>
      </w:r>
      <w:r w:rsidR="00F218AE" w:rsidRPr="007C24E8">
        <w:t>.</w:t>
      </w:r>
      <w:r w:rsidR="00F218AE" w:rsidRPr="007C24E8">
        <w:tab/>
      </w:r>
      <w:r w:rsidR="00D609C8" w:rsidRPr="007C24E8">
        <w:t xml:space="preserve">Nom et description des numéros </w:t>
      </w:r>
      <w:r w:rsidR="007C24E8">
        <w:t>ONU </w:t>
      </w:r>
      <w:r w:rsidR="00D609C8" w:rsidRPr="007C24E8">
        <w:t xml:space="preserve">dans le Règlement type </w:t>
      </w:r>
      <w:r w:rsidR="00E65BD0" w:rsidRPr="007C24E8">
        <w:br/>
      </w:r>
      <w:r w:rsidR="00D609C8" w:rsidRPr="007C24E8">
        <w:t>et dans le RID et l’ADR</w:t>
      </w:r>
      <w:r w:rsidR="00D609C8" w:rsidRPr="007C24E8">
        <w:rPr>
          <w:b/>
        </w:rPr>
        <w:t> :</w:t>
      </w:r>
      <w:r w:rsidR="00D609C8" w:rsidRPr="007C24E8">
        <w:t xml:space="preserve"> numéro </w:t>
      </w:r>
      <w:r w:rsidR="007C24E8">
        <w:t>ONU </w:t>
      </w:r>
      <w:r w:rsidR="00D609C8" w:rsidRPr="007C24E8">
        <w:t>2426, nitrate d’ammonium</w:t>
      </w:r>
      <w:r w:rsidR="00F218AE" w:rsidRPr="007C24E8">
        <w:tab/>
      </w:r>
      <w:r w:rsidR="00F218AE" w:rsidRPr="007C24E8">
        <w:tab/>
      </w:r>
      <w:r w:rsidR="00FC2896" w:rsidRPr="007C24E8">
        <w:t>32</w:t>
      </w:r>
      <w:r w:rsidR="00F218AE" w:rsidRPr="007C24E8">
        <w:tab/>
      </w:r>
      <w:r w:rsidR="002B35FC">
        <w:t>10</w:t>
      </w:r>
    </w:p>
    <w:p w14:paraId="6B47421A" w14:textId="77777777" w:rsidR="00F218AE" w:rsidRPr="007C24E8" w:rsidRDefault="00F218AE" w:rsidP="00F218AE">
      <w:pPr>
        <w:tabs>
          <w:tab w:val="right" w:leader="dot" w:pos="7654"/>
          <w:tab w:val="right" w:pos="8929"/>
          <w:tab w:val="right" w:pos="9638"/>
        </w:tabs>
        <w:spacing w:after="120"/>
        <w:ind w:left="1984" w:hanging="425"/>
      </w:pPr>
      <w:r w:rsidRPr="007C24E8">
        <w:t>1</w:t>
      </w:r>
      <w:r w:rsidR="00C8440E" w:rsidRPr="007C24E8">
        <w:t>0</w:t>
      </w:r>
      <w:r w:rsidRPr="007C24E8">
        <w:t>.</w:t>
      </w:r>
      <w:r w:rsidRPr="007C24E8">
        <w:tab/>
      </w:r>
      <w:r w:rsidR="00D609C8" w:rsidRPr="007C24E8">
        <w:t xml:space="preserve">Classification du numéro </w:t>
      </w:r>
      <w:r w:rsidR="007C24E8">
        <w:t>ONU </w:t>
      </w:r>
      <w:r w:rsidR="00D609C8" w:rsidRPr="007C24E8">
        <w:t>1872 (DIOXYDE DE PLOMB)</w:t>
      </w:r>
      <w:r w:rsidRPr="007C24E8">
        <w:tab/>
      </w:r>
      <w:r w:rsidRPr="007C24E8">
        <w:tab/>
      </w:r>
      <w:r w:rsidR="00FC2896" w:rsidRPr="007C24E8">
        <w:t>33</w:t>
      </w:r>
      <w:r w:rsidRPr="007C24E8">
        <w:tab/>
      </w:r>
      <w:r w:rsidR="00266329" w:rsidRPr="007C24E8">
        <w:t>10</w:t>
      </w:r>
    </w:p>
    <w:p w14:paraId="27BFCCB1" w14:textId="77777777" w:rsidR="00F218AE" w:rsidRPr="007C24E8" w:rsidRDefault="00F218AE" w:rsidP="00F218AE">
      <w:pPr>
        <w:tabs>
          <w:tab w:val="right" w:leader="dot" w:pos="7654"/>
          <w:tab w:val="right" w:pos="8929"/>
          <w:tab w:val="right" w:pos="9638"/>
        </w:tabs>
        <w:spacing w:after="120"/>
        <w:ind w:left="1559" w:hanging="425"/>
      </w:pPr>
      <w:r w:rsidRPr="007C24E8">
        <w:t>B.</w:t>
      </w:r>
      <w:r w:rsidRPr="007C24E8">
        <w:tab/>
      </w:r>
      <w:r w:rsidR="00D609C8" w:rsidRPr="007C24E8">
        <w:t>Nouvelles propositions</w:t>
      </w:r>
      <w:r w:rsidRPr="007C24E8">
        <w:tab/>
      </w:r>
      <w:r w:rsidRPr="007C24E8">
        <w:tab/>
      </w:r>
      <w:r w:rsidR="00FC2896" w:rsidRPr="007C24E8">
        <w:t>34−48</w:t>
      </w:r>
      <w:r w:rsidRPr="007C24E8">
        <w:tab/>
      </w:r>
      <w:r w:rsidR="00266329" w:rsidRPr="007C24E8">
        <w:t>10</w:t>
      </w:r>
    </w:p>
    <w:p w14:paraId="041C75DA" w14:textId="77777777" w:rsidR="00F218AE" w:rsidRPr="007C24E8" w:rsidRDefault="00F218AE" w:rsidP="00F218AE">
      <w:pPr>
        <w:tabs>
          <w:tab w:val="right" w:leader="dot" w:pos="7654"/>
          <w:tab w:val="right" w:pos="8929"/>
          <w:tab w:val="right" w:pos="9638"/>
        </w:tabs>
        <w:spacing w:after="120"/>
        <w:ind w:left="1984" w:hanging="425"/>
      </w:pPr>
      <w:r w:rsidRPr="007C24E8">
        <w:t>1.</w:t>
      </w:r>
      <w:r w:rsidRPr="007C24E8">
        <w:tab/>
      </w:r>
      <w:r w:rsidR="00D609C8" w:rsidRPr="007C24E8">
        <w:t xml:space="preserve">Paragraphe 4.1.6.15 du RID/ADR − normes applicables </w:t>
      </w:r>
      <w:r w:rsidR="00E65BD0" w:rsidRPr="007C24E8">
        <w:br/>
      </w:r>
      <w:r w:rsidR="00D609C8" w:rsidRPr="007C24E8">
        <w:t>aux dispositifs de protection des robinets</w:t>
      </w:r>
      <w:r w:rsidRPr="007C24E8">
        <w:tab/>
      </w:r>
      <w:r w:rsidRPr="007C24E8">
        <w:tab/>
      </w:r>
      <w:r w:rsidR="00FC2896" w:rsidRPr="007C24E8">
        <w:t>34</w:t>
      </w:r>
      <w:r w:rsidRPr="007C24E8">
        <w:tab/>
      </w:r>
      <w:r w:rsidR="00266329" w:rsidRPr="007C24E8">
        <w:t>10</w:t>
      </w:r>
    </w:p>
    <w:p w14:paraId="52E1CD9D" w14:textId="77777777" w:rsidR="00F218AE" w:rsidRPr="007C24E8" w:rsidRDefault="00C8440E" w:rsidP="00F218AE">
      <w:pPr>
        <w:tabs>
          <w:tab w:val="right" w:leader="dot" w:pos="7654"/>
          <w:tab w:val="right" w:pos="8929"/>
          <w:tab w:val="right" w:pos="9638"/>
        </w:tabs>
        <w:spacing w:after="120"/>
        <w:ind w:left="1984" w:hanging="425"/>
      </w:pPr>
      <w:r w:rsidRPr="007C24E8">
        <w:t>2</w:t>
      </w:r>
      <w:r w:rsidR="00F218AE" w:rsidRPr="007C24E8">
        <w:t>.</w:t>
      </w:r>
      <w:r w:rsidR="00F218AE" w:rsidRPr="007C24E8">
        <w:tab/>
      </w:r>
      <w:r w:rsidR="00D609C8" w:rsidRPr="007C24E8">
        <w:t xml:space="preserve">Formation de recyclage en ligne pour les conducteurs transportant </w:t>
      </w:r>
      <w:r w:rsidR="00E65BD0" w:rsidRPr="007C24E8">
        <w:br/>
      </w:r>
      <w:r w:rsidR="00D609C8" w:rsidRPr="007C24E8">
        <w:t>des marchandises dangereuses</w:t>
      </w:r>
      <w:r w:rsidR="00F218AE" w:rsidRPr="007C24E8">
        <w:tab/>
      </w:r>
      <w:r w:rsidR="00F218AE" w:rsidRPr="007C24E8">
        <w:tab/>
      </w:r>
      <w:r w:rsidR="00FC2896" w:rsidRPr="007C24E8">
        <w:t>35</w:t>
      </w:r>
      <w:r w:rsidR="00F218AE" w:rsidRPr="007C24E8">
        <w:tab/>
      </w:r>
      <w:r w:rsidR="00266329" w:rsidRPr="007C24E8">
        <w:t>10</w:t>
      </w:r>
    </w:p>
    <w:p w14:paraId="3B99DA53" w14:textId="77777777" w:rsidR="00F218AE" w:rsidRPr="007C24E8" w:rsidRDefault="00C8440E" w:rsidP="00F218AE">
      <w:pPr>
        <w:tabs>
          <w:tab w:val="right" w:leader="dot" w:pos="7654"/>
          <w:tab w:val="right" w:pos="8929"/>
          <w:tab w:val="right" w:pos="9638"/>
        </w:tabs>
        <w:spacing w:after="120"/>
        <w:ind w:left="1984" w:hanging="425"/>
      </w:pPr>
      <w:r w:rsidRPr="007C24E8">
        <w:t>3</w:t>
      </w:r>
      <w:r w:rsidR="00F218AE" w:rsidRPr="007C24E8">
        <w:t>.</w:t>
      </w:r>
      <w:r w:rsidR="00F218AE" w:rsidRPr="007C24E8">
        <w:tab/>
      </w:r>
      <w:r w:rsidR="00D609C8" w:rsidRPr="007C24E8">
        <w:t xml:space="preserve">Périodicité des épreuves pour les véhicules-batteries remplis </w:t>
      </w:r>
      <w:r w:rsidR="00E65BD0" w:rsidRPr="007C24E8">
        <w:br/>
      </w:r>
      <w:r w:rsidR="00D609C8" w:rsidRPr="007C24E8">
        <w:t>conformément à l’instruction d’emballage P200</w:t>
      </w:r>
      <w:r w:rsidR="00F218AE" w:rsidRPr="007C24E8">
        <w:tab/>
      </w:r>
      <w:r w:rsidR="00F218AE" w:rsidRPr="007C24E8">
        <w:tab/>
      </w:r>
      <w:r w:rsidR="00FC2896" w:rsidRPr="007C24E8">
        <w:t>36</w:t>
      </w:r>
      <w:r w:rsidR="00F218AE" w:rsidRPr="007C24E8">
        <w:tab/>
      </w:r>
      <w:r w:rsidR="00266329" w:rsidRPr="007C24E8">
        <w:t>1</w:t>
      </w:r>
      <w:r w:rsidR="002B35FC">
        <w:t>1</w:t>
      </w:r>
    </w:p>
    <w:p w14:paraId="18597746" w14:textId="77777777" w:rsidR="00F218AE" w:rsidRPr="007C24E8" w:rsidRDefault="00C8440E" w:rsidP="00F218AE">
      <w:pPr>
        <w:tabs>
          <w:tab w:val="right" w:leader="dot" w:pos="7654"/>
          <w:tab w:val="right" w:pos="8929"/>
          <w:tab w:val="right" w:pos="9638"/>
        </w:tabs>
        <w:spacing w:after="120"/>
        <w:ind w:left="1984" w:hanging="425"/>
      </w:pPr>
      <w:r w:rsidRPr="007C24E8">
        <w:t>4</w:t>
      </w:r>
      <w:r w:rsidR="00F218AE" w:rsidRPr="007C24E8">
        <w:t>.</w:t>
      </w:r>
      <w:r w:rsidR="00F218AE" w:rsidRPr="007C24E8">
        <w:tab/>
      </w:r>
      <w:r w:rsidR="00D609C8" w:rsidRPr="007C24E8">
        <w:t xml:space="preserve">Transport d’équipements fonctionnant avec des piles ou batteries </w:t>
      </w:r>
      <w:r w:rsidR="00E65BD0" w:rsidRPr="007C24E8">
        <w:br/>
      </w:r>
      <w:r w:rsidR="00D609C8" w:rsidRPr="007C24E8">
        <w:t>au lithium</w:t>
      </w:r>
      <w:r w:rsidR="00F218AE" w:rsidRPr="007C24E8">
        <w:tab/>
      </w:r>
      <w:r w:rsidR="00F218AE" w:rsidRPr="007C24E8">
        <w:tab/>
      </w:r>
      <w:r w:rsidR="00FC2896" w:rsidRPr="007C24E8">
        <w:t>37</w:t>
      </w:r>
      <w:r w:rsidR="00F218AE" w:rsidRPr="007C24E8">
        <w:tab/>
      </w:r>
      <w:r w:rsidR="00266329" w:rsidRPr="007C24E8">
        <w:t>1</w:t>
      </w:r>
      <w:r w:rsidR="002B35FC">
        <w:t>1</w:t>
      </w:r>
    </w:p>
    <w:p w14:paraId="3B417918" w14:textId="77777777" w:rsidR="00F218AE" w:rsidRPr="007C24E8" w:rsidRDefault="00C8440E" w:rsidP="00F218AE">
      <w:pPr>
        <w:tabs>
          <w:tab w:val="right" w:leader="dot" w:pos="7654"/>
          <w:tab w:val="right" w:pos="8929"/>
          <w:tab w:val="right" w:pos="9638"/>
        </w:tabs>
        <w:spacing w:after="120"/>
        <w:ind w:left="1984" w:hanging="425"/>
      </w:pPr>
      <w:r w:rsidRPr="007C24E8">
        <w:t>5</w:t>
      </w:r>
      <w:r w:rsidR="00F218AE" w:rsidRPr="007C24E8">
        <w:t>.</w:t>
      </w:r>
      <w:r w:rsidR="00F218AE" w:rsidRPr="007C24E8">
        <w:tab/>
      </w:r>
      <w:r w:rsidR="00D609C8" w:rsidRPr="007C24E8">
        <w:t>Transport d’emballages en vue de leur élimination ou recyclage</w:t>
      </w:r>
      <w:r w:rsidR="00F218AE" w:rsidRPr="007C24E8">
        <w:tab/>
      </w:r>
      <w:r w:rsidR="00F218AE" w:rsidRPr="007C24E8">
        <w:tab/>
      </w:r>
      <w:r w:rsidR="00FC2896" w:rsidRPr="007C24E8">
        <w:t>38</w:t>
      </w:r>
      <w:r w:rsidR="00F218AE" w:rsidRPr="007C24E8">
        <w:tab/>
      </w:r>
      <w:r w:rsidR="00266329" w:rsidRPr="007C24E8">
        <w:t>11</w:t>
      </w:r>
    </w:p>
    <w:p w14:paraId="59CF5E31" w14:textId="77777777" w:rsidR="00F218AE" w:rsidRPr="007C24E8" w:rsidRDefault="00C8440E" w:rsidP="00F218AE">
      <w:pPr>
        <w:tabs>
          <w:tab w:val="right" w:leader="dot" w:pos="7654"/>
          <w:tab w:val="right" w:pos="8929"/>
          <w:tab w:val="right" w:pos="9638"/>
        </w:tabs>
        <w:spacing w:after="120"/>
        <w:ind w:left="1984" w:hanging="425"/>
      </w:pPr>
      <w:r w:rsidRPr="007C24E8">
        <w:t>6</w:t>
      </w:r>
      <w:r w:rsidR="00F218AE" w:rsidRPr="007C24E8">
        <w:t>.</w:t>
      </w:r>
      <w:r w:rsidR="00F218AE" w:rsidRPr="007C24E8">
        <w:tab/>
      </w:r>
      <w:r w:rsidR="00D609C8" w:rsidRPr="007C24E8">
        <w:t xml:space="preserve">Harmonisation de la disposition spéciale 643 dans les règlements </w:t>
      </w:r>
      <w:r w:rsidR="00E65BD0" w:rsidRPr="007C24E8">
        <w:br/>
      </w:r>
      <w:r w:rsidR="00D609C8" w:rsidRPr="007C24E8">
        <w:t>relatifs aux transports</w:t>
      </w:r>
      <w:r w:rsidR="00F218AE" w:rsidRPr="007C24E8">
        <w:tab/>
      </w:r>
      <w:r w:rsidR="00F218AE" w:rsidRPr="007C24E8">
        <w:tab/>
      </w:r>
      <w:r w:rsidR="00FC2896" w:rsidRPr="007C24E8">
        <w:t>39</w:t>
      </w:r>
      <w:r w:rsidR="00F218AE" w:rsidRPr="007C24E8">
        <w:tab/>
      </w:r>
      <w:r w:rsidR="00266329" w:rsidRPr="007C24E8">
        <w:t>11</w:t>
      </w:r>
    </w:p>
    <w:p w14:paraId="035D5ACA" w14:textId="77777777" w:rsidR="00F218AE" w:rsidRPr="007C24E8" w:rsidRDefault="00C8440E" w:rsidP="00F218AE">
      <w:pPr>
        <w:tabs>
          <w:tab w:val="right" w:leader="dot" w:pos="7654"/>
          <w:tab w:val="right" w:pos="8929"/>
          <w:tab w:val="right" w:pos="9638"/>
        </w:tabs>
        <w:spacing w:after="120"/>
        <w:ind w:left="1984" w:hanging="425"/>
      </w:pPr>
      <w:r w:rsidRPr="007C24E8">
        <w:t>7</w:t>
      </w:r>
      <w:r w:rsidR="00F218AE" w:rsidRPr="007C24E8">
        <w:t>.</w:t>
      </w:r>
      <w:r w:rsidR="00F218AE" w:rsidRPr="007C24E8">
        <w:tab/>
      </w:r>
      <w:r w:rsidR="00D609C8" w:rsidRPr="007C24E8">
        <w:t>Transport de véhicules mus par accumulateurs</w:t>
      </w:r>
      <w:r w:rsidR="00F218AE" w:rsidRPr="007C24E8">
        <w:tab/>
      </w:r>
      <w:r w:rsidR="00F218AE" w:rsidRPr="007C24E8">
        <w:tab/>
      </w:r>
      <w:r w:rsidR="00FC2896" w:rsidRPr="007C24E8">
        <w:t>40</w:t>
      </w:r>
      <w:r w:rsidR="00266329" w:rsidRPr="007C24E8">
        <w:tab/>
        <w:t>11</w:t>
      </w:r>
    </w:p>
    <w:p w14:paraId="2F70BAD2" w14:textId="77777777" w:rsidR="00F218AE" w:rsidRPr="007C24E8" w:rsidRDefault="00C8440E" w:rsidP="00F218AE">
      <w:pPr>
        <w:tabs>
          <w:tab w:val="right" w:leader="dot" w:pos="7654"/>
          <w:tab w:val="right" w:pos="8929"/>
          <w:tab w:val="right" w:pos="9638"/>
        </w:tabs>
        <w:spacing w:after="120"/>
        <w:ind w:left="1984" w:hanging="425"/>
      </w:pPr>
      <w:r w:rsidRPr="007C24E8">
        <w:t>8</w:t>
      </w:r>
      <w:r w:rsidR="00F218AE" w:rsidRPr="007C24E8">
        <w:t>.</w:t>
      </w:r>
      <w:r w:rsidR="00F218AE" w:rsidRPr="007C24E8">
        <w:tab/>
      </w:r>
      <w:r w:rsidR="00D609C8" w:rsidRPr="007C24E8">
        <w:t xml:space="preserve">Différence dans le champ d’application des dispositions </w:t>
      </w:r>
      <w:r w:rsidR="00E65BD0" w:rsidRPr="007C24E8">
        <w:br/>
      </w:r>
      <w:r w:rsidR="00D609C8" w:rsidRPr="007C24E8">
        <w:t>spéciales 666 et 669</w:t>
      </w:r>
      <w:r w:rsidR="00F218AE" w:rsidRPr="007C24E8">
        <w:tab/>
      </w:r>
      <w:r w:rsidR="00F218AE" w:rsidRPr="007C24E8">
        <w:tab/>
      </w:r>
      <w:r w:rsidR="00FC2896" w:rsidRPr="007C24E8">
        <w:t>41</w:t>
      </w:r>
      <w:r w:rsidR="00F218AE" w:rsidRPr="007C24E8">
        <w:tab/>
      </w:r>
      <w:r w:rsidR="00266329" w:rsidRPr="007C24E8">
        <w:t>1</w:t>
      </w:r>
      <w:r w:rsidR="002B35FC">
        <w:t>2</w:t>
      </w:r>
    </w:p>
    <w:p w14:paraId="12BBD00D" w14:textId="77777777" w:rsidR="00F218AE" w:rsidRPr="007C24E8" w:rsidRDefault="00C8440E" w:rsidP="00F218AE">
      <w:pPr>
        <w:tabs>
          <w:tab w:val="right" w:leader="dot" w:pos="7654"/>
          <w:tab w:val="right" w:pos="8929"/>
          <w:tab w:val="right" w:pos="9638"/>
        </w:tabs>
        <w:spacing w:after="120"/>
        <w:ind w:left="1984" w:hanging="425"/>
      </w:pPr>
      <w:r w:rsidRPr="007C24E8">
        <w:t>9</w:t>
      </w:r>
      <w:r w:rsidR="00F218AE" w:rsidRPr="007C24E8">
        <w:t>.</w:t>
      </w:r>
      <w:r w:rsidR="00F218AE" w:rsidRPr="007C24E8">
        <w:tab/>
      </w:r>
      <w:r w:rsidR="00D609C8" w:rsidRPr="007C24E8">
        <w:t xml:space="preserve">Mise en œuvre des lignes directrices pour l’application </w:t>
      </w:r>
      <w:r w:rsidR="00E65BD0" w:rsidRPr="007C24E8">
        <w:br/>
      </w:r>
      <w:r w:rsidR="00D609C8" w:rsidRPr="007C24E8">
        <w:t>du paragraphe 5.4.0.2 du RID, de l’ADR et de l’ADN</w:t>
      </w:r>
      <w:r w:rsidR="00F218AE" w:rsidRPr="007C24E8">
        <w:tab/>
      </w:r>
      <w:r w:rsidR="00F218AE" w:rsidRPr="007C24E8">
        <w:tab/>
      </w:r>
      <w:r w:rsidR="00FC2896" w:rsidRPr="007C24E8">
        <w:t>42</w:t>
      </w:r>
      <w:r w:rsidR="00F218AE" w:rsidRPr="007C24E8">
        <w:tab/>
      </w:r>
      <w:r w:rsidR="00266329" w:rsidRPr="007C24E8">
        <w:t>1</w:t>
      </w:r>
      <w:r w:rsidR="002B35FC">
        <w:t>2</w:t>
      </w:r>
    </w:p>
    <w:p w14:paraId="4A293A52" w14:textId="77777777" w:rsidR="00F218AE" w:rsidRPr="007C24E8" w:rsidRDefault="00F218AE" w:rsidP="00F218AE">
      <w:pPr>
        <w:tabs>
          <w:tab w:val="right" w:leader="dot" w:pos="7654"/>
          <w:tab w:val="right" w:pos="8929"/>
          <w:tab w:val="right" w:pos="9638"/>
        </w:tabs>
        <w:spacing w:after="120"/>
        <w:ind w:left="1984" w:hanging="425"/>
      </w:pPr>
      <w:r w:rsidRPr="007C24E8">
        <w:t>1</w:t>
      </w:r>
      <w:r w:rsidR="00C8440E" w:rsidRPr="007C24E8">
        <w:t>0</w:t>
      </w:r>
      <w:r w:rsidRPr="007C24E8">
        <w:t>.</w:t>
      </w:r>
      <w:r w:rsidRPr="007C24E8">
        <w:tab/>
      </w:r>
      <w:r w:rsidR="00D609C8" w:rsidRPr="007C24E8">
        <w:t>Disposition spéciale 363</w:t>
      </w:r>
      <w:r w:rsidRPr="007C24E8">
        <w:tab/>
      </w:r>
      <w:r w:rsidRPr="007C24E8">
        <w:tab/>
      </w:r>
      <w:r w:rsidR="00FC2896" w:rsidRPr="007C24E8">
        <w:t>43</w:t>
      </w:r>
      <w:r w:rsidRPr="007C24E8">
        <w:tab/>
      </w:r>
      <w:r w:rsidR="00E65BD0" w:rsidRPr="007C24E8">
        <w:t>12</w:t>
      </w:r>
    </w:p>
    <w:p w14:paraId="2AAF2D16" w14:textId="77777777" w:rsidR="00F218AE" w:rsidRPr="007C24E8" w:rsidRDefault="00F218AE" w:rsidP="00F218AE">
      <w:pPr>
        <w:tabs>
          <w:tab w:val="right" w:leader="dot" w:pos="7654"/>
          <w:tab w:val="right" w:pos="8929"/>
          <w:tab w:val="right" w:pos="9638"/>
        </w:tabs>
        <w:spacing w:after="120"/>
        <w:ind w:left="1984" w:hanging="425"/>
      </w:pPr>
      <w:r w:rsidRPr="007C24E8">
        <w:t>1</w:t>
      </w:r>
      <w:r w:rsidR="00C8440E" w:rsidRPr="007C24E8">
        <w:t>1</w:t>
      </w:r>
      <w:r w:rsidRPr="007C24E8">
        <w:t>.</w:t>
      </w:r>
      <w:r w:rsidRPr="007C24E8">
        <w:tab/>
      </w:r>
      <w:r w:rsidR="00D609C8" w:rsidRPr="007C24E8">
        <w:t xml:space="preserve">Signalisation orange des wagons et véhicules transportant </w:t>
      </w:r>
      <w:r w:rsidR="00E65BD0" w:rsidRPr="007C24E8">
        <w:br/>
      </w:r>
      <w:r w:rsidR="00D609C8" w:rsidRPr="007C24E8">
        <w:t>des citernes ou</w:t>
      </w:r>
      <w:r w:rsidR="00E65BD0" w:rsidRPr="007C24E8">
        <w:t xml:space="preserve"> </w:t>
      </w:r>
      <w:r w:rsidR="00D609C8" w:rsidRPr="007C24E8">
        <w:t>des</w:t>
      </w:r>
      <w:r w:rsidR="00E65BD0" w:rsidRPr="007C24E8">
        <w:t xml:space="preserve"> </w:t>
      </w:r>
      <w:r w:rsidR="00D609C8" w:rsidRPr="007C24E8">
        <w:t>conteneurs pour vrac de faible capacité</w:t>
      </w:r>
      <w:r w:rsidRPr="007C24E8">
        <w:tab/>
      </w:r>
      <w:r w:rsidRPr="007C24E8">
        <w:tab/>
      </w:r>
      <w:r w:rsidR="00FC2896" w:rsidRPr="007C24E8">
        <w:t>44</w:t>
      </w:r>
      <w:r w:rsidRPr="007C24E8">
        <w:tab/>
      </w:r>
      <w:r w:rsidR="00E65BD0" w:rsidRPr="007C24E8">
        <w:t>12</w:t>
      </w:r>
    </w:p>
    <w:p w14:paraId="1D6181E8" w14:textId="77777777" w:rsidR="00F218AE" w:rsidRPr="007C24E8" w:rsidRDefault="00F218AE" w:rsidP="00F218AE">
      <w:pPr>
        <w:tabs>
          <w:tab w:val="right" w:leader="dot" w:pos="7654"/>
          <w:tab w:val="right" w:pos="8929"/>
          <w:tab w:val="right" w:pos="9638"/>
        </w:tabs>
        <w:spacing w:after="120"/>
        <w:ind w:left="1984" w:hanging="425"/>
      </w:pPr>
      <w:bookmarkStart w:id="0" w:name="_GoBack"/>
      <w:bookmarkEnd w:id="0"/>
      <w:r w:rsidRPr="007C24E8">
        <w:lastRenderedPageBreak/>
        <w:t>1</w:t>
      </w:r>
      <w:r w:rsidR="00C8440E" w:rsidRPr="007C24E8">
        <w:t>2</w:t>
      </w:r>
      <w:r w:rsidRPr="007C24E8">
        <w:t>.</w:t>
      </w:r>
      <w:r w:rsidRPr="007C24E8">
        <w:tab/>
      </w:r>
      <w:r w:rsidR="00D609C8" w:rsidRPr="007C24E8">
        <w:t xml:space="preserve">Référence au cadre de gestion des risques dans le transport intérieur </w:t>
      </w:r>
      <w:r w:rsidR="00E65BD0" w:rsidRPr="007C24E8">
        <w:br/>
      </w:r>
      <w:r w:rsidR="00D609C8" w:rsidRPr="007C24E8">
        <w:t>de marchandises dangereuses dans le RID/ADR/ADN</w:t>
      </w:r>
      <w:r w:rsidRPr="007C24E8">
        <w:tab/>
      </w:r>
      <w:r w:rsidRPr="007C24E8">
        <w:tab/>
      </w:r>
      <w:r w:rsidR="00FC2896" w:rsidRPr="007C24E8">
        <w:t>45</w:t>
      </w:r>
      <w:r w:rsidRPr="007C24E8">
        <w:tab/>
      </w:r>
      <w:r w:rsidR="00E65BD0" w:rsidRPr="007C24E8">
        <w:t>12</w:t>
      </w:r>
    </w:p>
    <w:p w14:paraId="40C15DC0" w14:textId="77777777" w:rsidR="00F218AE" w:rsidRPr="007C24E8" w:rsidRDefault="00F218AE" w:rsidP="00F218AE">
      <w:pPr>
        <w:tabs>
          <w:tab w:val="right" w:leader="dot" w:pos="7654"/>
          <w:tab w:val="right" w:pos="8929"/>
          <w:tab w:val="right" w:pos="9638"/>
        </w:tabs>
        <w:spacing w:after="120"/>
        <w:ind w:left="1984" w:hanging="425"/>
      </w:pPr>
      <w:r w:rsidRPr="007C24E8">
        <w:t>1</w:t>
      </w:r>
      <w:r w:rsidR="00C8440E" w:rsidRPr="007C24E8">
        <w:t>3</w:t>
      </w:r>
      <w:r w:rsidRPr="007C24E8">
        <w:t>.</w:t>
      </w:r>
      <w:r w:rsidRPr="007C24E8">
        <w:tab/>
      </w:r>
      <w:r w:rsidR="00D609C8" w:rsidRPr="007C24E8">
        <w:t xml:space="preserve">Exemptions pour les batteries au lithium du numéro </w:t>
      </w:r>
      <w:r w:rsidR="007C24E8">
        <w:t>ONU </w:t>
      </w:r>
      <w:r w:rsidR="00D609C8" w:rsidRPr="007C24E8">
        <w:t>3536</w:t>
      </w:r>
      <w:r w:rsidRPr="007C24E8">
        <w:tab/>
      </w:r>
      <w:r w:rsidRPr="007C24E8">
        <w:tab/>
      </w:r>
      <w:r w:rsidR="00FC2896" w:rsidRPr="007C24E8">
        <w:t>46</w:t>
      </w:r>
      <w:r w:rsidRPr="007C24E8">
        <w:tab/>
      </w:r>
      <w:r w:rsidR="00E65BD0" w:rsidRPr="007C24E8">
        <w:t>12</w:t>
      </w:r>
    </w:p>
    <w:p w14:paraId="553658A1" w14:textId="77777777" w:rsidR="00F218AE" w:rsidRPr="007C24E8" w:rsidRDefault="00F218AE" w:rsidP="00F218AE">
      <w:pPr>
        <w:tabs>
          <w:tab w:val="right" w:leader="dot" w:pos="7654"/>
          <w:tab w:val="right" w:pos="8929"/>
          <w:tab w:val="right" w:pos="9638"/>
        </w:tabs>
        <w:spacing w:after="120"/>
        <w:ind w:left="1984" w:hanging="425"/>
      </w:pPr>
      <w:r w:rsidRPr="007C24E8">
        <w:t>1</w:t>
      </w:r>
      <w:r w:rsidR="00C8440E" w:rsidRPr="007C24E8">
        <w:t>4</w:t>
      </w:r>
      <w:r w:rsidRPr="007C24E8">
        <w:t>.</w:t>
      </w:r>
      <w:r w:rsidRPr="007C24E8">
        <w:tab/>
      </w:r>
      <w:r w:rsidR="00D609C8" w:rsidRPr="007C24E8">
        <w:t xml:space="preserve">Amendement à la version française du paragraphe 2.2.41.1.10 </w:t>
      </w:r>
      <w:r w:rsidR="00E65BD0" w:rsidRPr="007C24E8">
        <w:br/>
      </w:r>
      <w:r w:rsidR="00D609C8" w:rsidRPr="007C24E8">
        <w:t>du RID/ADR/ADN</w:t>
      </w:r>
      <w:r w:rsidRPr="007C24E8">
        <w:tab/>
      </w:r>
      <w:r w:rsidRPr="007C24E8">
        <w:tab/>
      </w:r>
      <w:r w:rsidR="00FC2896" w:rsidRPr="007C24E8">
        <w:t>47</w:t>
      </w:r>
      <w:r w:rsidR="00E65BD0" w:rsidRPr="007C24E8">
        <w:tab/>
        <w:t>1</w:t>
      </w:r>
      <w:r w:rsidR="002B35FC">
        <w:t>3</w:t>
      </w:r>
    </w:p>
    <w:p w14:paraId="20F2F613" w14:textId="77777777" w:rsidR="00F218AE" w:rsidRPr="007C24E8" w:rsidRDefault="00F218AE" w:rsidP="00F218AE">
      <w:pPr>
        <w:tabs>
          <w:tab w:val="right" w:leader="dot" w:pos="7654"/>
          <w:tab w:val="right" w:pos="8929"/>
          <w:tab w:val="right" w:pos="9638"/>
        </w:tabs>
        <w:spacing w:after="120"/>
        <w:ind w:left="1984" w:hanging="425"/>
      </w:pPr>
      <w:r w:rsidRPr="007C24E8">
        <w:t>1</w:t>
      </w:r>
      <w:r w:rsidR="00C8440E" w:rsidRPr="007C24E8">
        <w:t>5</w:t>
      </w:r>
      <w:r w:rsidRPr="007C24E8">
        <w:t>.</w:t>
      </w:r>
      <w:r w:rsidRPr="007C24E8">
        <w:tab/>
      </w:r>
      <w:r w:rsidR="00D609C8" w:rsidRPr="007C24E8">
        <w:t>Autres propositions</w:t>
      </w:r>
      <w:r w:rsidRPr="007C24E8">
        <w:tab/>
      </w:r>
      <w:r w:rsidRPr="007C24E8">
        <w:tab/>
      </w:r>
      <w:r w:rsidR="00FC2896" w:rsidRPr="007C24E8">
        <w:t>48</w:t>
      </w:r>
      <w:r w:rsidRPr="007C24E8">
        <w:tab/>
      </w:r>
      <w:r w:rsidR="00E65BD0" w:rsidRPr="007C24E8">
        <w:t>1</w:t>
      </w:r>
      <w:r w:rsidR="002B35FC">
        <w:t>3</w:t>
      </w:r>
    </w:p>
    <w:p w14:paraId="23D70BB9"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VIII.</w:t>
      </w:r>
      <w:r w:rsidRPr="007C24E8">
        <w:tab/>
      </w:r>
      <w:r w:rsidR="00D609C8" w:rsidRPr="007C24E8">
        <w:t>Rapports des groupes de travail informels (point 6 de l’ordre du jour)</w:t>
      </w:r>
      <w:r w:rsidRPr="007C24E8">
        <w:tab/>
      </w:r>
      <w:r w:rsidRPr="007C24E8">
        <w:tab/>
      </w:r>
      <w:r w:rsidR="00FC2896" w:rsidRPr="007C24E8">
        <w:t>49−60</w:t>
      </w:r>
      <w:r w:rsidRPr="007C24E8">
        <w:tab/>
      </w:r>
      <w:r w:rsidR="00E65BD0" w:rsidRPr="007C24E8">
        <w:t>13</w:t>
      </w:r>
    </w:p>
    <w:p w14:paraId="0BE9835D" w14:textId="77777777" w:rsidR="00F218AE" w:rsidRPr="007C24E8" w:rsidRDefault="00F218AE" w:rsidP="00F218AE">
      <w:pPr>
        <w:tabs>
          <w:tab w:val="right" w:leader="dot" w:pos="7654"/>
          <w:tab w:val="right" w:pos="8929"/>
          <w:tab w:val="right" w:pos="9638"/>
        </w:tabs>
        <w:spacing w:after="120"/>
        <w:ind w:left="1559" w:hanging="425"/>
      </w:pPr>
      <w:r w:rsidRPr="007C24E8">
        <w:t>A.</w:t>
      </w:r>
      <w:r w:rsidRPr="007C24E8">
        <w:tab/>
      </w:r>
      <w:r w:rsidR="00D609C8" w:rsidRPr="007C24E8">
        <w:t xml:space="preserve">Transport de récipients à pression agréés par le Département </w:t>
      </w:r>
      <w:r w:rsidR="00E65BD0" w:rsidRPr="007C24E8">
        <w:br/>
      </w:r>
      <w:r w:rsidR="00D609C8" w:rsidRPr="007C24E8">
        <w:t>des</w:t>
      </w:r>
      <w:r w:rsidR="00E65BD0" w:rsidRPr="007C24E8">
        <w:t xml:space="preserve"> </w:t>
      </w:r>
      <w:r w:rsidR="00D609C8" w:rsidRPr="007C24E8">
        <w:t>transports des États-Unis d’Amérique</w:t>
      </w:r>
      <w:r w:rsidRPr="007C24E8">
        <w:tab/>
      </w:r>
      <w:r w:rsidRPr="007C24E8">
        <w:tab/>
      </w:r>
      <w:r w:rsidR="00FC2896" w:rsidRPr="007C24E8">
        <w:t>49</w:t>
      </w:r>
      <w:r w:rsidRPr="007C24E8">
        <w:tab/>
      </w:r>
      <w:r w:rsidR="00E65BD0" w:rsidRPr="007C24E8">
        <w:t>13</w:t>
      </w:r>
    </w:p>
    <w:p w14:paraId="18614162" w14:textId="77777777" w:rsidR="00F218AE" w:rsidRPr="007C24E8" w:rsidRDefault="00F218AE" w:rsidP="00F218AE">
      <w:pPr>
        <w:tabs>
          <w:tab w:val="right" w:leader="dot" w:pos="7654"/>
          <w:tab w:val="right" w:pos="8929"/>
          <w:tab w:val="right" w:pos="9638"/>
        </w:tabs>
        <w:spacing w:after="120"/>
        <w:ind w:left="1559" w:hanging="425"/>
      </w:pPr>
      <w:r w:rsidRPr="007C24E8">
        <w:t>B.</w:t>
      </w:r>
      <w:r w:rsidRPr="007C24E8">
        <w:tab/>
      </w:r>
      <w:r w:rsidR="00D609C8" w:rsidRPr="007C24E8">
        <w:t xml:space="preserve">Rapport du groupe de travail informel de la réduction du risque </w:t>
      </w:r>
      <w:r w:rsidR="00E65BD0" w:rsidRPr="007C24E8">
        <w:br/>
      </w:r>
      <w:r w:rsidR="00D609C8" w:rsidRPr="007C24E8">
        <w:t>de</w:t>
      </w:r>
      <w:r w:rsidR="00E65BD0" w:rsidRPr="007C24E8">
        <w:t xml:space="preserve"> </w:t>
      </w:r>
      <w:r w:rsidR="00D609C8" w:rsidRPr="007C24E8">
        <w:t xml:space="preserve">vaporisation explosive d’un liquide porté à ébullition (BLEVE) </w:t>
      </w:r>
      <w:r w:rsidR="00E65BD0" w:rsidRPr="007C24E8">
        <w:br/>
      </w:r>
      <w:r w:rsidR="00D609C8" w:rsidRPr="007C24E8">
        <w:t>sur</w:t>
      </w:r>
      <w:r w:rsidR="00E65BD0" w:rsidRPr="007C24E8">
        <w:t xml:space="preserve"> </w:t>
      </w:r>
      <w:r w:rsidR="00D609C8" w:rsidRPr="007C24E8">
        <w:t>sa réunion (Madrid, 22-24 octobre 2019)</w:t>
      </w:r>
      <w:r w:rsidRPr="007C24E8">
        <w:tab/>
      </w:r>
      <w:r w:rsidRPr="007C24E8">
        <w:tab/>
      </w:r>
      <w:r w:rsidR="00FC2896" w:rsidRPr="007C24E8">
        <w:t>50−51</w:t>
      </w:r>
      <w:r w:rsidRPr="007C24E8">
        <w:tab/>
      </w:r>
      <w:r w:rsidR="00E65BD0" w:rsidRPr="007C24E8">
        <w:t>13</w:t>
      </w:r>
    </w:p>
    <w:p w14:paraId="661601B9" w14:textId="77777777" w:rsidR="00F218AE" w:rsidRPr="007C24E8" w:rsidRDefault="00F218AE" w:rsidP="00F218AE">
      <w:pPr>
        <w:tabs>
          <w:tab w:val="right" w:leader="dot" w:pos="7654"/>
          <w:tab w:val="right" w:pos="8929"/>
          <w:tab w:val="right" w:pos="9638"/>
        </w:tabs>
        <w:spacing w:after="120"/>
        <w:ind w:left="1559" w:hanging="425"/>
      </w:pPr>
      <w:r w:rsidRPr="007C24E8">
        <w:t>C.</w:t>
      </w:r>
      <w:r w:rsidRPr="007C24E8">
        <w:tab/>
      </w:r>
      <w:r w:rsidR="00D609C8" w:rsidRPr="007C24E8">
        <w:t xml:space="preserve">Groupe de travail informel des définitions des termes « risque » </w:t>
      </w:r>
      <w:r w:rsidR="00E65BD0" w:rsidRPr="007C24E8">
        <w:br/>
      </w:r>
      <w:r w:rsidR="00D609C8" w:rsidRPr="007C24E8">
        <w:t>et « danger »</w:t>
      </w:r>
      <w:r w:rsidRPr="007C24E8">
        <w:tab/>
      </w:r>
      <w:r w:rsidRPr="007C24E8">
        <w:tab/>
      </w:r>
      <w:r w:rsidR="00FC2896" w:rsidRPr="007C24E8">
        <w:t>52</w:t>
      </w:r>
      <w:r w:rsidRPr="007C24E8">
        <w:tab/>
      </w:r>
      <w:r w:rsidR="00E65BD0" w:rsidRPr="007C24E8">
        <w:t>1</w:t>
      </w:r>
      <w:r w:rsidR="002B35FC">
        <w:t>4</w:t>
      </w:r>
    </w:p>
    <w:p w14:paraId="754D0E17" w14:textId="77777777" w:rsidR="00F218AE" w:rsidRPr="007C24E8" w:rsidRDefault="00F218AE" w:rsidP="00F218AE">
      <w:pPr>
        <w:tabs>
          <w:tab w:val="right" w:leader="dot" w:pos="7654"/>
          <w:tab w:val="right" w:pos="8929"/>
          <w:tab w:val="right" w:pos="9638"/>
        </w:tabs>
        <w:spacing w:after="120"/>
        <w:ind w:left="1559" w:hanging="425"/>
      </w:pPr>
      <w:r w:rsidRPr="007C24E8">
        <w:t>D.</w:t>
      </w:r>
      <w:r w:rsidRPr="007C24E8">
        <w:tab/>
      </w:r>
      <w:r w:rsidR="00D609C8" w:rsidRPr="007C24E8">
        <w:t>Transport des matières qui polymérisent en tant que déchets</w:t>
      </w:r>
      <w:r w:rsidRPr="007C24E8">
        <w:tab/>
      </w:r>
      <w:r w:rsidRPr="007C24E8">
        <w:tab/>
      </w:r>
      <w:r w:rsidR="00FC2896" w:rsidRPr="007C24E8">
        <w:t>53</w:t>
      </w:r>
      <w:r w:rsidRPr="007C24E8">
        <w:tab/>
      </w:r>
      <w:r w:rsidR="00E65BD0" w:rsidRPr="007C24E8">
        <w:t>14</w:t>
      </w:r>
    </w:p>
    <w:p w14:paraId="28227A2C" w14:textId="77777777" w:rsidR="00F218AE" w:rsidRPr="007C24E8" w:rsidRDefault="00F218AE" w:rsidP="00F218AE">
      <w:pPr>
        <w:tabs>
          <w:tab w:val="right" w:leader="dot" w:pos="7654"/>
          <w:tab w:val="right" w:pos="8929"/>
          <w:tab w:val="right" w:pos="9638"/>
        </w:tabs>
        <w:spacing w:after="120"/>
        <w:ind w:left="1559" w:hanging="425"/>
      </w:pPr>
      <w:r w:rsidRPr="007C24E8">
        <w:t>E.</w:t>
      </w:r>
      <w:r w:rsidRPr="007C24E8">
        <w:tab/>
      </w:r>
      <w:r w:rsidR="00D609C8" w:rsidRPr="007C24E8">
        <w:t>Proposition relative au transport en vrac de déchets contenant de l’amiante</w:t>
      </w:r>
      <w:r w:rsidRPr="007C24E8">
        <w:tab/>
      </w:r>
      <w:r w:rsidRPr="007C24E8">
        <w:tab/>
      </w:r>
      <w:r w:rsidR="00FC2896" w:rsidRPr="007C24E8">
        <w:t>54</w:t>
      </w:r>
      <w:r w:rsidRPr="007C24E8">
        <w:tab/>
      </w:r>
      <w:r w:rsidR="00E65BD0" w:rsidRPr="007C24E8">
        <w:t>14</w:t>
      </w:r>
    </w:p>
    <w:p w14:paraId="4DB5C087" w14:textId="77777777" w:rsidR="00F218AE" w:rsidRPr="007C24E8" w:rsidRDefault="00F218AE" w:rsidP="00F218AE">
      <w:pPr>
        <w:tabs>
          <w:tab w:val="right" w:leader="dot" w:pos="7654"/>
          <w:tab w:val="right" w:pos="8929"/>
          <w:tab w:val="right" w:pos="9638"/>
        </w:tabs>
        <w:spacing w:after="120"/>
        <w:ind w:left="1559" w:hanging="425"/>
      </w:pPr>
      <w:r w:rsidRPr="007C24E8">
        <w:t>F.</w:t>
      </w:r>
      <w:r w:rsidRPr="007C24E8">
        <w:tab/>
      </w:r>
      <w:r w:rsidR="00D609C8" w:rsidRPr="007C24E8">
        <w:t xml:space="preserve">Groupe de travail informel des transports de déchets dangereux : </w:t>
      </w:r>
      <w:r w:rsidR="00E65BD0" w:rsidRPr="007C24E8">
        <w:br/>
      </w:r>
      <w:r w:rsidR="00D609C8" w:rsidRPr="007C24E8">
        <w:t>réunion tenue à Utrecht (3 et 4 mars 2020)</w:t>
      </w:r>
      <w:r w:rsidRPr="007C24E8">
        <w:tab/>
      </w:r>
      <w:r w:rsidRPr="007C24E8">
        <w:tab/>
      </w:r>
      <w:r w:rsidR="00FC2896" w:rsidRPr="007C24E8">
        <w:t>55</w:t>
      </w:r>
      <w:r w:rsidRPr="007C24E8">
        <w:tab/>
      </w:r>
      <w:r w:rsidR="00E65BD0" w:rsidRPr="007C24E8">
        <w:t>14</w:t>
      </w:r>
    </w:p>
    <w:p w14:paraId="50A7CD04" w14:textId="77777777" w:rsidR="00F218AE" w:rsidRPr="007C24E8" w:rsidRDefault="00F218AE" w:rsidP="00F218AE">
      <w:pPr>
        <w:tabs>
          <w:tab w:val="right" w:leader="dot" w:pos="7654"/>
          <w:tab w:val="right" w:pos="8929"/>
          <w:tab w:val="right" w:pos="9638"/>
        </w:tabs>
        <w:spacing w:after="120"/>
        <w:ind w:left="1559" w:hanging="425"/>
      </w:pPr>
      <w:r w:rsidRPr="007C24E8">
        <w:t>G.</w:t>
      </w:r>
      <w:r w:rsidRPr="007C24E8">
        <w:tab/>
      </w:r>
      <w:r w:rsidR="00D609C8" w:rsidRPr="007C24E8">
        <w:t xml:space="preserve">« Emballages vides non nettoyés » ou « Emballages au rebut, vides, </w:t>
      </w:r>
      <w:r w:rsidR="00E65BD0" w:rsidRPr="007C24E8">
        <w:br/>
      </w:r>
      <w:r w:rsidR="00D609C8" w:rsidRPr="007C24E8">
        <w:t xml:space="preserve">non nettoyés » (numéro </w:t>
      </w:r>
      <w:r w:rsidR="007C24E8">
        <w:t>ONU </w:t>
      </w:r>
      <w:r w:rsidR="00D609C8" w:rsidRPr="007C24E8">
        <w:t>3509) − Clarification du champ d’application</w:t>
      </w:r>
      <w:r w:rsidRPr="007C24E8">
        <w:tab/>
      </w:r>
      <w:r w:rsidRPr="007C24E8">
        <w:tab/>
      </w:r>
      <w:r w:rsidR="00FC2896" w:rsidRPr="007C24E8">
        <w:t>56</w:t>
      </w:r>
      <w:r w:rsidRPr="007C24E8">
        <w:tab/>
      </w:r>
      <w:r w:rsidR="00E65BD0" w:rsidRPr="007C24E8">
        <w:t>14</w:t>
      </w:r>
    </w:p>
    <w:p w14:paraId="5070E15A" w14:textId="77777777" w:rsidR="00F218AE" w:rsidRPr="007C24E8" w:rsidRDefault="00F218AE" w:rsidP="00F218AE">
      <w:pPr>
        <w:tabs>
          <w:tab w:val="right" w:leader="dot" w:pos="7654"/>
          <w:tab w:val="right" w:pos="8929"/>
          <w:tab w:val="right" w:pos="9638"/>
        </w:tabs>
        <w:spacing w:after="120"/>
        <w:ind w:left="1559" w:hanging="425"/>
      </w:pPr>
      <w:r w:rsidRPr="007C24E8">
        <w:t>H.</w:t>
      </w:r>
      <w:r w:rsidRPr="007C24E8">
        <w:tab/>
      </w:r>
      <w:r w:rsidR="00D609C8" w:rsidRPr="007C24E8">
        <w:t>Indication de la quantité transportée dans le document de transport</w:t>
      </w:r>
      <w:r w:rsidRPr="007C24E8">
        <w:tab/>
      </w:r>
      <w:r w:rsidRPr="007C24E8">
        <w:tab/>
      </w:r>
      <w:r w:rsidR="00FC2896" w:rsidRPr="007C24E8">
        <w:t>57</w:t>
      </w:r>
      <w:r w:rsidRPr="007C24E8">
        <w:tab/>
      </w:r>
      <w:r w:rsidR="00E65BD0" w:rsidRPr="007C24E8">
        <w:t>1</w:t>
      </w:r>
      <w:r w:rsidR="006F010C">
        <w:t>5</w:t>
      </w:r>
    </w:p>
    <w:p w14:paraId="15821DCD" w14:textId="77777777" w:rsidR="00F218AE" w:rsidRPr="007C24E8" w:rsidRDefault="00F218AE" w:rsidP="00F218AE">
      <w:pPr>
        <w:tabs>
          <w:tab w:val="right" w:leader="dot" w:pos="7654"/>
          <w:tab w:val="right" w:pos="8929"/>
          <w:tab w:val="right" w:pos="9638"/>
        </w:tabs>
        <w:spacing w:after="120"/>
        <w:ind w:left="1559" w:hanging="425"/>
      </w:pPr>
      <w:r w:rsidRPr="007C24E8">
        <w:t>I.</w:t>
      </w:r>
      <w:r w:rsidRPr="007C24E8">
        <w:tab/>
      </w:r>
      <w:r w:rsidR="00D609C8" w:rsidRPr="007C24E8">
        <w:t xml:space="preserve">Transport du numéro </w:t>
      </w:r>
      <w:r w:rsidR="007C24E8">
        <w:t>ONU </w:t>
      </w:r>
      <w:r w:rsidR="00D609C8" w:rsidRPr="007C24E8">
        <w:t xml:space="preserve">3509 en vrac dans des conteneurs </w:t>
      </w:r>
      <w:r w:rsidR="00E65BD0" w:rsidRPr="007C24E8">
        <w:br/>
      </w:r>
      <w:r w:rsidR="00D609C8" w:rsidRPr="007C24E8">
        <w:t>ou des wagons ou véhicules bâchés (et non uniquement fermés)</w:t>
      </w:r>
      <w:r w:rsidRPr="007C24E8">
        <w:tab/>
      </w:r>
      <w:r w:rsidRPr="007C24E8">
        <w:tab/>
      </w:r>
      <w:r w:rsidR="00FC2896" w:rsidRPr="007C24E8">
        <w:t>58−59</w:t>
      </w:r>
      <w:r w:rsidRPr="007C24E8">
        <w:tab/>
      </w:r>
      <w:r w:rsidR="00E65BD0" w:rsidRPr="007C24E8">
        <w:t>15</w:t>
      </w:r>
    </w:p>
    <w:p w14:paraId="3BBE0EB9" w14:textId="77777777" w:rsidR="00F218AE" w:rsidRPr="007C24E8" w:rsidRDefault="00F218AE" w:rsidP="00F218AE">
      <w:pPr>
        <w:tabs>
          <w:tab w:val="right" w:leader="dot" w:pos="7654"/>
          <w:tab w:val="right" w:pos="8929"/>
          <w:tab w:val="right" w:pos="9638"/>
        </w:tabs>
        <w:spacing w:after="120"/>
        <w:ind w:left="1559" w:hanging="425"/>
      </w:pPr>
      <w:r w:rsidRPr="007C24E8">
        <w:t>J.</w:t>
      </w:r>
      <w:r w:rsidRPr="007C24E8">
        <w:tab/>
      </w:r>
      <w:r w:rsidR="00D609C8" w:rsidRPr="007C24E8">
        <w:t xml:space="preserve">Rapport du groupe de travail informel des « dispositions relatives </w:t>
      </w:r>
      <w:r w:rsidR="00E65BD0" w:rsidRPr="007C24E8">
        <w:br/>
      </w:r>
      <w:r w:rsidR="00D609C8" w:rsidRPr="007C24E8">
        <w:t>à l’équipement des citernes et des récipients à pression »</w:t>
      </w:r>
      <w:r w:rsidRPr="007C24E8">
        <w:tab/>
      </w:r>
      <w:r w:rsidRPr="007C24E8">
        <w:tab/>
      </w:r>
      <w:r w:rsidR="00FC2896" w:rsidRPr="007C24E8">
        <w:t>60</w:t>
      </w:r>
      <w:r w:rsidRPr="007C24E8">
        <w:tab/>
      </w:r>
      <w:r w:rsidR="00E65BD0" w:rsidRPr="007C24E8">
        <w:t>15</w:t>
      </w:r>
    </w:p>
    <w:p w14:paraId="0547B377"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IX.</w:t>
      </w:r>
      <w:r w:rsidRPr="007C24E8">
        <w:tab/>
      </w:r>
      <w:r w:rsidR="00D609C8" w:rsidRPr="007C24E8">
        <w:t>Accidents et gestion des risques (point 7 de l’ordre du jour)</w:t>
      </w:r>
      <w:r w:rsidRPr="007C24E8">
        <w:tab/>
      </w:r>
      <w:r w:rsidRPr="007C24E8">
        <w:tab/>
      </w:r>
      <w:r w:rsidR="00FC2896" w:rsidRPr="007C24E8">
        <w:t>61</w:t>
      </w:r>
      <w:r w:rsidRPr="007C24E8">
        <w:tab/>
      </w:r>
      <w:r w:rsidR="00E65BD0" w:rsidRPr="007C24E8">
        <w:t>15</w:t>
      </w:r>
    </w:p>
    <w:p w14:paraId="2ABC910E"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X.</w:t>
      </w:r>
      <w:r w:rsidRPr="007C24E8">
        <w:tab/>
      </w:r>
      <w:r w:rsidR="00D609C8" w:rsidRPr="007C24E8">
        <w:t>Travaux futurs (point 8 de l’ordre du jour)</w:t>
      </w:r>
      <w:r w:rsidRPr="007C24E8">
        <w:tab/>
      </w:r>
      <w:r w:rsidRPr="007C24E8">
        <w:tab/>
      </w:r>
      <w:r w:rsidR="00FC2896" w:rsidRPr="007C24E8">
        <w:t>62</w:t>
      </w:r>
      <w:r w:rsidRPr="007C24E8">
        <w:tab/>
      </w:r>
      <w:r w:rsidR="00E65BD0" w:rsidRPr="007C24E8">
        <w:t>1</w:t>
      </w:r>
      <w:r w:rsidR="006F010C">
        <w:t>6</w:t>
      </w:r>
    </w:p>
    <w:p w14:paraId="1F15A21A"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XI.</w:t>
      </w:r>
      <w:r w:rsidRPr="007C24E8">
        <w:tab/>
      </w:r>
      <w:r w:rsidR="00D609C8" w:rsidRPr="007C24E8">
        <w:t>Élection du Bureau pour 2021 (point 9 de l’ordre du jour)</w:t>
      </w:r>
      <w:r w:rsidRPr="007C24E8">
        <w:tab/>
      </w:r>
      <w:r w:rsidRPr="007C24E8">
        <w:tab/>
      </w:r>
      <w:r w:rsidR="00FC2896" w:rsidRPr="007C24E8">
        <w:t>63</w:t>
      </w:r>
      <w:r w:rsidRPr="007C24E8">
        <w:tab/>
      </w:r>
      <w:r w:rsidR="00E65BD0" w:rsidRPr="007C24E8">
        <w:t>1</w:t>
      </w:r>
      <w:r w:rsidR="006F010C">
        <w:t>6</w:t>
      </w:r>
    </w:p>
    <w:p w14:paraId="1BF87506"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XII.</w:t>
      </w:r>
      <w:r w:rsidRPr="007C24E8">
        <w:tab/>
      </w:r>
      <w:r w:rsidR="00D609C8" w:rsidRPr="007C24E8">
        <w:t>Questions diverses (point 10 de l’ordre du jour)</w:t>
      </w:r>
      <w:r w:rsidRPr="007C24E8">
        <w:tab/>
      </w:r>
      <w:r w:rsidRPr="007C24E8">
        <w:tab/>
      </w:r>
      <w:r w:rsidR="00FC2896" w:rsidRPr="007C24E8">
        <w:t>64−67</w:t>
      </w:r>
      <w:r w:rsidRPr="007C24E8">
        <w:tab/>
      </w:r>
      <w:r w:rsidR="00E65BD0" w:rsidRPr="007C24E8">
        <w:t>16</w:t>
      </w:r>
    </w:p>
    <w:p w14:paraId="25AE15C9" w14:textId="77777777" w:rsidR="00F218AE" w:rsidRPr="007C24E8" w:rsidRDefault="00F218AE" w:rsidP="00F218AE">
      <w:pPr>
        <w:tabs>
          <w:tab w:val="right" w:leader="dot" w:pos="7654"/>
          <w:tab w:val="right" w:pos="8929"/>
          <w:tab w:val="right" w:pos="9638"/>
        </w:tabs>
        <w:spacing w:after="120"/>
        <w:ind w:left="1559" w:hanging="425"/>
      </w:pPr>
      <w:r w:rsidRPr="007C24E8">
        <w:t>A.</w:t>
      </w:r>
      <w:r w:rsidRPr="007C24E8">
        <w:tab/>
      </w:r>
      <w:r w:rsidR="00D609C8" w:rsidRPr="007C24E8">
        <w:t>Réévaluation du statut consultatif de l’EASA</w:t>
      </w:r>
      <w:r w:rsidRPr="007C24E8">
        <w:tab/>
      </w:r>
      <w:r w:rsidRPr="007C24E8">
        <w:tab/>
      </w:r>
      <w:r w:rsidR="00FC2896" w:rsidRPr="007C24E8">
        <w:t>64</w:t>
      </w:r>
      <w:r w:rsidRPr="007C24E8">
        <w:tab/>
      </w:r>
      <w:r w:rsidR="00E65BD0" w:rsidRPr="007C24E8">
        <w:t>16</w:t>
      </w:r>
    </w:p>
    <w:p w14:paraId="2286991D" w14:textId="77777777" w:rsidR="00F218AE" w:rsidRPr="007C24E8" w:rsidRDefault="00F218AE" w:rsidP="00F218AE">
      <w:pPr>
        <w:tabs>
          <w:tab w:val="right" w:leader="dot" w:pos="7654"/>
          <w:tab w:val="right" w:pos="8929"/>
          <w:tab w:val="right" w:pos="9638"/>
        </w:tabs>
        <w:spacing w:after="120"/>
        <w:ind w:left="1559" w:hanging="425"/>
      </w:pPr>
      <w:r w:rsidRPr="007C24E8">
        <w:t>B.</w:t>
      </w:r>
      <w:r w:rsidRPr="007C24E8">
        <w:tab/>
      </w:r>
      <w:r w:rsidR="00D609C8" w:rsidRPr="007C24E8">
        <w:t>Mise en œuvre de la stratégie du CTI jusqu’en 2030</w:t>
      </w:r>
      <w:r w:rsidRPr="007C24E8">
        <w:tab/>
      </w:r>
      <w:r w:rsidRPr="007C24E8">
        <w:tab/>
      </w:r>
      <w:r w:rsidR="00FC2896" w:rsidRPr="007C24E8">
        <w:t>65</w:t>
      </w:r>
      <w:r w:rsidRPr="007C24E8">
        <w:tab/>
      </w:r>
      <w:r w:rsidR="00E65BD0" w:rsidRPr="007C24E8">
        <w:t>16</w:t>
      </w:r>
    </w:p>
    <w:p w14:paraId="20AC9FE4" w14:textId="77777777" w:rsidR="00F218AE" w:rsidRPr="007C24E8" w:rsidRDefault="00F218AE" w:rsidP="00F218AE">
      <w:pPr>
        <w:tabs>
          <w:tab w:val="right" w:leader="dot" w:pos="7654"/>
          <w:tab w:val="right" w:pos="8929"/>
          <w:tab w:val="right" w:pos="9638"/>
        </w:tabs>
        <w:spacing w:after="120"/>
        <w:ind w:left="1559" w:hanging="425"/>
      </w:pPr>
      <w:r w:rsidRPr="007C24E8">
        <w:t>C.</w:t>
      </w:r>
      <w:r w:rsidRPr="007C24E8">
        <w:tab/>
      </w:r>
      <w:r w:rsidR="00D609C8" w:rsidRPr="007C24E8">
        <w:t>Documents en suspens</w:t>
      </w:r>
      <w:r w:rsidRPr="007C24E8">
        <w:tab/>
      </w:r>
      <w:r w:rsidRPr="007C24E8">
        <w:tab/>
      </w:r>
      <w:r w:rsidR="00FC2896" w:rsidRPr="007C24E8">
        <w:t>66</w:t>
      </w:r>
      <w:r w:rsidRPr="007C24E8">
        <w:tab/>
      </w:r>
      <w:r w:rsidR="00E65BD0" w:rsidRPr="007C24E8">
        <w:t>16</w:t>
      </w:r>
    </w:p>
    <w:p w14:paraId="197EA3B4" w14:textId="77777777" w:rsidR="00F218AE" w:rsidRPr="007C24E8" w:rsidRDefault="00F218AE" w:rsidP="00F218AE">
      <w:pPr>
        <w:tabs>
          <w:tab w:val="right" w:leader="dot" w:pos="7654"/>
          <w:tab w:val="right" w:pos="8929"/>
          <w:tab w:val="right" w:pos="9638"/>
        </w:tabs>
        <w:spacing w:after="120"/>
        <w:ind w:left="1559" w:hanging="425"/>
      </w:pPr>
      <w:r w:rsidRPr="007C24E8">
        <w:t>D.</w:t>
      </w:r>
      <w:r w:rsidRPr="007C24E8">
        <w:tab/>
      </w:r>
      <w:r w:rsidR="00E65BD0" w:rsidRPr="007C24E8">
        <w:t xml:space="preserve">Hommage à M. K. R. </w:t>
      </w:r>
      <w:proofErr w:type="spellStart"/>
      <w:r w:rsidR="00E65BD0" w:rsidRPr="007C24E8">
        <w:t>Tiemersma</w:t>
      </w:r>
      <w:proofErr w:type="spellEnd"/>
      <w:r w:rsidRPr="007C24E8">
        <w:tab/>
      </w:r>
      <w:r w:rsidRPr="007C24E8">
        <w:tab/>
      </w:r>
      <w:r w:rsidR="00FC2896" w:rsidRPr="007C24E8">
        <w:t>67</w:t>
      </w:r>
      <w:r w:rsidRPr="007C24E8">
        <w:tab/>
      </w:r>
      <w:r w:rsidR="00E65BD0" w:rsidRPr="007C24E8">
        <w:t>16</w:t>
      </w:r>
    </w:p>
    <w:p w14:paraId="2A5AFADF" w14:textId="77777777" w:rsidR="00F218AE" w:rsidRPr="007C24E8" w:rsidRDefault="00F218AE" w:rsidP="00F218AE">
      <w:pPr>
        <w:tabs>
          <w:tab w:val="right" w:pos="850"/>
          <w:tab w:val="right" w:leader="dot" w:pos="7654"/>
          <w:tab w:val="right" w:pos="8929"/>
          <w:tab w:val="right" w:pos="9638"/>
        </w:tabs>
        <w:spacing w:after="120"/>
        <w:ind w:left="1134" w:hanging="1134"/>
      </w:pPr>
      <w:r w:rsidRPr="007C24E8">
        <w:tab/>
        <w:t>XIII.</w:t>
      </w:r>
      <w:r w:rsidRPr="007C24E8">
        <w:tab/>
      </w:r>
      <w:r w:rsidR="00E65BD0" w:rsidRPr="007C24E8">
        <w:t>Adoption du rapport (point 11 de l’ordre du jour)</w:t>
      </w:r>
      <w:r w:rsidRPr="007C24E8">
        <w:tab/>
      </w:r>
      <w:r w:rsidRPr="007C24E8">
        <w:tab/>
      </w:r>
      <w:r w:rsidR="00FC2896" w:rsidRPr="007C24E8">
        <w:t>68</w:t>
      </w:r>
      <w:r w:rsidRPr="007C24E8">
        <w:tab/>
      </w:r>
      <w:r w:rsidR="00E65BD0" w:rsidRPr="007C24E8">
        <w:t>1</w:t>
      </w:r>
      <w:r w:rsidR="006F010C">
        <w:t>7</w:t>
      </w:r>
    </w:p>
    <w:p w14:paraId="7F57059D" w14:textId="77777777" w:rsidR="00F218AE" w:rsidRPr="007C24E8" w:rsidRDefault="00F218AE" w:rsidP="00F218AE">
      <w:pPr>
        <w:tabs>
          <w:tab w:val="right" w:pos="850"/>
        </w:tabs>
        <w:spacing w:after="120"/>
      </w:pPr>
      <w:r w:rsidRPr="007C24E8">
        <w:tab/>
        <w:t>Annexes</w:t>
      </w:r>
    </w:p>
    <w:p w14:paraId="487F589D" w14:textId="77777777" w:rsidR="00F218AE" w:rsidRPr="007C24E8" w:rsidRDefault="00F218AE" w:rsidP="00F218AE">
      <w:pPr>
        <w:tabs>
          <w:tab w:val="right" w:pos="850"/>
          <w:tab w:val="right" w:leader="dot" w:pos="8929"/>
          <w:tab w:val="right" w:pos="9638"/>
        </w:tabs>
        <w:spacing w:after="120"/>
        <w:ind w:left="1134" w:hanging="1134"/>
      </w:pPr>
      <w:r w:rsidRPr="007C24E8">
        <w:tab/>
        <w:t>I.</w:t>
      </w:r>
      <w:r w:rsidRPr="007C24E8">
        <w:tab/>
      </w:r>
      <w:r w:rsidR="00E65BD0" w:rsidRPr="007C24E8">
        <w:t>Rapport du Groupe de travail sur les citernes</w:t>
      </w:r>
      <w:r w:rsidR="00E83EED" w:rsidRPr="007C24E8">
        <w:rPr>
          <w:rStyle w:val="FootnoteReference"/>
          <w:sz w:val="20"/>
          <w:vertAlign w:val="baseline"/>
        </w:rPr>
        <w:footnoteReference w:customMarkFollows="1" w:id="3"/>
        <w:t>**</w:t>
      </w:r>
      <w:r w:rsidRPr="007C24E8">
        <w:tab/>
      </w:r>
      <w:r w:rsidRPr="007C24E8">
        <w:tab/>
      </w:r>
      <w:r w:rsidR="00E65BD0" w:rsidRPr="007C24E8">
        <w:t>1</w:t>
      </w:r>
      <w:r w:rsidR="006F010C">
        <w:t>8</w:t>
      </w:r>
    </w:p>
    <w:p w14:paraId="58774D2F" w14:textId="77777777" w:rsidR="00F218AE" w:rsidRPr="007C24E8" w:rsidRDefault="00F218AE" w:rsidP="00F218AE">
      <w:pPr>
        <w:tabs>
          <w:tab w:val="right" w:pos="850"/>
          <w:tab w:val="right" w:leader="dot" w:pos="8929"/>
          <w:tab w:val="right" w:pos="9638"/>
        </w:tabs>
        <w:spacing w:after="120"/>
        <w:ind w:left="1134" w:hanging="1134"/>
      </w:pPr>
      <w:r w:rsidRPr="007C24E8">
        <w:tab/>
        <w:t>II.</w:t>
      </w:r>
      <w:r w:rsidRPr="007C24E8">
        <w:tab/>
      </w:r>
      <w:r w:rsidR="00E65BD0" w:rsidRPr="007C24E8">
        <w:t xml:space="preserve">Projet d’amendements au RID, à l’ADR et à l’ADN pour </w:t>
      </w:r>
      <w:proofErr w:type="spellStart"/>
      <w:r w:rsidR="00E65BD0" w:rsidRPr="007C24E8">
        <w:t>entrée</w:t>
      </w:r>
      <w:proofErr w:type="spellEnd"/>
      <w:r w:rsidR="00E65BD0" w:rsidRPr="007C24E8">
        <w:t xml:space="preserve"> en vigueur </w:t>
      </w:r>
      <w:r w:rsidR="00E65BD0" w:rsidRPr="007C24E8">
        <w:br/>
        <w:t>le 1</w:t>
      </w:r>
      <w:r w:rsidR="00E65BD0" w:rsidRPr="007C24E8">
        <w:rPr>
          <w:vertAlign w:val="superscript"/>
        </w:rPr>
        <w:t>er</w:t>
      </w:r>
      <w:r w:rsidR="00E65BD0" w:rsidRPr="007C24E8">
        <w:t> janvier 2023</w:t>
      </w:r>
      <w:r w:rsidRPr="007C24E8">
        <w:tab/>
      </w:r>
      <w:r w:rsidRPr="007C24E8">
        <w:tab/>
      </w:r>
      <w:r w:rsidR="00E65BD0" w:rsidRPr="007C24E8">
        <w:t>1</w:t>
      </w:r>
      <w:r w:rsidR="006F010C">
        <w:t>9</w:t>
      </w:r>
    </w:p>
    <w:p w14:paraId="73D8EF38" w14:textId="77777777" w:rsidR="00F218AE" w:rsidRPr="007C24E8" w:rsidRDefault="00F218AE" w:rsidP="00F218AE">
      <w:pPr>
        <w:tabs>
          <w:tab w:val="right" w:pos="850"/>
          <w:tab w:val="right" w:leader="dot" w:pos="8929"/>
          <w:tab w:val="right" w:pos="9638"/>
        </w:tabs>
        <w:spacing w:after="120"/>
        <w:ind w:left="1134" w:hanging="1134"/>
      </w:pPr>
      <w:r w:rsidRPr="007C24E8">
        <w:tab/>
        <w:t>III.</w:t>
      </w:r>
      <w:r w:rsidRPr="007C24E8">
        <w:tab/>
      </w:r>
      <w:r w:rsidR="00E65BD0" w:rsidRPr="007C24E8">
        <w:t xml:space="preserve">Procédure révisée pour la coopération avec le Comité européen de normalisation </w:t>
      </w:r>
      <w:r w:rsidR="00E65BD0" w:rsidRPr="007C24E8">
        <w:br/>
        <w:t>(CEN) et le Comité européen de normalisation électrotechnique (CENELEC)</w:t>
      </w:r>
      <w:r w:rsidRPr="007C24E8">
        <w:tab/>
      </w:r>
      <w:r w:rsidRPr="007C24E8">
        <w:tab/>
      </w:r>
      <w:r w:rsidR="00E65BD0" w:rsidRPr="007C24E8">
        <w:t>2</w:t>
      </w:r>
      <w:r w:rsidR="006F010C">
        <w:t>8</w:t>
      </w:r>
    </w:p>
    <w:p w14:paraId="645E2DCE" w14:textId="77777777" w:rsidR="005E3367" w:rsidRPr="007C24E8" w:rsidRDefault="005E3367" w:rsidP="00C8440E">
      <w:pPr>
        <w:pStyle w:val="HChG"/>
      </w:pPr>
      <w:r w:rsidRPr="007C24E8">
        <w:br w:type="page"/>
      </w:r>
      <w:r w:rsidRPr="007C24E8">
        <w:lastRenderedPageBreak/>
        <w:tab/>
        <w:t>I.</w:t>
      </w:r>
      <w:r w:rsidRPr="007C24E8">
        <w:tab/>
        <w:t>Participation</w:t>
      </w:r>
    </w:p>
    <w:p w14:paraId="0C10186C" w14:textId="77777777" w:rsidR="005E3367" w:rsidRPr="007C24E8" w:rsidRDefault="005E3367" w:rsidP="004C7726">
      <w:pPr>
        <w:pStyle w:val="SingleTxtG"/>
      </w:pPr>
      <w:r w:rsidRPr="007C24E8">
        <w:t>1.</w:t>
      </w:r>
      <w:r w:rsidRPr="007C24E8">
        <w:tab/>
        <w:t>La session de printemps de la Réunion commune de la Commission d’experts du RID et du Groupe de travail des transports de marchandises dangereuses de la Commission économique pour l’Europe, initialement prévue à Berne du 16 au 20</w:t>
      </w:r>
      <w:r w:rsidR="004C7726" w:rsidRPr="007C24E8">
        <w:t> </w:t>
      </w:r>
      <w:r w:rsidRPr="007C24E8">
        <w:t>mars 2020, a dû être reportée en raison des risques liés à la propagation du virus de la Covid-19. Pour pouvoir rattraper le temps perdu en mars, il a été décidé d’ajouter deux jours de réunion supplémentaires avant la session d’automne de la Réunion commune, dont il a été décidé pour des raisons d’organisation, qu’elle se tiendrait à Berne et à Genève. La session de la Réunion commune a donc commencé à Berne les 10 et 11</w:t>
      </w:r>
      <w:r w:rsidR="004C7726" w:rsidRPr="007C24E8">
        <w:t> </w:t>
      </w:r>
      <w:r w:rsidRPr="007C24E8">
        <w:t>septembre et s’est poursuivie à Genève du 14 au 18</w:t>
      </w:r>
      <w:r w:rsidR="004C7726" w:rsidRPr="007C24E8">
        <w:t> </w:t>
      </w:r>
      <w:r w:rsidRPr="007C24E8">
        <w:t>septembre 2002, sous la présidence de M.</w:t>
      </w:r>
      <w:r w:rsidR="004C7726" w:rsidRPr="007C24E8">
        <w:t> </w:t>
      </w:r>
      <w:r w:rsidRPr="007C24E8">
        <w:t xml:space="preserve">C. </w:t>
      </w:r>
      <w:proofErr w:type="spellStart"/>
      <w:r w:rsidRPr="007C24E8">
        <w:t>Pfauvadel</w:t>
      </w:r>
      <w:proofErr w:type="spellEnd"/>
      <w:r w:rsidRPr="007C24E8">
        <w:t xml:space="preserve"> (France) et la vice-présidence de </w:t>
      </w:r>
      <w:r w:rsidR="004C7726" w:rsidRPr="007C24E8">
        <w:t>M</w:t>
      </w:r>
      <w:r w:rsidR="004C7726" w:rsidRPr="007C24E8">
        <w:rPr>
          <w:vertAlign w:val="superscript"/>
        </w:rPr>
        <w:t>me</w:t>
      </w:r>
      <w:r w:rsidR="004C7726" w:rsidRPr="007C24E8">
        <w:t> </w:t>
      </w:r>
      <w:r w:rsidRPr="007C24E8">
        <w:t>Garcia Wolfrum (Espagne),</w:t>
      </w:r>
    </w:p>
    <w:p w14:paraId="60859FE1" w14:textId="77777777" w:rsidR="005E3367" w:rsidRPr="007C24E8" w:rsidRDefault="005E3367" w:rsidP="005E3367">
      <w:pPr>
        <w:pStyle w:val="SingleTxtG"/>
      </w:pPr>
      <w:r w:rsidRPr="007C24E8">
        <w:t>2.</w:t>
      </w:r>
      <w:r w:rsidRPr="007C24E8">
        <w:tab/>
        <w:t>Conformément à l’</w:t>
      </w:r>
      <w:r w:rsidR="009B1F20" w:rsidRPr="007C24E8">
        <w:t xml:space="preserve">alinéa </w:t>
      </w:r>
      <w:r w:rsidRPr="007C24E8">
        <w:t>a) de l’article</w:t>
      </w:r>
      <w:r w:rsidR="004C7726" w:rsidRPr="007C24E8">
        <w:t xml:space="preserve"> </w:t>
      </w:r>
      <w:r w:rsidRPr="007C24E8">
        <w:t xml:space="preserve">1 du </w:t>
      </w:r>
      <w:r w:rsidR="004C7726" w:rsidRPr="007C24E8">
        <w:t xml:space="preserve">Règlement </w:t>
      </w:r>
      <w:r w:rsidRPr="007C24E8">
        <w:t>intérieur de la Réunion commune (ECE/TRANS/WP.15/AC.1/112/Add.2), les représentants des pays suivants ont participé de plein droit à la session</w:t>
      </w:r>
      <w:r w:rsidR="004E3C2D" w:rsidRPr="007C24E8">
        <w:t> :</w:t>
      </w:r>
      <w:r w:rsidRPr="007C24E8">
        <w:t xml:space="preserve"> Allemagne, Autriche, Belgique, Croatie, Danemark, Espagne, Fédération de Russie, Finlande, France, </w:t>
      </w:r>
      <w:r w:rsidR="00E83EED" w:rsidRPr="007C24E8">
        <w:t xml:space="preserve">Grèce, Irlande, </w:t>
      </w:r>
      <w:r w:rsidRPr="007C24E8">
        <w:t xml:space="preserve">Italie, Lettonie, Luxembourg, </w:t>
      </w:r>
      <w:r w:rsidR="00E83EED" w:rsidRPr="007C24E8">
        <w:t xml:space="preserve">Norvège, </w:t>
      </w:r>
      <w:r w:rsidRPr="007C24E8">
        <w:t xml:space="preserve">Pays-Bas, Pologne, </w:t>
      </w:r>
      <w:r w:rsidR="00E83EED" w:rsidRPr="007C24E8">
        <w:t xml:space="preserve">Portugal, </w:t>
      </w:r>
      <w:r w:rsidRPr="007C24E8">
        <w:t xml:space="preserve">Roumanie, Royaume-Uni, </w:t>
      </w:r>
      <w:r w:rsidR="00E83EED" w:rsidRPr="007C24E8">
        <w:t xml:space="preserve">San Marin, </w:t>
      </w:r>
      <w:r w:rsidRPr="007C24E8">
        <w:t>Slovaquie, Suède, Suisse, Tchéquie et Turquie.</w:t>
      </w:r>
    </w:p>
    <w:p w14:paraId="015360DF" w14:textId="77777777" w:rsidR="005E3367" w:rsidRPr="007C24E8" w:rsidRDefault="005E3367" w:rsidP="005E3367">
      <w:pPr>
        <w:pStyle w:val="SingleTxtG"/>
      </w:pPr>
      <w:r w:rsidRPr="007C24E8">
        <w:t>3.</w:t>
      </w:r>
      <w:r w:rsidRPr="007C24E8">
        <w:tab/>
        <w:t xml:space="preserve">Conformément aux </w:t>
      </w:r>
      <w:r w:rsidR="009B1F20" w:rsidRPr="007C24E8">
        <w:t xml:space="preserve">alinéas </w:t>
      </w:r>
      <w:r w:rsidRPr="007C24E8">
        <w:t>c) et d) de l’article</w:t>
      </w:r>
      <w:r w:rsidR="00E83EED" w:rsidRPr="007C24E8">
        <w:t xml:space="preserve"> </w:t>
      </w:r>
      <w:r w:rsidRPr="007C24E8">
        <w:t>1 du règlement intérieur, étaient représentées à titre consultatif</w:t>
      </w:r>
      <w:r w:rsidR="004E3C2D" w:rsidRPr="007C24E8">
        <w:t> :</w:t>
      </w:r>
    </w:p>
    <w:p w14:paraId="76B7EE3A" w14:textId="77777777" w:rsidR="005E3367" w:rsidRPr="007C24E8" w:rsidRDefault="005E3367" w:rsidP="004C7726">
      <w:pPr>
        <w:pStyle w:val="SingleTxtG"/>
        <w:ind w:firstLine="567"/>
      </w:pPr>
      <w:r w:rsidRPr="007C24E8">
        <w:t>a)</w:t>
      </w:r>
      <w:r w:rsidRPr="007C24E8">
        <w:tab/>
        <w:t>L’Union européenne (Commission européenne et Agence de l’Union européenne pour les chemins de fer (ERA))</w:t>
      </w:r>
      <w:r w:rsidR="00F218AE" w:rsidRPr="007C24E8">
        <w:t> ;</w:t>
      </w:r>
    </w:p>
    <w:p w14:paraId="093B0F27" w14:textId="77777777" w:rsidR="005E3367" w:rsidRPr="007C24E8" w:rsidRDefault="005E3367" w:rsidP="004C7726">
      <w:pPr>
        <w:pStyle w:val="SingleTxtG"/>
        <w:ind w:firstLine="567"/>
      </w:pPr>
      <w:r w:rsidRPr="007C24E8">
        <w:t>b)</w:t>
      </w:r>
      <w:r w:rsidRPr="007C24E8">
        <w:tab/>
        <w:t>Les organisations non gouvernementales internationales suivantes</w:t>
      </w:r>
      <w:r w:rsidR="004E3C2D" w:rsidRPr="007C24E8">
        <w:t> :</w:t>
      </w:r>
      <w:r w:rsidRPr="007C24E8">
        <w:t xml:space="preserve"> Association européenne des conseillers à la sécurité (EASA), Association européenne des gaz industriels (EIGA), Comité de liaison de la construction de carrosseries et de remorques (CLCCR), Comité européen de normalisation (CEN), Conseil européen de l’industrie chimique (CEFIC), Conférence européenne des négociants en combustibles et carburants (CENCC), Council on Safe Transportation of </w:t>
      </w:r>
      <w:proofErr w:type="spellStart"/>
      <w:r w:rsidRPr="007C24E8">
        <w:t>Hazardous</w:t>
      </w:r>
      <w:proofErr w:type="spellEnd"/>
      <w:r w:rsidRPr="007C24E8">
        <w:t xml:space="preserve"> Articles (COSTHA), </w:t>
      </w:r>
      <w:proofErr w:type="spellStart"/>
      <w:r w:rsidRPr="007C24E8">
        <w:t>European</w:t>
      </w:r>
      <w:proofErr w:type="spellEnd"/>
      <w:r w:rsidRPr="007C24E8">
        <w:t xml:space="preserve"> </w:t>
      </w:r>
      <w:proofErr w:type="spellStart"/>
      <w:r w:rsidRPr="007C24E8">
        <w:t>Cylinder</w:t>
      </w:r>
      <w:proofErr w:type="spellEnd"/>
      <w:r w:rsidRPr="007C24E8">
        <w:t xml:space="preserve"> </w:t>
      </w:r>
      <w:proofErr w:type="spellStart"/>
      <w:r w:rsidRPr="007C24E8">
        <w:t>Makers</w:t>
      </w:r>
      <w:proofErr w:type="spellEnd"/>
      <w:r w:rsidRPr="007C24E8">
        <w:t xml:space="preserve"> Association (ECMA), </w:t>
      </w:r>
      <w:proofErr w:type="spellStart"/>
      <w:r w:rsidRPr="007C24E8">
        <w:t>European</w:t>
      </w:r>
      <w:proofErr w:type="spellEnd"/>
      <w:r w:rsidRPr="007C24E8">
        <w:t xml:space="preserve"> Plastics </w:t>
      </w:r>
      <w:proofErr w:type="spellStart"/>
      <w:r w:rsidRPr="007C24E8">
        <w:t>Converters</w:t>
      </w:r>
      <w:proofErr w:type="spellEnd"/>
      <w:r w:rsidRPr="007C24E8">
        <w:t xml:space="preserve"> (</w:t>
      </w:r>
      <w:proofErr w:type="spellStart"/>
      <w:r w:rsidRPr="007C24E8">
        <w:t>EuPC</w:t>
      </w:r>
      <w:proofErr w:type="spellEnd"/>
      <w:r w:rsidRPr="007C24E8">
        <w:t xml:space="preserve">), </w:t>
      </w:r>
      <w:proofErr w:type="spellStart"/>
      <w:r w:rsidRPr="007C24E8">
        <w:t>European</w:t>
      </w:r>
      <w:proofErr w:type="spellEnd"/>
      <w:r w:rsidRPr="007C24E8">
        <w:t xml:space="preserve"> </w:t>
      </w:r>
      <w:proofErr w:type="spellStart"/>
      <w:r w:rsidRPr="007C24E8">
        <w:t>Recycling</w:t>
      </w:r>
      <w:proofErr w:type="spellEnd"/>
      <w:r w:rsidRPr="007C24E8">
        <w:t xml:space="preserve"> Industries’ </w:t>
      </w:r>
      <w:proofErr w:type="spellStart"/>
      <w:r w:rsidRPr="007C24E8">
        <w:t>Confederation</w:t>
      </w:r>
      <w:proofErr w:type="spellEnd"/>
      <w:r w:rsidRPr="007C24E8">
        <w:t xml:space="preserve"> (</w:t>
      </w:r>
      <w:proofErr w:type="spellStart"/>
      <w:r w:rsidRPr="007C24E8">
        <w:t>EuRIC</w:t>
      </w:r>
      <w:proofErr w:type="spellEnd"/>
      <w:r w:rsidRPr="007C24E8">
        <w:t xml:space="preserve">), Fédération européenne des activités de la dépollution et de l’environnement (FEAD), Fuels Europe International, International </w:t>
      </w:r>
      <w:proofErr w:type="spellStart"/>
      <w:r w:rsidRPr="007C24E8">
        <w:t>Confederation</w:t>
      </w:r>
      <w:proofErr w:type="spellEnd"/>
      <w:r w:rsidRPr="007C24E8">
        <w:t xml:space="preserve"> of Containers </w:t>
      </w:r>
      <w:proofErr w:type="spellStart"/>
      <w:r w:rsidRPr="007C24E8">
        <w:t>Reconditioners</w:t>
      </w:r>
      <w:proofErr w:type="spellEnd"/>
      <w:r w:rsidRPr="007C24E8">
        <w:t xml:space="preserve"> (ICCR), </w:t>
      </w:r>
      <w:proofErr w:type="spellStart"/>
      <w:r w:rsidRPr="007C24E8">
        <w:t>Liquid</w:t>
      </w:r>
      <w:proofErr w:type="spellEnd"/>
      <w:r w:rsidRPr="007C24E8">
        <w:t xml:space="preserve"> Gas Europe (</w:t>
      </w:r>
      <w:proofErr w:type="spellStart"/>
      <w:r w:rsidRPr="007C24E8">
        <w:t>European</w:t>
      </w:r>
      <w:proofErr w:type="spellEnd"/>
      <w:r w:rsidRPr="007C24E8">
        <w:t xml:space="preserve"> LPG Association)., Organisation internationale des conteneurs-citernes (ITCO), Union internationale des chemins de fer (UIC), Union internationale des propriétaires de wagons particuliers (UIP) et Union internationale des transports routiers (IRU).</w:t>
      </w:r>
    </w:p>
    <w:p w14:paraId="39C0EF5C" w14:textId="77777777" w:rsidR="005E3367" w:rsidRPr="007C24E8" w:rsidRDefault="005E3367" w:rsidP="004C7726">
      <w:pPr>
        <w:pStyle w:val="HChG"/>
      </w:pPr>
      <w:r w:rsidRPr="007C24E8">
        <w:tab/>
        <w:t>II.</w:t>
      </w:r>
      <w:r w:rsidRPr="007C24E8">
        <w:tab/>
        <w:t>Ouverture de la session</w:t>
      </w:r>
    </w:p>
    <w:p w14:paraId="39AB6BFF" w14:textId="77777777" w:rsidR="005E3367" w:rsidRPr="007C24E8" w:rsidRDefault="005E3367" w:rsidP="004C7726">
      <w:pPr>
        <w:pStyle w:val="SingleTxtG"/>
      </w:pPr>
      <w:r w:rsidRPr="007C24E8">
        <w:t>4.</w:t>
      </w:r>
      <w:r w:rsidRPr="007C24E8">
        <w:tab/>
        <w:t xml:space="preserve">M. Wolfgang </w:t>
      </w:r>
      <w:proofErr w:type="spellStart"/>
      <w:r w:rsidRPr="007C24E8">
        <w:t>Küpper</w:t>
      </w:r>
      <w:proofErr w:type="spellEnd"/>
      <w:r w:rsidRPr="007C24E8">
        <w:t>, Secrétaire général de l’Organisation intergouvernementale pour les transports internationaux ferroviaires (OTIF), a ouvert la session de Berne et a souhaité la bienvenue à tous les représentants participant à la première réunion en ligne dans le cadre de la Réunion commune. Il a souligné la qualité de la collaboration et l’importance du travail accompli à cet égard par les secrétariats de l’OTIF et de la CEE, puis a souhaité à tous les participants des débats fructueux débouchant sur des décisions au cours de la session.</w:t>
      </w:r>
    </w:p>
    <w:p w14:paraId="005AEBBC" w14:textId="77777777" w:rsidR="005E3367" w:rsidRPr="007C24E8" w:rsidRDefault="005E3367" w:rsidP="004C7726">
      <w:pPr>
        <w:pStyle w:val="HChG"/>
      </w:pPr>
      <w:r w:rsidRPr="007C24E8">
        <w:lastRenderedPageBreak/>
        <w:tab/>
        <w:t>III.</w:t>
      </w:r>
      <w:r w:rsidRPr="007C24E8">
        <w:tab/>
        <w:t>Adoption de l’ordre du jour (point 1 de l’ordre du jour)</w:t>
      </w:r>
    </w:p>
    <w:p w14:paraId="3B123376" w14:textId="77777777" w:rsidR="005E3367" w:rsidRPr="007C24E8" w:rsidRDefault="005E3367" w:rsidP="009B1F20">
      <w:pPr>
        <w:pStyle w:val="SingleTxtG"/>
        <w:keepNext/>
        <w:ind w:left="3402" w:hanging="2268"/>
      </w:pPr>
      <w:r w:rsidRPr="007C24E8">
        <w:rPr>
          <w:i/>
        </w:rPr>
        <w:t>Documents</w:t>
      </w:r>
      <w:r w:rsidR="004E3C2D" w:rsidRPr="007C24E8">
        <w:rPr>
          <w:iCs/>
        </w:rPr>
        <w:t> :</w:t>
      </w:r>
      <w:r w:rsidRPr="007C24E8">
        <w:tab/>
        <w:t>ECE/TRANS/WP.15/AC.1/157/Rev.1</w:t>
      </w:r>
      <w:r w:rsidRPr="007C24E8">
        <w:br/>
        <w:t>ECE/TRANS/WP.15/AC.1/157/Add.1/Rev.1</w:t>
      </w:r>
      <w:r w:rsidRPr="007C24E8">
        <w:br/>
        <w:t>RID-20011-RC</w:t>
      </w:r>
      <w:r w:rsidR="004C7726" w:rsidRPr="007C24E8">
        <w:t>.</w:t>
      </w:r>
    </w:p>
    <w:p w14:paraId="444CF722" w14:textId="77777777" w:rsidR="005E3367" w:rsidRPr="007C24E8" w:rsidRDefault="005E3367" w:rsidP="009B1F20">
      <w:pPr>
        <w:pStyle w:val="SingleTxtG"/>
        <w:keepNext/>
        <w:ind w:left="3402" w:hanging="2268"/>
        <w:jc w:val="left"/>
        <w:rPr>
          <w:iCs/>
        </w:rPr>
      </w:pPr>
      <w:r w:rsidRPr="007C24E8">
        <w:rPr>
          <w:i/>
        </w:rPr>
        <w:t>Documents informels</w:t>
      </w:r>
      <w:r w:rsidR="004E3C2D" w:rsidRPr="007C24E8">
        <w:t> :</w:t>
      </w:r>
      <w:r w:rsidRPr="007C24E8">
        <w:tab/>
      </w:r>
      <w:r w:rsidRPr="007C24E8">
        <w:rPr>
          <w:iCs/>
        </w:rPr>
        <w:t xml:space="preserve">INF.1, </w:t>
      </w:r>
      <w:r w:rsidRPr="007C24E8">
        <w:t>INF</w:t>
      </w:r>
      <w:r w:rsidRPr="007C24E8">
        <w:rPr>
          <w:iCs/>
        </w:rPr>
        <w:t>.2 et INF.48 (Secrétariat)</w:t>
      </w:r>
      <w:r w:rsidR="004C7726" w:rsidRPr="007C24E8">
        <w:rPr>
          <w:iCs/>
        </w:rPr>
        <w:t>.</w:t>
      </w:r>
    </w:p>
    <w:p w14:paraId="57B19D3B" w14:textId="77777777" w:rsidR="005E3367" w:rsidRPr="007C24E8" w:rsidRDefault="005E3367" w:rsidP="004C7726">
      <w:pPr>
        <w:pStyle w:val="SingleTxtG"/>
      </w:pPr>
      <w:r w:rsidRPr="007C24E8">
        <w:t>5.</w:t>
      </w:r>
      <w:r w:rsidRPr="007C24E8">
        <w:tab/>
        <w:t xml:space="preserve">La Réunion commune a adopté l’ordre du jour proposé par le secrétariat dans les documents ECE/TRANS/WP.15/AC.1/157/Rev.1 et Add.1/Rev.1 (RID-20011-RC) tels qu’actualisés par le document </w:t>
      </w:r>
      <w:r w:rsidR="009B1F20" w:rsidRPr="007C24E8">
        <w:t xml:space="preserve">informel </w:t>
      </w:r>
      <w:r w:rsidRPr="007C24E8">
        <w:t>INF.2, après l’avoir modifié afin de tenir compte des documents informels INF.1 à INF.64.</w:t>
      </w:r>
    </w:p>
    <w:p w14:paraId="53E9BE05" w14:textId="77777777" w:rsidR="005E3367" w:rsidRPr="007C24E8" w:rsidRDefault="005E3367" w:rsidP="004C7726">
      <w:pPr>
        <w:pStyle w:val="HChG"/>
      </w:pPr>
      <w:r w:rsidRPr="007C24E8">
        <w:tab/>
        <w:t>IV.</w:t>
      </w:r>
      <w:r w:rsidRPr="007C24E8">
        <w:tab/>
        <w:t>Citernes (point 2 de l’ordre du jour)</w:t>
      </w:r>
    </w:p>
    <w:p w14:paraId="492B9AA3" w14:textId="77777777" w:rsidR="005E3367" w:rsidRPr="007C24E8" w:rsidRDefault="005E3367" w:rsidP="004C7726">
      <w:pPr>
        <w:pStyle w:val="SingleTxtG"/>
        <w:ind w:left="3402" w:hanging="2268"/>
        <w:jc w:val="left"/>
      </w:pPr>
      <w:r w:rsidRPr="007C24E8">
        <w:rPr>
          <w:i/>
        </w:rPr>
        <w:t>Documents</w:t>
      </w:r>
      <w:r w:rsidR="004E3C2D" w:rsidRPr="007C24E8">
        <w:rPr>
          <w:iCs/>
        </w:rPr>
        <w:t> :</w:t>
      </w:r>
      <w:r w:rsidRPr="007C24E8">
        <w:tab/>
        <w:t>ECE/TRANS/WP.15/AC.1/2020/1 (EIGA)</w:t>
      </w:r>
      <w:r w:rsidR="004C7726" w:rsidRPr="007C24E8">
        <w:br/>
      </w:r>
      <w:r w:rsidRPr="007C24E8">
        <w:t>ECE/TRANS/WP.15/AC.1/2020/6 (Secrétariat de l’OTIF)</w:t>
      </w:r>
      <w:r w:rsidR="004C7726" w:rsidRPr="007C24E8">
        <w:br/>
      </w:r>
      <w:r w:rsidRPr="007C24E8">
        <w:t>ECE/TRANS/WP.15/AC.1/2020/7 (France)</w:t>
      </w:r>
      <w:r w:rsidR="004C7726" w:rsidRPr="007C24E8">
        <w:br/>
      </w:r>
      <w:r w:rsidRPr="007C24E8">
        <w:t>ECE/TRANS/WP.15/AC.1/2020/12 (UIP/IRU)</w:t>
      </w:r>
      <w:r w:rsidR="004C7726" w:rsidRPr="007C24E8">
        <w:br/>
      </w:r>
      <w:r w:rsidRPr="007C24E8">
        <w:t>ECE/TRANS/WP.15/AC.1/2020/15 (France)</w:t>
      </w:r>
      <w:r w:rsidR="004C7726" w:rsidRPr="007C24E8">
        <w:br/>
      </w:r>
      <w:r w:rsidRPr="007C24E8">
        <w:t>ECE/TRANS/WP.15/AC.1/2020/16 (France)</w:t>
      </w:r>
      <w:r w:rsidR="004C7726" w:rsidRPr="007C24E8">
        <w:br/>
      </w:r>
      <w:r w:rsidRPr="007C24E8">
        <w:t>ECE/TRANS/WP.15/AC.1/2020/17 (France)</w:t>
      </w:r>
      <w:r w:rsidR="004C7726" w:rsidRPr="007C24E8">
        <w:br/>
      </w:r>
      <w:r w:rsidRPr="007C24E8">
        <w:t>ECE/TRANS/WP.15/AC.1/2020/18 (France)</w:t>
      </w:r>
      <w:r w:rsidR="004C7726" w:rsidRPr="007C24E8">
        <w:br/>
      </w:r>
      <w:r w:rsidRPr="007C24E8">
        <w:t>ECE/TRANS/WP.15/AC.1/2020/19 (Royaume-Uni)</w:t>
      </w:r>
      <w:r w:rsidR="004C7726" w:rsidRPr="007C24E8">
        <w:br/>
      </w:r>
      <w:r w:rsidRPr="007C24E8">
        <w:t>ECE/TRANS/WP.15/AC.1/2020/20 (Royaume-Uni)</w:t>
      </w:r>
      <w:r w:rsidR="004C7726" w:rsidRPr="007C24E8">
        <w:br/>
      </w:r>
      <w:r w:rsidRPr="007C24E8">
        <w:t>ECE/TRANS/WP.15/AC.1/2020/22 (France)</w:t>
      </w:r>
      <w:r w:rsidR="004C7726" w:rsidRPr="007C24E8">
        <w:br/>
      </w:r>
      <w:r w:rsidRPr="007C24E8">
        <w:t>ECE/TRANS/WP.15/AC.1/2020/26 (Pologne)</w:t>
      </w:r>
      <w:r w:rsidR="004C7726" w:rsidRPr="007C24E8">
        <w:br/>
      </w:r>
      <w:r w:rsidRPr="007C24E8">
        <w:t>ECE/TRANS/WP.15/AC.1/2020/31 (</w:t>
      </w:r>
      <w:bookmarkStart w:id="1" w:name="_Hlk55805142"/>
      <w:r w:rsidRPr="007C24E8">
        <w:t>Fédération de Russie</w:t>
      </w:r>
      <w:bookmarkEnd w:id="1"/>
      <w:r w:rsidRPr="007C24E8">
        <w:t>)</w:t>
      </w:r>
      <w:r w:rsidR="004C7726" w:rsidRPr="007C24E8">
        <w:br/>
      </w:r>
      <w:r w:rsidRPr="007C24E8">
        <w:t>ECE/TRANS/WP.15/AC.1/2020/32 (Fédération de Russie)</w:t>
      </w:r>
      <w:r w:rsidR="004C7726" w:rsidRPr="007C24E8">
        <w:br/>
      </w:r>
      <w:r w:rsidRPr="007C24E8">
        <w:t>ECE/TRANS/WP.15/AC.1/2020/33 (Fédération de Russie)</w:t>
      </w:r>
      <w:r w:rsidR="004C7726" w:rsidRPr="007C24E8">
        <w:br/>
      </w:r>
      <w:r w:rsidRPr="007C24E8">
        <w:t>ECE/TRANS/WP.15/AC.1/2020/34 (Fédération de Russie)</w:t>
      </w:r>
      <w:r w:rsidR="004C7726" w:rsidRPr="007C24E8">
        <w:br/>
      </w:r>
      <w:r w:rsidRPr="007C24E8">
        <w:t>ECE/TRANS/WP.15/AC.1/2020/35 (Fédération de Russie)</w:t>
      </w:r>
      <w:r w:rsidR="004C7726" w:rsidRPr="007C24E8">
        <w:br/>
      </w:r>
      <w:r w:rsidRPr="007C24E8">
        <w:t>ECE/TRANS/WP.15/AC.1/2020/45 (UIP)</w:t>
      </w:r>
      <w:r w:rsidR="004C7726" w:rsidRPr="007C24E8">
        <w:br/>
      </w:r>
      <w:r w:rsidRPr="007C24E8">
        <w:t>ECE/TRANS/WP.15/AC.1/2020/47 (</w:t>
      </w:r>
      <w:r w:rsidR="004C7726" w:rsidRPr="007C24E8">
        <w:t>Irlande)</w:t>
      </w:r>
      <w:r w:rsidR="004C7726" w:rsidRPr="007C24E8">
        <w:br/>
      </w:r>
      <w:r w:rsidRPr="007C24E8">
        <w:t>ECE/TRANS/WP.15/AC.1/2020/48 (Royaume-Uni)</w:t>
      </w:r>
      <w:r w:rsidR="004C7726" w:rsidRPr="007C24E8">
        <w:br/>
      </w:r>
      <w:r w:rsidRPr="007C24E8">
        <w:t>ECE/TRANS/WP.15/AC.1/2020/49 (Royaume-Uni)</w:t>
      </w:r>
      <w:r w:rsidR="009B1F20" w:rsidRPr="007C24E8">
        <w:t>.</w:t>
      </w:r>
    </w:p>
    <w:p w14:paraId="28D82A5F" w14:textId="77777777" w:rsidR="005E3367" w:rsidRPr="007C24E8" w:rsidRDefault="005E3367" w:rsidP="004C7726">
      <w:pPr>
        <w:pStyle w:val="SingleTxtG"/>
        <w:ind w:left="3402" w:hanging="2268"/>
        <w:jc w:val="left"/>
      </w:pPr>
      <w:r w:rsidRPr="007C24E8">
        <w:rPr>
          <w:i/>
          <w:iCs/>
        </w:rPr>
        <w:t>Documents informels</w:t>
      </w:r>
      <w:r w:rsidR="004E3C2D" w:rsidRPr="007C24E8">
        <w:rPr>
          <w:iCs/>
        </w:rPr>
        <w:t> :</w:t>
      </w:r>
      <w:r w:rsidRPr="007C24E8">
        <w:tab/>
        <w:t>INF.6/Rev.1(Royaume-Uni)</w:t>
      </w:r>
      <w:r w:rsidR="004C7726" w:rsidRPr="007C24E8">
        <w:br/>
      </w:r>
      <w:r w:rsidRPr="007C24E8">
        <w:t>INF.9 (OTIF Secrétariat)</w:t>
      </w:r>
      <w:r w:rsidR="004C7726" w:rsidRPr="007C24E8">
        <w:br/>
      </w:r>
      <w:r w:rsidRPr="007C24E8">
        <w:t>INF.13 (Pays-Bas)</w:t>
      </w:r>
      <w:r w:rsidR="004C7726" w:rsidRPr="007C24E8">
        <w:br/>
      </w:r>
      <w:r w:rsidRPr="007C24E8">
        <w:t>INF.15 (Belgique)</w:t>
      </w:r>
      <w:r w:rsidR="004C7726" w:rsidRPr="007C24E8">
        <w:br/>
      </w:r>
      <w:r w:rsidRPr="007C24E8">
        <w:t>INF.17 (EIGA)</w:t>
      </w:r>
      <w:r w:rsidR="004C7726" w:rsidRPr="007C24E8">
        <w:br/>
      </w:r>
      <w:r w:rsidRPr="007C24E8">
        <w:t>INF.33 (UIP)</w:t>
      </w:r>
      <w:r w:rsidR="004C7726" w:rsidRPr="007C24E8">
        <w:br/>
      </w:r>
      <w:r w:rsidRPr="007C24E8">
        <w:t>INF.43 (Belgique)</w:t>
      </w:r>
      <w:r w:rsidR="004C7726" w:rsidRPr="007C24E8">
        <w:br/>
      </w:r>
      <w:r w:rsidRPr="007C24E8">
        <w:t>INF.44 (Belgique)</w:t>
      </w:r>
      <w:r w:rsidR="004C7726" w:rsidRPr="007C24E8">
        <w:br/>
      </w:r>
      <w:r w:rsidRPr="007C24E8">
        <w:t>INF.45 (ITCO)</w:t>
      </w:r>
      <w:r w:rsidR="004C7726" w:rsidRPr="007C24E8">
        <w:br/>
      </w:r>
      <w:r w:rsidRPr="007C24E8">
        <w:t>INF.46 (Allemagne)</w:t>
      </w:r>
      <w:r w:rsidR="004C7726" w:rsidRPr="007C24E8">
        <w:br/>
      </w:r>
      <w:r w:rsidRPr="007C24E8">
        <w:t>INF.54 (Royaume-Uni)</w:t>
      </w:r>
      <w:r w:rsidR="004C7726" w:rsidRPr="007C24E8">
        <w:br/>
      </w:r>
      <w:r w:rsidRPr="007C24E8">
        <w:t>INF.56 (Pologne)</w:t>
      </w:r>
      <w:r w:rsidR="004C7726" w:rsidRPr="007C24E8">
        <w:br/>
      </w:r>
      <w:r w:rsidRPr="007C24E8">
        <w:t>INF.57 (Royaume-Uni)</w:t>
      </w:r>
      <w:r w:rsidR="009B1F20" w:rsidRPr="007C24E8">
        <w:t>.</w:t>
      </w:r>
    </w:p>
    <w:p w14:paraId="07DE391C" w14:textId="77777777" w:rsidR="005E3367" w:rsidRPr="007C24E8" w:rsidRDefault="005E3367" w:rsidP="005E3367">
      <w:pPr>
        <w:pStyle w:val="SingleTxtG"/>
      </w:pPr>
      <w:r w:rsidRPr="007C24E8">
        <w:t>6.</w:t>
      </w:r>
      <w:r w:rsidRPr="007C24E8">
        <w:tab/>
        <w:t>Le représentant de la France a retiré les documents ECE/TRANS/WP.15/</w:t>
      </w:r>
      <w:r w:rsidR="004C7726" w:rsidRPr="007C24E8">
        <w:t xml:space="preserve"> </w:t>
      </w:r>
      <w:r w:rsidRPr="007C24E8">
        <w:t>AC.1/2020/15 et ECE/TRANS/WP.15/AC.1/2020/22.</w:t>
      </w:r>
    </w:p>
    <w:p w14:paraId="73419C4B" w14:textId="77777777" w:rsidR="005E3367" w:rsidRPr="007C24E8" w:rsidRDefault="005E3367" w:rsidP="004C7726">
      <w:pPr>
        <w:pStyle w:val="SingleTxtG"/>
      </w:pPr>
      <w:r w:rsidRPr="007C24E8">
        <w:t>7.</w:t>
      </w:r>
      <w:r w:rsidRPr="007C24E8">
        <w:tab/>
        <w:t xml:space="preserve">La Réunion commune a procédé à un échange de vues sur l’état d’avancement des travaux du groupe de travail </w:t>
      </w:r>
      <w:r w:rsidR="009B1F20" w:rsidRPr="007C24E8">
        <w:t xml:space="preserve">informel </w:t>
      </w:r>
      <w:r w:rsidRPr="007C24E8">
        <w:t>du contrôle et de l’agrément des citernes (documents ECE/TRANS/WP.15/AC.1/2020/19, ECE/TRANS/WP.15/AC.1/2020/20, ECE/TRANS/</w:t>
      </w:r>
      <w:r w:rsidR="004C7726" w:rsidRPr="007C24E8">
        <w:t xml:space="preserve"> </w:t>
      </w:r>
      <w:r w:rsidRPr="007C24E8">
        <w:t>WP.15/AC.1/2020/47 et ECE/TRANS/WP.15/AC.1/2020/49 ainsi que documents informels INF.6/Rev.1, INF.15, INF.17, INF.33, INF.43 et INF.44) et a examiné trois questions importantes soulevées par le groupe au sujet de</w:t>
      </w:r>
      <w:r w:rsidR="004E3C2D" w:rsidRPr="007C24E8">
        <w:t> :</w:t>
      </w:r>
      <w:r w:rsidRPr="007C24E8">
        <w:t xml:space="preserve"> i)</w:t>
      </w:r>
      <w:r w:rsidR="004C7726" w:rsidRPr="007C24E8">
        <w:t> </w:t>
      </w:r>
      <w:r w:rsidRPr="007C24E8">
        <w:t>la notification et l’agrément des systèmes nationaux pour les organismes de contrôle (</w:t>
      </w:r>
      <w:r w:rsidR="009B1F20" w:rsidRPr="007C24E8">
        <w:t xml:space="preserve">proposition </w:t>
      </w:r>
      <w:r w:rsidRPr="007C24E8">
        <w:t xml:space="preserve">faite au </w:t>
      </w:r>
      <w:r w:rsidR="009B1F20" w:rsidRPr="007C24E8">
        <w:t xml:space="preserve">paragraphe </w:t>
      </w:r>
      <w:r w:rsidRPr="007C24E8">
        <w:lastRenderedPageBreak/>
        <w:t>1.8.6.2.4 d</w:t>
      </w:r>
      <w:r w:rsidR="00CA33B2" w:rsidRPr="007C24E8">
        <w:t>es</w:t>
      </w:r>
      <w:r w:rsidRPr="007C24E8">
        <w:t xml:space="preserve"> document</w:t>
      </w:r>
      <w:r w:rsidR="00CA33B2" w:rsidRPr="007C24E8">
        <w:t>s ECE/TRANS/WP.15/AC.1/2020/19 et</w:t>
      </w:r>
      <w:r w:rsidRPr="007C24E8">
        <w:t xml:space="preserve"> INF.6/Rev.1)</w:t>
      </w:r>
      <w:r w:rsidR="00F218AE" w:rsidRPr="007C24E8">
        <w:t> ;</w:t>
      </w:r>
      <w:r w:rsidRPr="007C24E8">
        <w:t xml:space="preserve"> ii)</w:t>
      </w:r>
      <w:r w:rsidR="004C7726" w:rsidRPr="007C24E8">
        <w:t> </w:t>
      </w:r>
      <w:r w:rsidRPr="007C24E8">
        <w:t>l’agrément des organismes de contrôle de type C pour les contrôles périodiques, les contrôles intermédiaires et les contrôles exceptionnels mineurs (</w:t>
      </w:r>
      <w:r w:rsidR="009B1F20" w:rsidRPr="007C24E8">
        <w:t xml:space="preserve">proposition </w:t>
      </w:r>
      <w:r w:rsidRPr="007C24E8">
        <w:t xml:space="preserve">faite au </w:t>
      </w:r>
      <w:r w:rsidR="009B1F20" w:rsidRPr="007C24E8">
        <w:t xml:space="preserve">paragraphe </w:t>
      </w:r>
      <w:r w:rsidRPr="007C24E8">
        <w:t>1.8.6.2.1 des documents ECE/TRANS/WP.15/</w:t>
      </w:r>
      <w:r w:rsidR="004C7726" w:rsidRPr="007C24E8">
        <w:t xml:space="preserve"> </w:t>
      </w:r>
      <w:r w:rsidRPr="007C24E8">
        <w:t>AC.1/2020/47 et 2020/49)</w:t>
      </w:r>
      <w:r w:rsidR="00F218AE" w:rsidRPr="007C24E8">
        <w:t> ;</w:t>
      </w:r>
      <w:r w:rsidRPr="007C24E8">
        <w:t xml:space="preserve"> et iii)</w:t>
      </w:r>
      <w:r w:rsidR="004C7726" w:rsidRPr="007C24E8">
        <w:t> </w:t>
      </w:r>
      <w:r w:rsidRPr="007C24E8">
        <w:t>la vérification des citernes à leur mise en service et la reconnaissance réciproque (</w:t>
      </w:r>
      <w:r w:rsidR="009B1F20" w:rsidRPr="007C24E8">
        <w:t xml:space="preserve">proposition </w:t>
      </w:r>
      <w:r w:rsidRPr="007C24E8">
        <w:t xml:space="preserve">faite au </w:t>
      </w:r>
      <w:r w:rsidR="009B1F20" w:rsidRPr="007C24E8">
        <w:t xml:space="preserve">paragraphe </w:t>
      </w:r>
      <w:r w:rsidRPr="007C24E8">
        <w:t>6.8.1.5.5 du document INF.6/Rev.1 et commentaires dans les documents INF.15 et INF.33). À</w:t>
      </w:r>
      <w:r w:rsidR="00CA33B2" w:rsidRPr="007C24E8">
        <w:t xml:space="preserve"> </w:t>
      </w:r>
      <w:r w:rsidRPr="007C24E8">
        <w:t>l’issue du débat, la Réunion commune a invité le Groupe de travail des citernes à approfondir la réflexion sur ces trois questions, en tenant compte des observations reçues, et à rendre compte de ce travail à la session plénière à</w:t>
      </w:r>
      <w:r w:rsidR="00CA33B2" w:rsidRPr="007C24E8">
        <w:t> </w:t>
      </w:r>
      <w:r w:rsidRPr="007C24E8">
        <w:t>Genève.</w:t>
      </w:r>
    </w:p>
    <w:p w14:paraId="3715E122" w14:textId="77777777" w:rsidR="005E3367" w:rsidRPr="007C24E8" w:rsidRDefault="005E3367" w:rsidP="005E3367">
      <w:pPr>
        <w:pStyle w:val="SingleTxtG"/>
        <w:spacing w:before="240" w:after="0"/>
      </w:pPr>
      <w:r w:rsidRPr="007C24E8">
        <w:t>8.</w:t>
      </w:r>
      <w:r w:rsidRPr="007C24E8">
        <w:tab/>
        <w:t>L’examen des documents soumis au titre du point 2 de l’ordre du jour a été confié au Groupe de travail des citernes, qui s’est également réuni en ligne, du 10 au 16 septembre 2020, sous la présidence de M.</w:t>
      </w:r>
      <w:r w:rsidR="004C7726" w:rsidRPr="007C24E8">
        <w:t> </w:t>
      </w:r>
      <w:r w:rsidRPr="007C24E8">
        <w:t>A. Bale (Royaume-Uni).</w:t>
      </w:r>
    </w:p>
    <w:p w14:paraId="5D6AA0CE" w14:textId="77777777" w:rsidR="005E3367" w:rsidRPr="007C24E8" w:rsidRDefault="005E3367" w:rsidP="005E3367">
      <w:pPr>
        <w:pStyle w:val="H1G"/>
        <w:spacing w:before="240" w:line="240" w:lineRule="auto"/>
      </w:pPr>
      <w:r w:rsidRPr="007C24E8">
        <w:tab/>
      </w:r>
      <w:r w:rsidRPr="007C24E8">
        <w:tab/>
        <w:t>Rapport du Groupe de travail des citernes</w:t>
      </w:r>
    </w:p>
    <w:p w14:paraId="5EA7D54D" w14:textId="77777777" w:rsidR="005E3367" w:rsidRPr="007C24E8" w:rsidRDefault="005E3367" w:rsidP="009B1F20">
      <w:pPr>
        <w:pStyle w:val="SingleTxtG"/>
        <w:keepNext/>
        <w:ind w:left="3402" w:hanging="2268"/>
        <w:jc w:val="left"/>
      </w:pPr>
      <w:r w:rsidRPr="007C24E8">
        <w:rPr>
          <w:i/>
          <w:iCs/>
        </w:rPr>
        <w:t>Documents informels</w:t>
      </w:r>
      <w:r w:rsidR="004E3C2D" w:rsidRPr="007C24E8">
        <w:t> :</w:t>
      </w:r>
      <w:r w:rsidRPr="007C24E8">
        <w:tab/>
        <w:t>INF.63 (Royaume-Uni)</w:t>
      </w:r>
      <w:r w:rsidR="004C7726" w:rsidRPr="007C24E8">
        <w:br/>
      </w:r>
      <w:r w:rsidRPr="007C24E8">
        <w:t>INF.64 (Rapport du Groupe de travail des citernes)</w:t>
      </w:r>
      <w:r w:rsidR="009B1F20" w:rsidRPr="007C24E8">
        <w:t>.</w:t>
      </w:r>
    </w:p>
    <w:p w14:paraId="67AEDC56" w14:textId="77777777" w:rsidR="005E3367" w:rsidRPr="007C24E8" w:rsidRDefault="005E3367" w:rsidP="009B1F20">
      <w:pPr>
        <w:pStyle w:val="SingleTxtG"/>
      </w:pPr>
      <w:r w:rsidRPr="007C24E8">
        <w:t>9.</w:t>
      </w:r>
      <w:r w:rsidRPr="007C24E8">
        <w:tab/>
        <w:t>La Réunion commune a pris note des résultats obtenus par le Groupe de travail, dont le rapport est reproduit à l’</w:t>
      </w:r>
      <w:r w:rsidR="009B1F20" w:rsidRPr="007C24E8">
        <w:t xml:space="preserve">annexe </w:t>
      </w:r>
      <w:r w:rsidRPr="007C24E8">
        <w:t>I en tant qu’</w:t>
      </w:r>
      <w:r w:rsidR="009B1F20" w:rsidRPr="007C24E8">
        <w:t xml:space="preserve">additif </w:t>
      </w:r>
      <w:r w:rsidRPr="007C24E8">
        <w:t xml:space="preserve">1 au présent rapport. La Réunion commune a examiné le document </w:t>
      </w:r>
      <w:r w:rsidR="009B1F20" w:rsidRPr="007C24E8">
        <w:t xml:space="preserve">informel </w:t>
      </w:r>
      <w:r w:rsidRPr="007C24E8">
        <w:t xml:space="preserve">INF.64 et a adopté les </w:t>
      </w:r>
      <w:r w:rsidR="009B1F20" w:rsidRPr="007C24E8">
        <w:t xml:space="preserve">propositions </w:t>
      </w:r>
      <w:r w:rsidRPr="007C24E8">
        <w:t xml:space="preserve">1 à 9 (voir </w:t>
      </w:r>
      <w:r w:rsidR="009B1F20" w:rsidRPr="007C24E8">
        <w:t xml:space="preserve">annexe </w:t>
      </w:r>
      <w:r w:rsidRPr="007C24E8">
        <w:t>II).</w:t>
      </w:r>
    </w:p>
    <w:p w14:paraId="3A47C8A0" w14:textId="77777777" w:rsidR="005E3367" w:rsidRPr="007C24E8" w:rsidRDefault="005E3367" w:rsidP="005E3367">
      <w:pPr>
        <w:pStyle w:val="SingleTxtG"/>
        <w:spacing w:line="240" w:lineRule="auto"/>
      </w:pPr>
      <w:r w:rsidRPr="007C24E8">
        <w:t>10.</w:t>
      </w:r>
      <w:r w:rsidRPr="007C24E8">
        <w:tab/>
        <w:t xml:space="preserve">En ce qui concerne la </w:t>
      </w:r>
      <w:r w:rsidR="009B1F20" w:rsidRPr="007C24E8">
        <w:t xml:space="preserve">proposition </w:t>
      </w:r>
      <w:r w:rsidRPr="007C24E8">
        <w:t xml:space="preserve">1, la Réunion commune a approuvé la recommandation du Groupe de travail selon laquelle la modification du </w:t>
      </w:r>
      <w:r w:rsidR="009B1F20" w:rsidRPr="007C24E8">
        <w:t xml:space="preserve">paragraphe </w:t>
      </w:r>
      <w:r w:rsidRPr="007C24E8">
        <w:t>6.8.2.2.4 du RID proposée dans le document ECE/TRANS/WP.15/AC.1/2020/6 devrait être examinée de plus près lors de la prochaine réunion du groupe de travail permanent de la Commission d’experts du RID en novembre 2020, en même temps qu’une éventuelle disposition transitoire.</w:t>
      </w:r>
    </w:p>
    <w:p w14:paraId="6EE885DA" w14:textId="77777777" w:rsidR="005E3367" w:rsidRPr="007C24E8" w:rsidRDefault="005E3367" w:rsidP="005E3367">
      <w:pPr>
        <w:pStyle w:val="SingleTxtG"/>
        <w:spacing w:line="240" w:lineRule="auto"/>
      </w:pPr>
      <w:r w:rsidRPr="007C24E8">
        <w:t>11.</w:t>
      </w:r>
      <w:r w:rsidRPr="007C24E8">
        <w:tab/>
        <w:t xml:space="preserve">En ce qui concerne la </w:t>
      </w:r>
      <w:r w:rsidR="009B1F20" w:rsidRPr="007C24E8">
        <w:t xml:space="preserve">proposition </w:t>
      </w:r>
      <w:r w:rsidRPr="007C24E8">
        <w:t xml:space="preserve">3, la Réunion commune, se rangeant à l’avis du Groupe de travail, a décidé d’approuver la suppression du </w:t>
      </w:r>
      <w:r w:rsidR="009B1F20" w:rsidRPr="007C24E8">
        <w:t xml:space="preserve">paragraphe </w:t>
      </w:r>
      <w:r w:rsidRPr="007C24E8">
        <w:t xml:space="preserve">4.3.3.3.2 du RID pour les wagons-citernes aussi mais de conserver ce </w:t>
      </w:r>
      <w:r w:rsidR="009B1F20" w:rsidRPr="007C24E8">
        <w:t xml:space="preserve">paragraphe </w:t>
      </w:r>
      <w:r w:rsidRPr="007C24E8">
        <w:t>entre crochets en attendant que le groupe de travail permanent de la Commission d’experts du RID confirme sa suppression.</w:t>
      </w:r>
    </w:p>
    <w:p w14:paraId="6963F354" w14:textId="77777777" w:rsidR="005E3367" w:rsidRPr="007C24E8" w:rsidRDefault="005E3367" w:rsidP="005E3367">
      <w:pPr>
        <w:pStyle w:val="SingleTxtG"/>
        <w:spacing w:line="240" w:lineRule="auto"/>
      </w:pPr>
      <w:r w:rsidRPr="007C24E8">
        <w:t>12.</w:t>
      </w:r>
      <w:r w:rsidRPr="007C24E8">
        <w:tab/>
        <w:t xml:space="preserve">En ce qui concerne la </w:t>
      </w:r>
      <w:r w:rsidR="009B1F20" w:rsidRPr="007C24E8">
        <w:t xml:space="preserve">proposition </w:t>
      </w:r>
      <w:r w:rsidRPr="007C24E8">
        <w:t>5, la Réunion commune a convenu de suivre la recommandation du Groupe de travail et de confier l’examen de cette question au Sous</w:t>
      </w:r>
      <w:r w:rsidR="00CA33B2" w:rsidRPr="007C24E8">
        <w:noBreakHyphen/>
      </w:r>
      <w:r w:rsidRPr="007C24E8">
        <w:t>Comité d’experts du transport des marchandises dangereuses.</w:t>
      </w:r>
    </w:p>
    <w:p w14:paraId="3A7AD687" w14:textId="77777777" w:rsidR="005E3367" w:rsidRPr="007C24E8" w:rsidRDefault="005E3367" w:rsidP="005E3367">
      <w:pPr>
        <w:pStyle w:val="SingleTxtG"/>
        <w:spacing w:line="240" w:lineRule="auto"/>
      </w:pPr>
      <w:r w:rsidRPr="007C24E8">
        <w:t>13.</w:t>
      </w:r>
      <w:r w:rsidRPr="007C24E8">
        <w:tab/>
        <w:t xml:space="preserve">En ce qui concerne la </w:t>
      </w:r>
      <w:r w:rsidR="009B1F20" w:rsidRPr="007C24E8">
        <w:t xml:space="preserve">proposition </w:t>
      </w:r>
      <w:r w:rsidRPr="007C24E8">
        <w:t xml:space="preserve">7, la Réunion commune a pris note de la demande du Président du groupe de travail </w:t>
      </w:r>
      <w:r w:rsidR="009B1F20" w:rsidRPr="007C24E8">
        <w:t xml:space="preserve">informel </w:t>
      </w:r>
      <w:r w:rsidRPr="007C24E8">
        <w:t xml:space="preserve">du contrôle et de l’agrément des citernes (groupe de travail de Londres) d’étudier les cinq cas de figure décrits dans le document </w:t>
      </w:r>
      <w:r w:rsidR="009B1F20" w:rsidRPr="007C24E8">
        <w:t xml:space="preserve">informel </w:t>
      </w:r>
      <w:r w:rsidRPr="007C24E8">
        <w:t>INF.63 en vue de l’élaboration d’une enquête à l’intention des Parties contractantes, l’objectif étant d’éclairer les travaux portant sur l’application des systèmes nationaux d’agrément des organismes de contrôle. Il a été convenu que le Président du groupe de travail de Londres prendrait contact avec chacune des autorités compétentes des États contractants du RID et des Parties contractantes de l’ADR afin qu’elles donnent leur avis sur les cinq options proposées, notamment en les classant clairement par ordre de préférence. Les</w:t>
      </w:r>
      <w:r w:rsidR="00CA33B2" w:rsidRPr="007C24E8">
        <w:t xml:space="preserve"> </w:t>
      </w:r>
      <w:r w:rsidRPr="007C24E8">
        <w:t xml:space="preserve">réponses devront être renvoyées au Président du groupe de travail de Londres </w:t>
      </w:r>
      <w:r w:rsidRPr="007C24E8">
        <w:rPr>
          <w:color w:val="222222"/>
          <w:lang w:eastAsia="nl-NL"/>
        </w:rPr>
        <w:t>(</w:t>
      </w:r>
      <w:hyperlink r:id="rId11" w:history="1">
        <w:r w:rsidRPr="007C24E8">
          <w:rPr>
            <w:rStyle w:val="Hyperlink"/>
            <w:lang w:eastAsia="nl-NL"/>
          </w:rPr>
          <w:t>steve.gillingham@dft.gov.uk</w:t>
        </w:r>
      </w:hyperlink>
      <w:r w:rsidRPr="007C24E8">
        <w:rPr>
          <w:color w:val="222222"/>
          <w:lang w:eastAsia="nl-NL"/>
        </w:rPr>
        <w:t xml:space="preserve">) </w:t>
      </w:r>
      <w:r w:rsidRPr="007C24E8">
        <w:t>au plus tard à la mi-novembre 2020 pour que le groupe de travail puisse examiner en détail les solutions privilégiées à sa prochaine réunion, prévue du 16 au 18 décembre 2020. Le groupe de travail de Londres a été prié de faire rapport à la Réunion commune à sa session de mars 2021.</w:t>
      </w:r>
    </w:p>
    <w:p w14:paraId="1584B9EF" w14:textId="77777777" w:rsidR="005E3367" w:rsidRPr="007C24E8" w:rsidRDefault="005E3367" w:rsidP="009B1F20">
      <w:pPr>
        <w:pStyle w:val="HChG"/>
      </w:pPr>
      <w:r w:rsidRPr="007C24E8">
        <w:lastRenderedPageBreak/>
        <w:tab/>
        <w:t>V.</w:t>
      </w:r>
      <w:r w:rsidRPr="007C24E8">
        <w:tab/>
        <w:t>Normes (point 3 de l’ordre du jour)</w:t>
      </w:r>
    </w:p>
    <w:p w14:paraId="1FDDC4D7" w14:textId="77777777" w:rsidR="005E3367" w:rsidRPr="007C24E8" w:rsidRDefault="005E3367" w:rsidP="009B1F20">
      <w:pPr>
        <w:pStyle w:val="H1G"/>
      </w:pPr>
      <w:r w:rsidRPr="007C24E8">
        <w:tab/>
        <w:t>A.</w:t>
      </w:r>
      <w:r w:rsidRPr="007C24E8">
        <w:tab/>
        <w:t>Procédure révisée de coopération avec le Comité européen de</w:t>
      </w:r>
      <w:r w:rsidR="009B1F20" w:rsidRPr="007C24E8">
        <w:t> </w:t>
      </w:r>
      <w:r w:rsidRPr="007C24E8">
        <w:t>normalisation (CEN) et le Comité européen de normalisation électrotechnique (CENELEC)</w:t>
      </w:r>
    </w:p>
    <w:p w14:paraId="19D53CBB"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ECE/TRANS/WP.15/AC.1/2020/52 (CEN)</w:t>
      </w:r>
      <w:r w:rsidR="009B1F20" w:rsidRPr="007C24E8">
        <w:t>.</w:t>
      </w:r>
    </w:p>
    <w:p w14:paraId="2487967F" w14:textId="77777777" w:rsidR="005E3367" w:rsidRPr="007C24E8" w:rsidRDefault="005E3367" w:rsidP="009B1F20">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INF.55 (Suisse)</w:t>
      </w:r>
      <w:r w:rsidR="009B1F20" w:rsidRPr="007C24E8">
        <w:t>.</w:t>
      </w:r>
    </w:p>
    <w:p w14:paraId="00A54156" w14:textId="77777777" w:rsidR="005E3367" w:rsidRPr="007C24E8" w:rsidRDefault="005E3367" w:rsidP="005E3367">
      <w:pPr>
        <w:pStyle w:val="SingleTxtG"/>
      </w:pPr>
      <w:r w:rsidRPr="007C24E8">
        <w:t>14.</w:t>
      </w:r>
      <w:r w:rsidRPr="007C24E8">
        <w:tab/>
        <w:t xml:space="preserve">Le représentant du CEN-CENELEC a proposé de modifier la procédure de coopération, essentiellement pour tenir compte de la nomination d’un conseiller pour les normes à la place du consultant du CEN. La Réunion commune a adopté la procédure de coopération révisée dans le document ECE/TRANS/WP.15/AC.1/2020/52 tel que modifié (voir </w:t>
      </w:r>
      <w:r w:rsidR="009B1F20" w:rsidRPr="007C24E8">
        <w:t xml:space="preserve">annexe </w:t>
      </w:r>
      <w:r w:rsidRPr="007C24E8">
        <w:t>III du présent rapport).</w:t>
      </w:r>
    </w:p>
    <w:p w14:paraId="5EC82063" w14:textId="77777777" w:rsidR="005E3367" w:rsidRPr="007C24E8" w:rsidRDefault="005E3367" w:rsidP="005E3367">
      <w:pPr>
        <w:pStyle w:val="SingleTxtG"/>
      </w:pPr>
      <w:r w:rsidRPr="007C24E8">
        <w:t>15.</w:t>
      </w:r>
      <w:r w:rsidRPr="007C24E8">
        <w:tab/>
        <w:t xml:space="preserve">En ce qui concerne les préoccupations exprimées par la Suisse dans le document </w:t>
      </w:r>
      <w:r w:rsidR="009B1F20" w:rsidRPr="007C24E8">
        <w:t xml:space="preserve">informel </w:t>
      </w:r>
      <w:r w:rsidRPr="007C24E8">
        <w:t>INF.55, la Réunion commune a précisé que tous ses participants pouvaient contribuer aux travaux du Groupe de travail des normes, qui a pour mission d’intervenir dès les premiers stades de l’élaboration de nouvelles normes ou de la modification des normes existantes, qu’ils soient ou non membres du CEN ou du CENELEC. En conclusion, il a été rappelé que le Groupe de travail des normes avait un mandat permanent et se réunissait régulièrement, virtuellement ou en présentiel, à des dates proches de celles des sessions officielles de la Réunion commune, afin de faciliter la participation à ses travaux.</w:t>
      </w:r>
    </w:p>
    <w:p w14:paraId="3E8F4CE2" w14:textId="77777777" w:rsidR="005E3367" w:rsidRPr="007C24E8" w:rsidRDefault="005E3367" w:rsidP="009B1F20">
      <w:pPr>
        <w:pStyle w:val="H1G"/>
      </w:pPr>
      <w:r w:rsidRPr="007C24E8">
        <w:tab/>
        <w:t>B.</w:t>
      </w:r>
      <w:r w:rsidRPr="007C24E8">
        <w:tab/>
        <w:t>Informations sur les activités du Groupe de travail des normes</w:t>
      </w:r>
    </w:p>
    <w:p w14:paraId="1A855405"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ECE/TRANS/WP.15/AC.1/2020/58 (CEN)</w:t>
      </w:r>
      <w:r w:rsidR="009B1F20" w:rsidRPr="007C24E8">
        <w:t>.</w:t>
      </w:r>
    </w:p>
    <w:p w14:paraId="07F4F619" w14:textId="77777777" w:rsidR="005E3367" w:rsidRPr="007C24E8" w:rsidRDefault="005E3367" w:rsidP="005E3367">
      <w:pPr>
        <w:pStyle w:val="SingleTxtG"/>
      </w:pPr>
      <w:r w:rsidRPr="007C24E8">
        <w:t>16.</w:t>
      </w:r>
      <w:r w:rsidRPr="007C24E8">
        <w:tab/>
        <w:t>La Réunion commune a accueilli favorablement le rapport sur les résultats des récentes réunions du Groupe de travail des normes, et noté que M.</w:t>
      </w:r>
      <w:r w:rsidR="00FA456F" w:rsidRPr="007C24E8">
        <w:t> </w:t>
      </w:r>
      <w:r w:rsidRPr="007C24E8">
        <w:t>John Williams avait été nommé au poste de conseiller pour les normes auprès de la Réunion commune.</w:t>
      </w:r>
    </w:p>
    <w:p w14:paraId="5B91CBFC" w14:textId="77777777" w:rsidR="005E3367" w:rsidRPr="007C24E8" w:rsidRDefault="005E3367" w:rsidP="009B1F20">
      <w:pPr>
        <w:pStyle w:val="H1G"/>
      </w:pPr>
      <w:r w:rsidRPr="007C24E8">
        <w:tab/>
        <w:t>C.</w:t>
      </w:r>
      <w:r w:rsidRPr="007C24E8">
        <w:tab/>
        <w:t>Modification des exigences de la norme EN ISO 18119</w:t>
      </w:r>
    </w:p>
    <w:p w14:paraId="034B7784" w14:textId="77777777" w:rsidR="005E3367" w:rsidRPr="007C24E8" w:rsidRDefault="005E3367" w:rsidP="00FA456F">
      <w:pPr>
        <w:pStyle w:val="SingleTxtG"/>
        <w:keepNext/>
        <w:ind w:left="3402" w:hanging="2268"/>
        <w:jc w:val="left"/>
      </w:pPr>
      <w:r w:rsidRPr="007C24E8">
        <w:rPr>
          <w:i/>
        </w:rPr>
        <w:t>Document</w:t>
      </w:r>
      <w:r w:rsidR="004E3C2D" w:rsidRPr="007C24E8">
        <w:t> :</w:t>
      </w:r>
      <w:r w:rsidRPr="007C24E8">
        <w:tab/>
        <w:t>ECE/TRANS/WP.15/AC.1/2020/63 (EIGA)</w:t>
      </w:r>
      <w:r w:rsidR="009B1F20" w:rsidRPr="007C24E8">
        <w:t>.</w:t>
      </w:r>
    </w:p>
    <w:p w14:paraId="0134A4D3" w14:textId="77777777" w:rsidR="005E3367" w:rsidRPr="007C24E8" w:rsidRDefault="005E3367" w:rsidP="00FA456F">
      <w:pPr>
        <w:pStyle w:val="SingleTxtG"/>
        <w:keepNext/>
        <w:ind w:left="3402" w:hanging="2268"/>
        <w:jc w:val="left"/>
      </w:pPr>
      <w:r w:rsidRPr="007C24E8">
        <w:rPr>
          <w:i/>
        </w:rPr>
        <w:t>Documents informels</w:t>
      </w:r>
      <w:r w:rsidR="004E3C2D" w:rsidRPr="007C24E8">
        <w:t> :</w:t>
      </w:r>
      <w:r w:rsidRPr="007C24E8">
        <w:tab/>
        <w:t>INF.50 (ECMA) et INF.51 (EIGA)</w:t>
      </w:r>
      <w:r w:rsidR="009B1F20" w:rsidRPr="007C24E8">
        <w:t>.</w:t>
      </w:r>
    </w:p>
    <w:p w14:paraId="5BA3EA06" w14:textId="77777777" w:rsidR="005E3367" w:rsidRPr="007C24E8" w:rsidRDefault="005E3367" w:rsidP="005E3367">
      <w:pPr>
        <w:pStyle w:val="SingleTxtG"/>
        <w:rPr>
          <w:spacing w:val="-1"/>
        </w:rPr>
      </w:pPr>
      <w:r w:rsidRPr="007C24E8">
        <w:rPr>
          <w:spacing w:val="-1"/>
        </w:rPr>
        <w:t>17.</w:t>
      </w:r>
      <w:r w:rsidRPr="007C24E8">
        <w:rPr>
          <w:spacing w:val="-1"/>
        </w:rPr>
        <w:tab/>
        <w:t xml:space="preserve">Plusieurs représentants n’ont pas soutenu la </w:t>
      </w:r>
      <w:r w:rsidR="009B1F20" w:rsidRPr="007C24E8">
        <w:rPr>
          <w:spacing w:val="-1"/>
        </w:rPr>
        <w:t xml:space="preserve">proposition </w:t>
      </w:r>
      <w:r w:rsidRPr="007C24E8">
        <w:rPr>
          <w:spacing w:val="-1"/>
        </w:rPr>
        <w:t xml:space="preserve">visant à supprimer, au </w:t>
      </w:r>
      <w:r w:rsidR="009B1F20" w:rsidRPr="007C24E8">
        <w:rPr>
          <w:spacing w:val="-1"/>
        </w:rPr>
        <w:t xml:space="preserve">paragraphe </w:t>
      </w:r>
      <w:r w:rsidRPr="007C24E8">
        <w:rPr>
          <w:spacing w:val="-1"/>
        </w:rPr>
        <w:t>6.2.3.5.1, la dernière phrase de la note 3. D’autres, craignant qu’il soit prématuré d’adopter cette proposition, ont estimé qu’un supplément d’information serait nécessaire (par exemple, sur la formation des inspecteurs) avant de prendre une décision. Le représentant de l’EIGA a annoncé qu’il procéderait à un nouvel échange de vues avec les délégations et qu’il établirait une nouvelle version du document pour la prochaine session.</w:t>
      </w:r>
    </w:p>
    <w:p w14:paraId="3A55E1EF" w14:textId="77777777" w:rsidR="005E3367" w:rsidRPr="007C24E8" w:rsidRDefault="005E3367" w:rsidP="009B1F20">
      <w:pPr>
        <w:pStyle w:val="H1G"/>
      </w:pPr>
      <w:r w:rsidRPr="007C24E8">
        <w:tab/>
        <w:t>D.</w:t>
      </w:r>
      <w:r w:rsidRPr="007C24E8">
        <w:tab/>
        <w:t>Observations et décisions du Groupe de travail des normes</w:t>
      </w:r>
    </w:p>
    <w:p w14:paraId="0BC95AEE" w14:textId="77777777" w:rsidR="005E3367" w:rsidRPr="007C24E8" w:rsidRDefault="005E3367" w:rsidP="009B1F20">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INF.52 (CEN)</w:t>
      </w:r>
      <w:r w:rsidR="009B1F20" w:rsidRPr="007C24E8">
        <w:t>.</w:t>
      </w:r>
    </w:p>
    <w:p w14:paraId="46B20C6A" w14:textId="77777777" w:rsidR="005E3367" w:rsidRPr="007C24E8" w:rsidRDefault="005E3367" w:rsidP="005E3367">
      <w:pPr>
        <w:pStyle w:val="SingleTxtG"/>
      </w:pPr>
      <w:r w:rsidRPr="007C24E8">
        <w:t>18.</w:t>
      </w:r>
      <w:r w:rsidRPr="007C24E8">
        <w:tab/>
        <w:t>La Réunion commune a pris note des observations formulées et des décisions prises à l’occasion de la réunion virtuelle du groupe, qui s’est tenue le 2</w:t>
      </w:r>
      <w:r w:rsidR="009B1F20" w:rsidRPr="007C24E8">
        <w:t> </w:t>
      </w:r>
      <w:r w:rsidRPr="007C24E8">
        <w:t>septembre 2020.</w:t>
      </w:r>
    </w:p>
    <w:p w14:paraId="379321F0" w14:textId="77777777" w:rsidR="005E3367" w:rsidRPr="007C24E8" w:rsidRDefault="005E3367" w:rsidP="009B1F20">
      <w:pPr>
        <w:pStyle w:val="H1G"/>
      </w:pPr>
      <w:r w:rsidRPr="007C24E8">
        <w:tab/>
        <w:t>E.</w:t>
      </w:r>
      <w:r w:rsidRPr="007C24E8">
        <w:tab/>
        <w:t>Rapport du Groupe de travail des normes (trente et unième réunion)</w:t>
      </w:r>
    </w:p>
    <w:p w14:paraId="2289CF74" w14:textId="77777777" w:rsidR="005E3367" w:rsidRPr="007C24E8" w:rsidRDefault="005E3367" w:rsidP="009B1F20">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INF.53/Rev.2 (Royaume-Uni)</w:t>
      </w:r>
      <w:r w:rsidR="009B1F20" w:rsidRPr="007C24E8">
        <w:t>.</w:t>
      </w:r>
    </w:p>
    <w:p w14:paraId="1BE851C3" w14:textId="77777777" w:rsidR="005E3367" w:rsidRPr="007C24E8" w:rsidRDefault="005E3367" w:rsidP="005E3367">
      <w:pPr>
        <w:pStyle w:val="SingleTxtG"/>
      </w:pPr>
      <w:r w:rsidRPr="007C24E8">
        <w:t>19.</w:t>
      </w:r>
      <w:r w:rsidRPr="007C24E8">
        <w:tab/>
        <w:t xml:space="preserve">La Réunion commune a accueilli favorablement le rapport, et adopté les </w:t>
      </w:r>
      <w:r w:rsidR="009B1F20" w:rsidRPr="007C24E8">
        <w:t xml:space="preserve">propositions </w:t>
      </w:r>
      <w:r w:rsidRPr="007C24E8">
        <w:t xml:space="preserve">de modification des </w:t>
      </w:r>
      <w:r w:rsidR="009B1F20" w:rsidRPr="007C24E8">
        <w:t xml:space="preserve">paragraphes </w:t>
      </w:r>
      <w:r w:rsidRPr="007C24E8">
        <w:t xml:space="preserve">4.1 à 4.6 tels que révisées (voir </w:t>
      </w:r>
      <w:r w:rsidR="009B1F20" w:rsidRPr="007C24E8">
        <w:t xml:space="preserve">annexe </w:t>
      </w:r>
      <w:r w:rsidRPr="007C24E8">
        <w:t>II).</w:t>
      </w:r>
    </w:p>
    <w:p w14:paraId="3A95574B" w14:textId="77777777" w:rsidR="005E3367" w:rsidRPr="007C24E8" w:rsidRDefault="005E3367" w:rsidP="009B1F20">
      <w:pPr>
        <w:pStyle w:val="HChG"/>
      </w:pPr>
      <w:r w:rsidRPr="007C24E8">
        <w:lastRenderedPageBreak/>
        <w:tab/>
        <w:t>VI.</w:t>
      </w:r>
      <w:r w:rsidRPr="007C24E8">
        <w:tab/>
        <w:t>Interprétation du RID/ADR/ADN (point 4 de l’ordre du jour)</w:t>
      </w:r>
    </w:p>
    <w:p w14:paraId="0E42AD98" w14:textId="77777777" w:rsidR="005E3367" w:rsidRPr="007C24E8" w:rsidRDefault="005E3367" w:rsidP="009B1F20">
      <w:pPr>
        <w:pStyle w:val="H1G"/>
      </w:pPr>
      <w:r w:rsidRPr="007C24E8">
        <w:tab/>
        <w:t>A.</w:t>
      </w:r>
      <w:r w:rsidRPr="007C24E8">
        <w:tab/>
        <w:t>Batteries usagées/accumulateurs usagés, transport en vrac (AP8)</w:t>
      </w:r>
    </w:p>
    <w:p w14:paraId="2F0A4F6D"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ECE/TRANS/WP.15/AC.1/2020/2 (Finlande)</w:t>
      </w:r>
      <w:r w:rsidR="009B1F20" w:rsidRPr="007C24E8">
        <w:t>.</w:t>
      </w:r>
    </w:p>
    <w:p w14:paraId="3995CCB5" w14:textId="77777777" w:rsidR="005E3367" w:rsidRPr="007C24E8" w:rsidRDefault="005E3367" w:rsidP="005E3367">
      <w:pPr>
        <w:pStyle w:val="SingleTxtG"/>
      </w:pPr>
      <w:r w:rsidRPr="007C24E8">
        <w:t>20.</w:t>
      </w:r>
      <w:r w:rsidRPr="007C24E8">
        <w:tab/>
        <w:t xml:space="preserve">La Réunion commune a accueilli avec intérêt les questions soulevées dans le document et a décidé de les transmettre au groupe de travail </w:t>
      </w:r>
      <w:r w:rsidR="009B1F20" w:rsidRPr="007C24E8">
        <w:t xml:space="preserve">informel </w:t>
      </w:r>
      <w:r w:rsidRPr="007C24E8">
        <w:t>du transport des déchets dangereux pour qu’il les examine de plus près.</w:t>
      </w:r>
    </w:p>
    <w:p w14:paraId="42DB19DD" w14:textId="77777777" w:rsidR="005E3367" w:rsidRPr="007C24E8" w:rsidRDefault="005E3367" w:rsidP="009B1F20">
      <w:pPr>
        <w:pStyle w:val="H1G"/>
      </w:pPr>
      <w:r w:rsidRPr="007C24E8">
        <w:tab/>
        <w:t>B.</w:t>
      </w:r>
      <w:r w:rsidRPr="007C24E8">
        <w:tab/>
        <w:t xml:space="preserve">Demande d’explicitation des dispositions du </w:t>
      </w:r>
      <w:r w:rsidR="009B1F20" w:rsidRPr="007C24E8">
        <w:t xml:space="preserve">paragraphe </w:t>
      </w:r>
      <w:r w:rsidRPr="007C24E8">
        <w:t>3.4.7.1</w:t>
      </w:r>
    </w:p>
    <w:p w14:paraId="6A7C1284"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ECE/TRANS/WP.15/AC.1/2020/27 (Pologne)</w:t>
      </w:r>
      <w:r w:rsidR="009B1F20" w:rsidRPr="007C24E8">
        <w:t>.</w:t>
      </w:r>
    </w:p>
    <w:p w14:paraId="34DF4CFD" w14:textId="77777777" w:rsidR="005E3367" w:rsidRPr="007C24E8" w:rsidRDefault="005E3367" w:rsidP="005E3367">
      <w:pPr>
        <w:pStyle w:val="SingleTxtG"/>
      </w:pPr>
      <w:r w:rsidRPr="007C24E8">
        <w:t>21.</w:t>
      </w:r>
      <w:r w:rsidRPr="007C24E8">
        <w:tab/>
        <w:t xml:space="preserve">La plupart des représentants qui ont pris la parole ont estimé qu’il fallait mettre l’accent sur la notion de « contraste » dans la disposition du </w:t>
      </w:r>
      <w:r w:rsidR="009B1F20" w:rsidRPr="007C24E8">
        <w:t xml:space="preserve">paragraphe </w:t>
      </w:r>
      <w:r w:rsidRPr="007C24E8">
        <w:t>3.4.7.1. Il a été rappelé que la disposition en question visait essentiellement à permettre l’utilisation d’un marquage monochrome. Il a été relevé que toute modification de cette disposition devrait être soumise au Sous-</w:t>
      </w:r>
      <w:r w:rsidR="00FA456F" w:rsidRPr="007C24E8">
        <w:t xml:space="preserve">Comité </w:t>
      </w:r>
      <w:r w:rsidRPr="007C24E8">
        <w:t>d’experts du transport des marchandises dangereuses.</w:t>
      </w:r>
    </w:p>
    <w:p w14:paraId="75994320" w14:textId="77777777" w:rsidR="005E3367" w:rsidRPr="007C24E8" w:rsidRDefault="005E3367" w:rsidP="009B1F20">
      <w:pPr>
        <w:pStyle w:val="H1G"/>
      </w:pPr>
      <w:r w:rsidRPr="007C24E8">
        <w:tab/>
        <w:t>C.</w:t>
      </w:r>
      <w:r w:rsidRPr="007C24E8">
        <w:tab/>
        <w:t>Transport de citernes vides non nettoyées</w:t>
      </w:r>
    </w:p>
    <w:p w14:paraId="13B10BD4"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ECE/TRANS/WP.15/AC.1/2020/38 (Espagne)</w:t>
      </w:r>
      <w:r w:rsidR="009B1F20" w:rsidRPr="007C24E8">
        <w:t>.</w:t>
      </w:r>
    </w:p>
    <w:p w14:paraId="0A1F7865" w14:textId="77777777" w:rsidR="005E3367" w:rsidRPr="007C24E8" w:rsidRDefault="005E3367" w:rsidP="005E3367">
      <w:pPr>
        <w:pStyle w:val="SingleTxtG"/>
      </w:pPr>
      <w:r w:rsidRPr="007C24E8">
        <w:t>22.</w:t>
      </w:r>
      <w:r w:rsidRPr="007C24E8">
        <w:tab/>
        <w:t>La Réunion commune a convenu de la nécessité de répondre aux questions soulevées dans le document. Certains délégués ont exprimé leur préférence pour la solution énoncée à l’</w:t>
      </w:r>
      <w:r w:rsidR="009B1F20" w:rsidRPr="007C24E8">
        <w:t xml:space="preserve">alinéa </w:t>
      </w:r>
      <w:r w:rsidRPr="007C24E8">
        <w:t xml:space="preserve">c) du </w:t>
      </w:r>
      <w:r w:rsidR="009B1F20" w:rsidRPr="007C24E8">
        <w:t xml:space="preserve">paragraphe </w:t>
      </w:r>
      <w:r w:rsidRPr="007C24E8">
        <w:t>7. La représentante de l’Espagne a invité toutes les délégations à lui faire part de leurs observations et a proposé d’établir un document actualisé pour la prochaine session de la Réunion commune.</w:t>
      </w:r>
    </w:p>
    <w:p w14:paraId="745A6CE4" w14:textId="77777777" w:rsidR="005E3367" w:rsidRPr="007C24E8" w:rsidRDefault="005E3367" w:rsidP="009B1F20">
      <w:pPr>
        <w:pStyle w:val="H1G"/>
      </w:pPr>
      <w:r w:rsidRPr="007C24E8">
        <w:tab/>
        <w:t>D.</w:t>
      </w:r>
      <w:r w:rsidRPr="007C24E8">
        <w:tab/>
        <w:t>Placardage des bennes amovibles</w:t>
      </w:r>
    </w:p>
    <w:p w14:paraId="4C105B7E"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ECE/TRANS/WP.15/AC.1/2020/54 (France)</w:t>
      </w:r>
      <w:r w:rsidR="009B1F20" w:rsidRPr="007C24E8">
        <w:t>.</w:t>
      </w:r>
    </w:p>
    <w:p w14:paraId="2A92C392" w14:textId="77777777" w:rsidR="005E3367" w:rsidRPr="007C24E8" w:rsidRDefault="005E3367" w:rsidP="009B1F20">
      <w:pPr>
        <w:pStyle w:val="SingleTxtG"/>
      </w:pPr>
      <w:r w:rsidRPr="007C24E8">
        <w:t>23.</w:t>
      </w:r>
      <w:r w:rsidRPr="007C24E8">
        <w:tab/>
        <w:t xml:space="preserve">La plupart des représentants qui ont pris la parole étaient d’avis que le placardage des bennes amovibles devrait être similaire à celui qui est prescrit pour les conteneurs au </w:t>
      </w:r>
      <w:r w:rsidR="009B1F20" w:rsidRPr="007C24E8">
        <w:t xml:space="preserve">paragraphe </w:t>
      </w:r>
      <w:r w:rsidRPr="007C24E8">
        <w:t xml:space="preserve">5.3.1.2. Malgré l’absence de consensus sur ce point, il a été noté que c’était la pratique habituelle dans certains pays. La Réunion commune a estimé que les dispositions devraient être clarifiées et a invité la France et la FEAD à préparer une </w:t>
      </w:r>
      <w:r w:rsidR="009B1F20" w:rsidRPr="007C24E8">
        <w:t xml:space="preserve">proposition </w:t>
      </w:r>
      <w:r w:rsidRPr="007C24E8">
        <w:t>pour la prochaine session.</w:t>
      </w:r>
    </w:p>
    <w:p w14:paraId="5B6586DD" w14:textId="77777777" w:rsidR="005E3367" w:rsidRPr="007C24E8" w:rsidRDefault="005E3367" w:rsidP="009B1F20">
      <w:pPr>
        <w:pStyle w:val="HChG"/>
      </w:pPr>
      <w:r w:rsidRPr="007C24E8">
        <w:tab/>
        <w:t>VII.</w:t>
      </w:r>
      <w:r w:rsidRPr="007C24E8">
        <w:tab/>
      </w:r>
      <w:r w:rsidR="009B1F20" w:rsidRPr="007C24E8">
        <w:t xml:space="preserve">Propositions </w:t>
      </w:r>
      <w:r w:rsidRPr="007C24E8">
        <w:t>d’amendements au RID, à l’ADR et à l’ADN (point 5 de l’ordre du jour)</w:t>
      </w:r>
    </w:p>
    <w:p w14:paraId="60F3A96B" w14:textId="77777777" w:rsidR="005E3367" w:rsidRPr="007C24E8" w:rsidRDefault="005E3367" w:rsidP="009B1F20">
      <w:pPr>
        <w:pStyle w:val="H1G"/>
      </w:pPr>
      <w:r w:rsidRPr="007C24E8">
        <w:tab/>
        <w:t>A.</w:t>
      </w:r>
      <w:r w:rsidRPr="007C24E8">
        <w:tab/>
        <w:t>Questions en suspens</w:t>
      </w:r>
    </w:p>
    <w:p w14:paraId="7EB7659A" w14:textId="77777777" w:rsidR="005E3367" w:rsidRPr="007C24E8" w:rsidRDefault="005E3367" w:rsidP="009B1F20">
      <w:pPr>
        <w:pStyle w:val="H23G"/>
      </w:pPr>
      <w:bookmarkStart w:id="2" w:name="_Hlk50725266"/>
      <w:r w:rsidRPr="007C24E8">
        <w:tab/>
        <w:t>1.</w:t>
      </w:r>
      <w:r w:rsidRPr="007C24E8">
        <w:tab/>
      </w:r>
      <w:bookmarkEnd w:id="2"/>
      <w:r w:rsidRPr="007C24E8">
        <w:t>Modification de la disposition spéciale 591 du chapitre 3.3 du RID/de l’ADR/de l’ADN</w:t>
      </w:r>
    </w:p>
    <w:p w14:paraId="5CC1CF30"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r>
      <w:bookmarkStart w:id="3" w:name="_Hlk50472439"/>
      <w:r w:rsidRPr="007C24E8">
        <w:t>ECE/TRANS/WP.15/AC.1/2020/5 (Allemagne)</w:t>
      </w:r>
      <w:r w:rsidR="009B1F20" w:rsidRPr="007C24E8">
        <w:t>.</w:t>
      </w:r>
    </w:p>
    <w:p w14:paraId="1236433A" w14:textId="77777777" w:rsidR="005E3367" w:rsidRPr="007C24E8" w:rsidRDefault="005E3367" w:rsidP="009B1F20">
      <w:pPr>
        <w:pStyle w:val="SingleTxtG"/>
      </w:pPr>
      <w:r w:rsidRPr="007C24E8">
        <w:t>24.</w:t>
      </w:r>
      <w:r w:rsidRPr="007C24E8">
        <w:tab/>
        <w:t xml:space="preserve">La Réunion commune a adopté la </w:t>
      </w:r>
      <w:r w:rsidR="009B1F20" w:rsidRPr="007C24E8">
        <w:t xml:space="preserve">proposition </w:t>
      </w:r>
      <w:r w:rsidRPr="007C24E8">
        <w:t>de l’Allemagne contenue dans le document ECE/TRANS/WP.15/AC.1/2020/5 (voir l’</w:t>
      </w:r>
      <w:r w:rsidR="009B1F20" w:rsidRPr="007C24E8">
        <w:t xml:space="preserve">annexe </w:t>
      </w:r>
      <w:r w:rsidRPr="007C24E8">
        <w:t>II). Il a été noté que cette discussion pourrait avoir une incidence sur la classification et qu’il conviendrait de vérifier au besoin la liste du règlement CLP. Le Sous-Comité d’experts du Système général harmonisé de classification et d’étiquetage des produits chimiques devrait en être informé.</w:t>
      </w:r>
    </w:p>
    <w:p w14:paraId="46BDB2EE" w14:textId="77777777" w:rsidR="005E3367" w:rsidRPr="007C24E8" w:rsidRDefault="005E3367" w:rsidP="009B1F20">
      <w:pPr>
        <w:pStyle w:val="H23G"/>
      </w:pPr>
      <w:r w:rsidRPr="007C24E8">
        <w:tab/>
        <w:t>2.</w:t>
      </w:r>
      <w:r w:rsidRPr="007C24E8">
        <w:tab/>
      </w:r>
      <w:r w:rsidR="009B1F20" w:rsidRPr="007C24E8">
        <w:t xml:space="preserve">Proposition </w:t>
      </w:r>
      <w:r w:rsidRPr="007C24E8">
        <w:t>d’amendement au chapitre 1.2 du RID/ADR</w:t>
      </w:r>
    </w:p>
    <w:p w14:paraId="76862A67"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ECE/TRANS/WP.15/AC.1/2020/13 (Portugal)</w:t>
      </w:r>
      <w:r w:rsidR="009B1F20" w:rsidRPr="007C24E8">
        <w:t>.</w:t>
      </w:r>
    </w:p>
    <w:bookmarkEnd w:id="3"/>
    <w:p w14:paraId="1415985F" w14:textId="77777777" w:rsidR="005E3367" w:rsidRPr="007C24E8" w:rsidRDefault="005E3367" w:rsidP="009B1F20">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INF.5 (Portugal)</w:t>
      </w:r>
      <w:r w:rsidR="009B1F20" w:rsidRPr="007C24E8">
        <w:t>.</w:t>
      </w:r>
    </w:p>
    <w:p w14:paraId="1B833E2B" w14:textId="77777777" w:rsidR="005E3367" w:rsidRPr="007C24E8" w:rsidRDefault="005E3367" w:rsidP="005E3367">
      <w:pPr>
        <w:pStyle w:val="SingleTxtG"/>
      </w:pPr>
      <w:r w:rsidRPr="007C24E8">
        <w:t>25.</w:t>
      </w:r>
      <w:r w:rsidRPr="007C24E8">
        <w:tab/>
        <w:t>La Réunion commune a adopté dans le principe la liste des abréviations proposée par le Portugal au point 1.2.3 du document ECE/TRANS/WP.15/AC.1/2020/13, mais a préféré maintenir le texte entre crochets (voir l’</w:t>
      </w:r>
      <w:r w:rsidR="009B1F20" w:rsidRPr="007C24E8">
        <w:t xml:space="preserve">annexe </w:t>
      </w:r>
      <w:r w:rsidRPr="007C24E8">
        <w:t xml:space="preserve">II). Les représentants ont été invités à vérifier le texte du document officiel par rapport à celui du document </w:t>
      </w:r>
      <w:r w:rsidR="009B1F20" w:rsidRPr="007C24E8">
        <w:t xml:space="preserve">informel </w:t>
      </w:r>
      <w:r w:rsidRPr="007C24E8">
        <w:t>INF.5 et à communiquer les éventuels éléments manquants au représentant du Portugal, qui s’est porté volontaire pour établir un autre document en vue de la prochaine session de la Réunion commune, en mars 2021.</w:t>
      </w:r>
    </w:p>
    <w:p w14:paraId="14F4C04E" w14:textId="77777777" w:rsidR="005E3367" w:rsidRPr="007C24E8" w:rsidRDefault="009B1F20" w:rsidP="009B1F20">
      <w:pPr>
        <w:pStyle w:val="H23G"/>
      </w:pPr>
      <w:r w:rsidRPr="007C24E8">
        <w:tab/>
      </w:r>
      <w:r w:rsidR="005E3367" w:rsidRPr="007C24E8">
        <w:t>3.</w:t>
      </w:r>
      <w:r w:rsidR="005E3367" w:rsidRPr="007C24E8">
        <w:tab/>
        <w:t xml:space="preserve">Délai d’utilisation des emballages en plastique pour les déchets médicaux du numéro </w:t>
      </w:r>
      <w:r w:rsidR="007C24E8">
        <w:t>ONU </w:t>
      </w:r>
      <w:r w:rsidR="005E3367" w:rsidRPr="007C24E8">
        <w:t>3549</w:t>
      </w:r>
    </w:p>
    <w:p w14:paraId="0C822B28"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ECE/TRANS/WP.15/AC.1/2020/21 (Suisse)</w:t>
      </w:r>
      <w:r w:rsidR="009B1F20" w:rsidRPr="007C24E8">
        <w:t>.</w:t>
      </w:r>
    </w:p>
    <w:p w14:paraId="78BE678F" w14:textId="77777777" w:rsidR="005E3367" w:rsidRPr="007C24E8" w:rsidRDefault="005E3367" w:rsidP="005E3367">
      <w:pPr>
        <w:pStyle w:val="SingleTxtG"/>
      </w:pPr>
      <w:r w:rsidRPr="007C24E8">
        <w:t>26.</w:t>
      </w:r>
      <w:r w:rsidRPr="007C24E8">
        <w:tab/>
        <w:t>Après un échange de vues au sein de la Réunion commune sur le document ECE/TRANS/WP.15/AC.1/2020/21, le représentant de la Suisse s’est porté volontaire pour soumettre au besoin, au Sous-Comité d’experts du transport des marchandises dangereuses</w:t>
      </w:r>
      <w:r w:rsidR="00FA456F" w:rsidRPr="007C24E8">
        <w:t>,</w:t>
      </w:r>
      <w:r w:rsidRPr="007C24E8">
        <w:t xml:space="preserve"> un document tenant compte des observations reçues.</w:t>
      </w:r>
    </w:p>
    <w:p w14:paraId="3B97C479" w14:textId="77777777" w:rsidR="005E3367" w:rsidRPr="007C24E8" w:rsidRDefault="005E3367" w:rsidP="009B1F20">
      <w:pPr>
        <w:pStyle w:val="H23G"/>
      </w:pPr>
      <w:r w:rsidRPr="007C24E8">
        <w:tab/>
        <w:t>4.</w:t>
      </w:r>
      <w:r w:rsidRPr="007C24E8">
        <w:tab/>
        <w:t>Prescriptions applicables aux engins de transport structurellement propres à l’emploi</w:t>
      </w:r>
    </w:p>
    <w:p w14:paraId="4859229C" w14:textId="77777777" w:rsidR="005E3367" w:rsidRPr="007C24E8" w:rsidRDefault="005E3367" w:rsidP="005E3367">
      <w:pPr>
        <w:pStyle w:val="SingleTxtG"/>
        <w:ind w:left="3402" w:hanging="2268"/>
        <w:jc w:val="left"/>
      </w:pPr>
      <w:r w:rsidRPr="007C24E8">
        <w:rPr>
          <w:i/>
        </w:rPr>
        <w:t>Document</w:t>
      </w:r>
      <w:r w:rsidR="004E3C2D" w:rsidRPr="007C24E8">
        <w:t> :</w:t>
      </w:r>
      <w:r w:rsidRPr="007C24E8">
        <w:tab/>
        <w:t>ECE/TRANS/WP.15/AC.1/2020/24 (CEFIC)</w:t>
      </w:r>
      <w:r w:rsidR="009B1F20" w:rsidRPr="007C24E8">
        <w:t>.</w:t>
      </w:r>
    </w:p>
    <w:p w14:paraId="1E918D8C" w14:textId="77777777" w:rsidR="005E3367" w:rsidRPr="007C24E8" w:rsidRDefault="005E3367" w:rsidP="005E3367">
      <w:pPr>
        <w:pStyle w:val="SingleTxtG"/>
      </w:pPr>
      <w:r w:rsidRPr="007C24E8">
        <w:t>27.</w:t>
      </w:r>
      <w:r w:rsidRPr="007C24E8">
        <w:tab/>
        <w:t xml:space="preserve">La Réunion commune a commenté la </w:t>
      </w:r>
      <w:r w:rsidR="009B1F20" w:rsidRPr="007C24E8">
        <w:t xml:space="preserve">proposition </w:t>
      </w:r>
      <w:r w:rsidRPr="007C24E8">
        <w:t xml:space="preserve">du CEFIC. Le représentant du CEFIC a suggéré de l’étoffer et de soumettre une </w:t>
      </w:r>
      <w:r w:rsidR="009B1F20" w:rsidRPr="007C24E8">
        <w:t xml:space="preserve">proposition </w:t>
      </w:r>
      <w:r w:rsidRPr="007C24E8">
        <w:t>révisée à la prochaine réunion du Groupe de travail spécial de l’harmonisation des Règlements RID/ADR/ADN avec les Recommandations de l’</w:t>
      </w:r>
      <w:r w:rsidR="007C24E8">
        <w:t>ONU </w:t>
      </w:r>
      <w:r w:rsidRPr="007C24E8">
        <w:t>relatives au transport des marchandises dangereuses, en avril 2021, ou à la session d’automne 2021 de la Réunion commune.</w:t>
      </w:r>
    </w:p>
    <w:p w14:paraId="50EFE34A" w14:textId="77777777" w:rsidR="005E3367" w:rsidRPr="007C24E8" w:rsidRDefault="009B1F20" w:rsidP="009B1F20">
      <w:pPr>
        <w:pStyle w:val="H23G"/>
      </w:pPr>
      <w:r w:rsidRPr="007C24E8">
        <w:tab/>
      </w:r>
      <w:r w:rsidR="005E3367" w:rsidRPr="007C24E8">
        <w:t>5.</w:t>
      </w:r>
      <w:r w:rsidR="005E3367" w:rsidRPr="007C24E8">
        <w:tab/>
        <w:t>Transport d’ENGRAIS EN SOLUTION contenant de l’ammoniac non combiné (</w:t>
      </w:r>
      <w:r w:rsidR="007C24E8">
        <w:t>ONU </w:t>
      </w:r>
      <w:r w:rsidR="005E3367" w:rsidRPr="007C24E8">
        <w:t>1043)</w:t>
      </w:r>
    </w:p>
    <w:p w14:paraId="1DEF66E6"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ECE/TRANS/WP.15/AC.1/2020/36 (</w:t>
      </w:r>
      <w:bookmarkStart w:id="4" w:name="_Hlk55813489"/>
      <w:r w:rsidRPr="007C24E8">
        <w:t>Espagne</w:t>
      </w:r>
      <w:bookmarkEnd w:id="4"/>
      <w:r w:rsidRPr="007C24E8">
        <w:t>)</w:t>
      </w:r>
      <w:r w:rsidR="009B1F20" w:rsidRPr="007C24E8">
        <w:t>.</w:t>
      </w:r>
    </w:p>
    <w:p w14:paraId="044B574E" w14:textId="77777777" w:rsidR="005E3367" w:rsidRPr="007C24E8" w:rsidRDefault="005E3367" w:rsidP="00FA456F">
      <w:pPr>
        <w:pStyle w:val="SingleTxtG"/>
      </w:pPr>
      <w:r w:rsidRPr="007C24E8">
        <w:t>28.</w:t>
      </w:r>
      <w:r w:rsidRPr="007C24E8">
        <w:tab/>
        <w:t xml:space="preserve">La Réunion commune a adopté les amendements proposés aux </w:t>
      </w:r>
      <w:r w:rsidR="009B1F20" w:rsidRPr="007C24E8">
        <w:t xml:space="preserve">paragraphes </w:t>
      </w:r>
      <w:r w:rsidRPr="007C24E8">
        <w:t xml:space="preserve">14 et 15 du document ECE/TRANS/WP.15/AC.1/2020/36, ainsi que l’option d’introduire le code de classification </w:t>
      </w:r>
      <w:r w:rsidR="009B1F20" w:rsidRPr="007C24E8">
        <w:t>« </w:t>
      </w:r>
      <w:r w:rsidRPr="007C24E8">
        <w:t>4A</w:t>
      </w:r>
      <w:r w:rsidR="009B1F20" w:rsidRPr="007C24E8">
        <w:t> »</w:t>
      </w:r>
      <w:r w:rsidRPr="007C24E8">
        <w:t xml:space="preserve"> pour le RID, proposée au </w:t>
      </w:r>
      <w:r w:rsidR="009B1F20" w:rsidRPr="007C24E8">
        <w:t xml:space="preserve">paragraphe </w:t>
      </w:r>
      <w:r w:rsidRPr="007C24E8">
        <w:t>16 (voir l’</w:t>
      </w:r>
      <w:r w:rsidR="009B1F20" w:rsidRPr="007C24E8">
        <w:t xml:space="preserve">annexe </w:t>
      </w:r>
      <w:r w:rsidRPr="007C24E8">
        <w:t>II).</w:t>
      </w:r>
      <w:r w:rsidR="00FA456F" w:rsidRPr="007C24E8">
        <w:t xml:space="preserve"> </w:t>
      </w:r>
      <w:r w:rsidRPr="007C24E8">
        <w:t xml:space="preserve">La </w:t>
      </w:r>
      <w:r w:rsidR="009B1F20" w:rsidRPr="007C24E8">
        <w:t xml:space="preserve">proposition </w:t>
      </w:r>
      <w:r w:rsidRPr="007C24E8">
        <w:t xml:space="preserve">figurant au </w:t>
      </w:r>
      <w:r w:rsidR="009B1F20" w:rsidRPr="007C24E8">
        <w:t xml:space="preserve">paragraphe </w:t>
      </w:r>
      <w:r w:rsidRPr="007C24E8">
        <w:t>17 a également été approuvée, mais la Réunion commune a préféré garder le texte entre crochets pour laisser au Comité d’administration de l’ADN le soin de prendre une décision au sujet des amendements proposés. Le secrétariat a été prié d’en informer le Comité d’administration de l’ADN.</w:t>
      </w:r>
    </w:p>
    <w:p w14:paraId="59610554" w14:textId="77777777" w:rsidR="005E3367" w:rsidRPr="007C24E8" w:rsidRDefault="005E3367" w:rsidP="009B1F20">
      <w:pPr>
        <w:pStyle w:val="H23G"/>
      </w:pPr>
      <w:r w:rsidRPr="007C24E8">
        <w:tab/>
        <w:t>6.</w:t>
      </w:r>
      <w:r w:rsidRPr="007C24E8">
        <w:tab/>
        <w:t xml:space="preserve">Nom et description pour la rubrique </w:t>
      </w:r>
      <w:r w:rsidR="007C24E8">
        <w:t>ONU </w:t>
      </w:r>
      <w:r w:rsidRPr="007C24E8">
        <w:t>1345 CHUTES DE CAOUTCHOUC ou DÉCHETS DE CAOUTCHOUC, sous forme de poudre ou de grains</w:t>
      </w:r>
    </w:p>
    <w:p w14:paraId="7A1657FB"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ECE/TRANS/WP.15/AC.1/2020/37 (Espagne)</w:t>
      </w:r>
      <w:r w:rsidR="009B1F20" w:rsidRPr="007C24E8">
        <w:t>.</w:t>
      </w:r>
    </w:p>
    <w:p w14:paraId="463A2AAD" w14:textId="77777777" w:rsidR="005E3367" w:rsidRPr="007C24E8" w:rsidRDefault="005E3367" w:rsidP="009B1F20">
      <w:pPr>
        <w:pStyle w:val="SingleTxtG"/>
      </w:pPr>
      <w:r w:rsidRPr="007C24E8">
        <w:t>29.</w:t>
      </w:r>
      <w:r w:rsidRPr="007C24E8">
        <w:tab/>
        <w:t xml:space="preserve">La Réunion commune a adopté les amendements présentés dans la </w:t>
      </w:r>
      <w:r w:rsidR="009B1F20" w:rsidRPr="007C24E8">
        <w:t xml:space="preserve">proposition </w:t>
      </w:r>
      <w:r w:rsidRPr="007C24E8">
        <w:t xml:space="preserve">1, visant à modifier le nom et la description du numéro </w:t>
      </w:r>
      <w:r w:rsidR="007C24E8">
        <w:t>ONU </w:t>
      </w:r>
      <w:r w:rsidRPr="007C24E8">
        <w:t>1345 (voir l’</w:t>
      </w:r>
      <w:r w:rsidR="009B1F20" w:rsidRPr="007C24E8">
        <w:t xml:space="preserve">annexe </w:t>
      </w:r>
      <w:r w:rsidRPr="007C24E8">
        <w:t>II).</w:t>
      </w:r>
    </w:p>
    <w:p w14:paraId="4083F74E" w14:textId="77777777" w:rsidR="005E3367" w:rsidRPr="007C24E8" w:rsidRDefault="005E3367" w:rsidP="009B1F20">
      <w:pPr>
        <w:pStyle w:val="H23G"/>
      </w:pPr>
      <w:r w:rsidRPr="007C24E8">
        <w:tab/>
        <w:t>7.</w:t>
      </w:r>
      <w:r w:rsidRPr="007C24E8">
        <w:tab/>
        <w:t xml:space="preserve">Nom et description pour la rubrique </w:t>
      </w:r>
      <w:r w:rsidR="007C24E8">
        <w:t>ONU </w:t>
      </w:r>
      <w:r w:rsidRPr="007C24E8">
        <w:t>2015 PEROXYDE D’HYDROGÈNE STABILISÉ ou PEROXYDE D’HYDROGÈNE EN SOLUTION AQUEUSE STABILISÉE contenant plus de 60</w:t>
      </w:r>
      <w:r w:rsidR="00D0087F" w:rsidRPr="007C24E8">
        <w:t> </w:t>
      </w:r>
      <w:r w:rsidRPr="007C24E8">
        <w:t>% de peroxyde d’hydrogène</w:t>
      </w:r>
    </w:p>
    <w:p w14:paraId="21B3379D"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ECE/TRANS/WP.15/AC.1/2020/39 (Espagne)</w:t>
      </w:r>
      <w:r w:rsidR="009B1F20" w:rsidRPr="007C24E8">
        <w:t>.</w:t>
      </w:r>
    </w:p>
    <w:p w14:paraId="7369586D" w14:textId="77777777" w:rsidR="005E3367" w:rsidRPr="007C24E8" w:rsidRDefault="005E3367" w:rsidP="009B1F20">
      <w:pPr>
        <w:pStyle w:val="SingleTxtG"/>
      </w:pPr>
      <w:r w:rsidRPr="007C24E8">
        <w:t>30.</w:t>
      </w:r>
      <w:r w:rsidRPr="007C24E8">
        <w:tab/>
        <w:t>La Réunion commune a adopté les amendements proposés (voir l’</w:t>
      </w:r>
      <w:r w:rsidR="009B1F20" w:rsidRPr="007C24E8">
        <w:t xml:space="preserve">annexe </w:t>
      </w:r>
      <w:r w:rsidRPr="007C24E8">
        <w:t>II).</w:t>
      </w:r>
    </w:p>
    <w:p w14:paraId="2B7237FF" w14:textId="77777777" w:rsidR="005E3367" w:rsidRPr="007C24E8" w:rsidRDefault="005E3367" w:rsidP="009B1F20">
      <w:pPr>
        <w:pStyle w:val="H23G"/>
      </w:pPr>
      <w:r w:rsidRPr="007C24E8">
        <w:tab/>
        <w:t>8.</w:t>
      </w:r>
      <w:r w:rsidRPr="007C24E8">
        <w:tab/>
        <w:t>Harmonisation de la disposition spéciale 593 avec la section 5.5.3</w:t>
      </w:r>
    </w:p>
    <w:p w14:paraId="57DB08C7" w14:textId="77777777" w:rsidR="005E3367" w:rsidRPr="007C24E8" w:rsidRDefault="005E3367" w:rsidP="002B35FC">
      <w:pPr>
        <w:pStyle w:val="SingleTxtG"/>
        <w:keepNext/>
        <w:ind w:left="3402" w:hanging="2268"/>
        <w:jc w:val="left"/>
      </w:pPr>
      <w:r w:rsidRPr="007C24E8">
        <w:rPr>
          <w:i/>
        </w:rPr>
        <w:t>Document</w:t>
      </w:r>
      <w:r w:rsidR="004E3C2D" w:rsidRPr="007C24E8">
        <w:t> :</w:t>
      </w:r>
      <w:r w:rsidRPr="007C24E8">
        <w:tab/>
        <w:t>ECE/TRANS/WP.15/AC.1/2020/40 (Espagne)</w:t>
      </w:r>
      <w:r w:rsidR="009B1F20" w:rsidRPr="007C24E8">
        <w:t>.</w:t>
      </w:r>
    </w:p>
    <w:p w14:paraId="08EC9DA7" w14:textId="77777777" w:rsidR="005E3367" w:rsidRPr="007C24E8" w:rsidRDefault="005E3367" w:rsidP="009B1F20">
      <w:pPr>
        <w:pStyle w:val="SingleTxtG"/>
      </w:pPr>
      <w:r w:rsidRPr="007C24E8">
        <w:t>31.</w:t>
      </w:r>
      <w:r w:rsidRPr="007C24E8">
        <w:tab/>
        <w:t xml:space="preserve">Après un échange de vues, la Réunion commune a pris acte de la complexité du point 5.5.3 et de la disposition spéciale 593, et a invité la représentante de l’Espagne à élaborer en vue de la prochaine session de la Réunion commune une </w:t>
      </w:r>
      <w:r w:rsidR="009B1F20" w:rsidRPr="007C24E8">
        <w:t xml:space="preserve">proposition </w:t>
      </w:r>
      <w:r w:rsidRPr="007C24E8">
        <w:t>révisée tenant compte des observations reçues.</w:t>
      </w:r>
    </w:p>
    <w:p w14:paraId="7868BD99" w14:textId="77777777" w:rsidR="005E3367" w:rsidRPr="007C24E8" w:rsidRDefault="005E3367" w:rsidP="009B1F20">
      <w:pPr>
        <w:pStyle w:val="H23G"/>
      </w:pPr>
      <w:r w:rsidRPr="007C24E8">
        <w:tab/>
        <w:t>9.</w:t>
      </w:r>
      <w:r w:rsidRPr="007C24E8">
        <w:tab/>
        <w:t xml:space="preserve">Nom et description des numéros </w:t>
      </w:r>
      <w:r w:rsidR="007C24E8">
        <w:t>ONU </w:t>
      </w:r>
      <w:r w:rsidRPr="007C24E8">
        <w:t>dans le Règlement type et dans le RID et l’ADR</w:t>
      </w:r>
      <w:r w:rsidR="004E3C2D" w:rsidRPr="007C24E8">
        <w:t> :</w:t>
      </w:r>
      <w:r w:rsidRPr="007C24E8">
        <w:t xml:space="preserve"> numéro </w:t>
      </w:r>
      <w:r w:rsidR="007C24E8">
        <w:t>ONU </w:t>
      </w:r>
      <w:r w:rsidRPr="007C24E8">
        <w:t>2426, nitrate d’ammonium</w:t>
      </w:r>
    </w:p>
    <w:p w14:paraId="653E7DAE"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ECE/TRANS/WP.15/AC.1/2020/41 (Espagne)</w:t>
      </w:r>
      <w:r w:rsidR="009B1F20" w:rsidRPr="007C24E8">
        <w:t>.</w:t>
      </w:r>
    </w:p>
    <w:p w14:paraId="29687A04" w14:textId="77777777" w:rsidR="005E3367" w:rsidRPr="007C24E8" w:rsidRDefault="005E3367" w:rsidP="005E3367">
      <w:pPr>
        <w:pStyle w:val="SingleTxtG"/>
      </w:pPr>
      <w:r w:rsidRPr="007C24E8">
        <w:t>32.</w:t>
      </w:r>
      <w:r w:rsidRPr="007C24E8">
        <w:tab/>
        <w:t xml:space="preserve">Ce document a suscité plusieurs observations et a soulevé des préoccupations. La représentante de l’Espagne a dit qu’elle comptait étoffer sa </w:t>
      </w:r>
      <w:r w:rsidR="009B1F20" w:rsidRPr="007C24E8">
        <w:t xml:space="preserve">proposition </w:t>
      </w:r>
      <w:r w:rsidRPr="007C24E8">
        <w:t>en vue de la soumettre à la prochaine session de la Réunion commune.</w:t>
      </w:r>
    </w:p>
    <w:p w14:paraId="281DC452" w14:textId="77777777" w:rsidR="005E3367" w:rsidRPr="007C24E8" w:rsidRDefault="005E3367" w:rsidP="009B1F20">
      <w:pPr>
        <w:pStyle w:val="H23G"/>
      </w:pPr>
      <w:r w:rsidRPr="007C24E8">
        <w:tab/>
        <w:t>10.</w:t>
      </w:r>
      <w:r w:rsidRPr="007C24E8">
        <w:tab/>
        <w:t xml:space="preserve">Classification du numéro </w:t>
      </w:r>
      <w:r w:rsidR="007C24E8">
        <w:t>ONU </w:t>
      </w:r>
      <w:r w:rsidRPr="007C24E8">
        <w:t>1872 (DIOXYDE DE PLOMB)</w:t>
      </w:r>
    </w:p>
    <w:p w14:paraId="1901419A"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ECE/TRANS/WP.15/AC.1/2020/53 (</w:t>
      </w:r>
      <w:bookmarkStart w:id="5" w:name="_Hlk55813593"/>
      <w:r w:rsidRPr="007C24E8">
        <w:t>Allemagne</w:t>
      </w:r>
      <w:bookmarkEnd w:id="5"/>
      <w:r w:rsidRPr="007C24E8">
        <w:t>)</w:t>
      </w:r>
      <w:r w:rsidR="009B1F20" w:rsidRPr="007C24E8">
        <w:t>.</w:t>
      </w:r>
    </w:p>
    <w:p w14:paraId="603E732E" w14:textId="77777777" w:rsidR="005E3367" w:rsidRPr="007C24E8" w:rsidRDefault="005E3367" w:rsidP="005E3367">
      <w:pPr>
        <w:pStyle w:val="SingleTxtG"/>
      </w:pPr>
      <w:r w:rsidRPr="007C24E8">
        <w:t>33.</w:t>
      </w:r>
      <w:r w:rsidRPr="007C24E8">
        <w:tab/>
        <w:t xml:space="preserve">La Réunion commune a adopté les amendements proposés pour harmoniser la classification du numéro </w:t>
      </w:r>
      <w:r w:rsidR="007C24E8">
        <w:t>ONU </w:t>
      </w:r>
      <w:r w:rsidRPr="007C24E8">
        <w:t>1872 dans le chapitre</w:t>
      </w:r>
      <w:r w:rsidR="009B1F20" w:rsidRPr="007C24E8">
        <w:t xml:space="preserve"> </w:t>
      </w:r>
      <w:r w:rsidRPr="007C24E8">
        <w:t>3.2 du RID/ADR/ADN, le</w:t>
      </w:r>
      <w:r w:rsidR="000F4772" w:rsidRPr="007C24E8">
        <w:t xml:space="preserve"> </w:t>
      </w:r>
      <w:r w:rsidRPr="007C24E8">
        <w:t>Règlement type de l’</w:t>
      </w:r>
      <w:r w:rsidR="007C24E8">
        <w:t>ONU </w:t>
      </w:r>
      <w:r w:rsidRPr="007C24E8">
        <w:t>et le Code IMDG (voir l’</w:t>
      </w:r>
      <w:r w:rsidR="009B1F20" w:rsidRPr="007C24E8">
        <w:t xml:space="preserve">annexe </w:t>
      </w:r>
      <w:r w:rsidRPr="007C24E8">
        <w:t>II). Le représentant de l’Allemagne a ajouté qu’un autre amendement s’imposait pour la disposition spéciale</w:t>
      </w:r>
      <w:r w:rsidR="009B1F20" w:rsidRPr="007C24E8">
        <w:t xml:space="preserve"> </w:t>
      </w:r>
      <w:r w:rsidRPr="007C24E8">
        <w:t xml:space="preserve">802 de l’ADN et s’est porté volontaire pour soumettre au Comité de sécurité de l’ADN une </w:t>
      </w:r>
      <w:r w:rsidR="009B1F20" w:rsidRPr="007C24E8">
        <w:t xml:space="preserve">proposition </w:t>
      </w:r>
      <w:r w:rsidRPr="007C24E8">
        <w:t>à cet effet.</w:t>
      </w:r>
    </w:p>
    <w:p w14:paraId="56D59B6E" w14:textId="77777777" w:rsidR="005E3367" w:rsidRPr="007C24E8" w:rsidRDefault="005E3367" w:rsidP="009B1F20">
      <w:pPr>
        <w:pStyle w:val="H1G"/>
      </w:pPr>
      <w:r w:rsidRPr="007C24E8">
        <w:tab/>
        <w:t>B.</w:t>
      </w:r>
      <w:r w:rsidRPr="007C24E8">
        <w:tab/>
        <w:t>Nouvelles propositions</w:t>
      </w:r>
    </w:p>
    <w:p w14:paraId="5BB89E21" w14:textId="77777777" w:rsidR="005E3367" w:rsidRPr="007C24E8" w:rsidRDefault="005E3367" w:rsidP="009B1F20">
      <w:pPr>
        <w:pStyle w:val="H23G"/>
      </w:pPr>
      <w:r w:rsidRPr="007C24E8">
        <w:tab/>
        <w:t>1.</w:t>
      </w:r>
      <w:r w:rsidRPr="007C24E8">
        <w:tab/>
      </w:r>
      <w:r w:rsidR="009B1F20" w:rsidRPr="007C24E8">
        <w:t xml:space="preserve">Paragraphe </w:t>
      </w:r>
      <w:r w:rsidRPr="007C24E8">
        <w:t xml:space="preserve">4.1.6.15 du RID/ADR </w:t>
      </w:r>
      <w:r w:rsidR="009B1F20" w:rsidRPr="007C24E8">
        <w:t>−</w:t>
      </w:r>
      <w:r w:rsidRPr="007C24E8">
        <w:t xml:space="preserve"> normes applicables aux dispositifs de protection des robinets</w:t>
      </w:r>
    </w:p>
    <w:p w14:paraId="549749A7" w14:textId="77777777" w:rsidR="005E3367" w:rsidRPr="007C24E8" w:rsidRDefault="005E3367" w:rsidP="009B1F20">
      <w:pPr>
        <w:pStyle w:val="SingleTxtG"/>
        <w:keepNext/>
        <w:ind w:left="3402" w:hanging="2268"/>
        <w:jc w:val="left"/>
      </w:pPr>
      <w:r w:rsidRPr="007C24E8">
        <w:rPr>
          <w:i/>
        </w:rPr>
        <w:t>Documents</w:t>
      </w:r>
      <w:r w:rsidR="004E3C2D" w:rsidRPr="007C24E8">
        <w:t> :</w:t>
      </w:r>
      <w:r w:rsidRPr="007C24E8">
        <w:tab/>
        <w:t>ECE/TRANS/WP.15/AC.1/2020/4 (Allemagne)</w:t>
      </w:r>
      <w:r w:rsidRPr="007C24E8">
        <w:br/>
        <w:t>ECE/TRANS/WP.15/AC.1/2020/46 (CEN)</w:t>
      </w:r>
      <w:r w:rsidR="009B1F20" w:rsidRPr="007C24E8">
        <w:t>.</w:t>
      </w:r>
    </w:p>
    <w:p w14:paraId="4AF17A90" w14:textId="77777777" w:rsidR="005E3367" w:rsidRPr="007C24E8" w:rsidRDefault="005E3367" w:rsidP="005E3367">
      <w:pPr>
        <w:pStyle w:val="SingleTxtG"/>
      </w:pPr>
      <w:r w:rsidRPr="007C24E8">
        <w:t>34.</w:t>
      </w:r>
      <w:r w:rsidRPr="007C24E8">
        <w:tab/>
        <w:t xml:space="preserve">Le représentant de l’Allemagne a retiré le document ECE/TRANS/WP.15/ AC.1/2020/4. S’agissant des tableaux proposés dans le document ECE/TRANS/WP.15/ AC.1/2020/46, le représentant de l’EIGA a constaté que les normes relatives aux collerettes faisaient toujours défaut et s’est porté volontaire pour élaborer une </w:t>
      </w:r>
      <w:r w:rsidR="009B1F20" w:rsidRPr="007C24E8">
        <w:t xml:space="preserve">proposition </w:t>
      </w:r>
      <w:r w:rsidRPr="007C24E8">
        <w:t xml:space="preserve">en vue de la prochaine session. La Réunion commune a adopté la </w:t>
      </w:r>
      <w:r w:rsidR="009B1F20" w:rsidRPr="007C24E8">
        <w:t xml:space="preserve">proposition </w:t>
      </w:r>
      <w:r w:rsidRPr="007C24E8">
        <w:t>du CEN (voir l’</w:t>
      </w:r>
      <w:r w:rsidR="009B1F20" w:rsidRPr="007C24E8">
        <w:t xml:space="preserve">annexe </w:t>
      </w:r>
      <w:r w:rsidRPr="007C24E8">
        <w:t>II) moyennant un changement de la date limite d’application pour la norme EN ISO 11117</w:t>
      </w:r>
      <w:r w:rsidR="009B1F20" w:rsidRPr="007C24E8">
        <w:t>:</w:t>
      </w:r>
      <w:r w:rsidRPr="007C24E8">
        <w:t>2018 et Cor 1</w:t>
      </w:r>
      <w:r w:rsidR="009B1F20" w:rsidRPr="007C24E8">
        <w:t>:</w:t>
      </w:r>
      <w:r w:rsidRPr="007C24E8">
        <w:t xml:space="preserve">2009. Il a été demandé au secrétariat de corriger les traductions française et allemande du mot </w:t>
      </w:r>
      <w:r w:rsidR="009B1F20" w:rsidRPr="007C24E8">
        <w:t>« </w:t>
      </w:r>
      <w:r w:rsidRPr="007C24E8">
        <w:t>clause</w:t>
      </w:r>
      <w:r w:rsidR="009B1F20" w:rsidRPr="007C24E8">
        <w:t> »</w:t>
      </w:r>
      <w:r w:rsidRPr="007C24E8">
        <w:t>.</w:t>
      </w:r>
    </w:p>
    <w:p w14:paraId="2CF7B98F" w14:textId="77777777" w:rsidR="005E3367" w:rsidRPr="007C24E8" w:rsidRDefault="005E3367" w:rsidP="009B1F20">
      <w:pPr>
        <w:pStyle w:val="H23G"/>
      </w:pPr>
      <w:r w:rsidRPr="007C24E8">
        <w:tab/>
        <w:t>2.</w:t>
      </w:r>
      <w:r w:rsidRPr="007C24E8">
        <w:tab/>
        <w:t>Formation de recyclage en ligne pour les conducteurs transportant des marchandises dangereuses</w:t>
      </w:r>
    </w:p>
    <w:p w14:paraId="36967539"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ECE/TRANS/WP.15/AC.1/2020/8 (IRU)</w:t>
      </w:r>
      <w:r w:rsidR="009B1F20" w:rsidRPr="007C24E8">
        <w:t>.</w:t>
      </w:r>
    </w:p>
    <w:p w14:paraId="451BD01E" w14:textId="77777777" w:rsidR="005E3367" w:rsidRPr="007C24E8" w:rsidRDefault="005E3367" w:rsidP="005E3367">
      <w:pPr>
        <w:pStyle w:val="SingleTxtG"/>
      </w:pPr>
      <w:r w:rsidRPr="007C24E8">
        <w:t>35.</w:t>
      </w:r>
      <w:r w:rsidRPr="007C24E8">
        <w:tab/>
        <w:t xml:space="preserve">Ce document a suscité plusieurs observations. La </w:t>
      </w:r>
      <w:r w:rsidR="009B1F20" w:rsidRPr="007C24E8">
        <w:t xml:space="preserve">proposition </w:t>
      </w:r>
      <w:r w:rsidRPr="007C24E8">
        <w:t xml:space="preserve">de l’IRU a reçu un appui général quant aux principes, mais la plupart des délégations qui ont pris la parole ont estimé qu’il était trop tôt pour adopter le document. La Réunion commune a recommandé de mettre sur pied un groupe de travail </w:t>
      </w:r>
      <w:r w:rsidR="009B1F20" w:rsidRPr="007C24E8">
        <w:t xml:space="preserve">informel </w:t>
      </w:r>
      <w:r w:rsidRPr="007C24E8">
        <w:t xml:space="preserve">chargé d’élaborer davantage la </w:t>
      </w:r>
      <w:r w:rsidR="009B1F20" w:rsidRPr="007C24E8">
        <w:t xml:space="preserve">proposition </w:t>
      </w:r>
      <w:r w:rsidRPr="007C24E8">
        <w:t>et a prié le représentant de l’IRU d’établir le projet de mandat de ce groupe pour examen et décision à la session de mars</w:t>
      </w:r>
      <w:r w:rsidR="009B1F20" w:rsidRPr="007C24E8">
        <w:t xml:space="preserve"> </w:t>
      </w:r>
      <w:r w:rsidRPr="007C24E8">
        <w:t>2021. Tous les représentants intéressés par la question ont été invités à contacter le représentant de l’IRU.</w:t>
      </w:r>
    </w:p>
    <w:p w14:paraId="570BE284" w14:textId="77777777" w:rsidR="005E3367" w:rsidRPr="007C24E8" w:rsidRDefault="005E3367" w:rsidP="009B1F20">
      <w:pPr>
        <w:pStyle w:val="H23G"/>
      </w:pPr>
      <w:r w:rsidRPr="007C24E8">
        <w:tab/>
        <w:t>3.</w:t>
      </w:r>
      <w:r w:rsidRPr="007C24E8">
        <w:tab/>
        <w:t>Périodicité des épreuves pour les véhicules-batteries remplis conformément à</w:t>
      </w:r>
      <w:r w:rsidR="009B1F20" w:rsidRPr="007C24E8">
        <w:t> </w:t>
      </w:r>
      <w:r w:rsidRPr="007C24E8">
        <w:t>l’instruction d’emballage P200</w:t>
      </w:r>
    </w:p>
    <w:p w14:paraId="7DFDD710" w14:textId="77777777" w:rsidR="005E3367" w:rsidRPr="007C24E8" w:rsidRDefault="005E3367" w:rsidP="009B1F20">
      <w:pPr>
        <w:pStyle w:val="SingleTxtG"/>
        <w:keepNext/>
        <w:ind w:left="3402" w:hanging="2268"/>
        <w:jc w:val="left"/>
      </w:pPr>
      <w:r w:rsidRPr="007C24E8">
        <w:rPr>
          <w:i/>
        </w:rPr>
        <w:t>Documents</w:t>
      </w:r>
      <w:r w:rsidR="004E3C2D" w:rsidRPr="007C24E8">
        <w:t> :</w:t>
      </w:r>
      <w:r w:rsidRPr="007C24E8">
        <w:tab/>
        <w:t>ECE/TRANS/WP.15/AC.1/2020/9 (EIGA)</w:t>
      </w:r>
      <w:r w:rsidRPr="007C24E8">
        <w:br/>
        <w:t>ECE/TRANS/WP.15/AC.1/2020/50 (ECMA)</w:t>
      </w:r>
      <w:r w:rsidR="009B1F20" w:rsidRPr="007C24E8">
        <w:t>.</w:t>
      </w:r>
    </w:p>
    <w:p w14:paraId="0E307D59" w14:textId="77777777" w:rsidR="005E3367" w:rsidRPr="007C24E8" w:rsidRDefault="005E3367" w:rsidP="005E3367">
      <w:pPr>
        <w:pStyle w:val="SingleTxtG"/>
      </w:pPr>
      <w:r w:rsidRPr="007C24E8">
        <w:t>36.</w:t>
      </w:r>
      <w:r w:rsidRPr="007C24E8">
        <w:tab/>
        <w:t xml:space="preserve">La plupart des délégations qui ont pris la parole ont estimé que la </w:t>
      </w:r>
      <w:r w:rsidR="009B1F20" w:rsidRPr="007C24E8">
        <w:t xml:space="preserve">proposition </w:t>
      </w:r>
      <w:r w:rsidRPr="007C24E8">
        <w:t xml:space="preserve">de l’EIGA demandait un travail supplémentaire. Elles ont jugé qu’il était trop tôt pour décider de prolonger l’intervalle entre les épreuves pour les véhicules-batteries, et qu’il était nécessaire pour cela de disposer de davantage de données. La Réunion commune a recommandé de mettre sur pied un autre groupe de travail </w:t>
      </w:r>
      <w:r w:rsidR="009B1F20" w:rsidRPr="007C24E8">
        <w:t xml:space="preserve">informel </w:t>
      </w:r>
      <w:r w:rsidRPr="007C24E8">
        <w:t>pour cette question et a prié le représentant de l’EIGA d’établir le projet de mandat de ce groupe pour examen et décision à la session de mars 2021. Les représentants intéressés ont été invités à prendre contact avec le représentant de l’EIGA.</w:t>
      </w:r>
    </w:p>
    <w:p w14:paraId="75456E9C" w14:textId="77777777" w:rsidR="005E3367" w:rsidRPr="007C24E8" w:rsidRDefault="005E3367" w:rsidP="009B1F20">
      <w:pPr>
        <w:pStyle w:val="H23G"/>
      </w:pPr>
      <w:r w:rsidRPr="007C24E8">
        <w:tab/>
        <w:t>4.</w:t>
      </w:r>
      <w:r w:rsidRPr="007C24E8">
        <w:tab/>
        <w:t>Transport d’équipements fonctionnant avec des piles ou batteries au lithium</w:t>
      </w:r>
    </w:p>
    <w:p w14:paraId="03B1481E"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ECE/TRANS/WP.15/AC.1/2020/23 (</w:t>
      </w:r>
      <w:bookmarkStart w:id="6" w:name="_Hlk55813687"/>
      <w:r w:rsidRPr="007C24E8">
        <w:t>Suisse</w:t>
      </w:r>
      <w:bookmarkEnd w:id="6"/>
      <w:r w:rsidRPr="007C24E8">
        <w:t>)</w:t>
      </w:r>
      <w:r w:rsidR="009B1F20" w:rsidRPr="007C24E8">
        <w:t>.</w:t>
      </w:r>
    </w:p>
    <w:p w14:paraId="43285AAD" w14:textId="77777777" w:rsidR="005E3367" w:rsidRPr="007C24E8" w:rsidRDefault="005E3367" w:rsidP="005E3367">
      <w:pPr>
        <w:pStyle w:val="SingleTxtG"/>
      </w:pPr>
      <w:r w:rsidRPr="007C24E8">
        <w:t>37.</w:t>
      </w:r>
      <w:r w:rsidRPr="007C24E8">
        <w:tab/>
        <w:t>La plupart des représentants qui ont pris la parole ont estimé qu’il n’était pas nécessaire d’introduire une nouvelle disposition spéciale au chapitre</w:t>
      </w:r>
      <w:r w:rsidR="00B659C5" w:rsidRPr="007C24E8">
        <w:t xml:space="preserve"> </w:t>
      </w:r>
      <w:r w:rsidRPr="007C24E8">
        <w:t xml:space="preserve">3.3. Toutefois, la </w:t>
      </w:r>
      <w:r w:rsidR="009B1F20" w:rsidRPr="007C24E8">
        <w:t xml:space="preserve">proposition </w:t>
      </w:r>
      <w:r w:rsidRPr="007C24E8">
        <w:t xml:space="preserve">a reçu le soutien de certaines délégations qui étaient d’avis que les dispositions du RID/ADR devaient être clarifiées. Le représentant de la Suisse s’est proposé pour établir en vue de la prochaine Réunion commune, en mars 2021, une </w:t>
      </w:r>
      <w:r w:rsidR="009B1F20" w:rsidRPr="007C24E8">
        <w:t xml:space="preserve">proposition </w:t>
      </w:r>
      <w:r w:rsidRPr="007C24E8">
        <w:t>actualisée qui tienne compte des observations.</w:t>
      </w:r>
    </w:p>
    <w:p w14:paraId="7E2B6607" w14:textId="77777777" w:rsidR="005E3367" w:rsidRPr="007C24E8" w:rsidRDefault="005E3367" w:rsidP="009B1F20">
      <w:pPr>
        <w:pStyle w:val="H23G"/>
      </w:pPr>
      <w:r w:rsidRPr="007C24E8">
        <w:tab/>
        <w:t>5.</w:t>
      </w:r>
      <w:r w:rsidRPr="007C24E8">
        <w:tab/>
        <w:t>Transport d’emballages en vue de leur élimination ou recyclage</w:t>
      </w:r>
    </w:p>
    <w:p w14:paraId="61F609CF"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ECE/TRANS/WP.15/AC.1/2020/25 (Suisse)</w:t>
      </w:r>
      <w:r w:rsidR="009B1F20" w:rsidRPr="007C24E8">
        <w:t>.</w:t>
      </w:r>
    </w:p>
    <w:p w14:paraId="36E3405D" w14:textId="77777777" w:rsidR="005E3367" w:rsidRPr="007C24E8" w:rsidRDefault="005E3367" w:rsidP="005E3367">
      <w:pPr>
        <w:pStyle w:val="SingleTxtG"/>
      </w:pPr>
      <w:r w:rsidRPr="007C24E8">
        <w:t>38.</w:t>
      </w:r>
      <w:r w:rsidRPr="007C24E8">
        <w:tab/>
        <w:t>La Réunion commune a estimé qu’une telle exemption à la disposition spéciale</w:t>
      </w:r>
      <w:r w:rsidR="009B1F20" w:rsidRPr="007C24E8">
        <w:t xml:space="preserve"> </w:t>
      </w:r>
      <w:r w:rsidRPr="007C24E8">
        <w:t xml:space="preserve">663 n’était pas nécessaire, puisqu’il était déjà indiqué dans les dispositions spéciales d’emballage RR9, BB3 et LL1 affectées au numéro </w:t>
      </w:r>
      <w:r w:rsidR="007C24E8">
        <w:t>ONU </w:t>
      </w:r>
      <w:r w:rsidRPr="007C24E8">
        <w:t xml:space="preserve">3509 que les emballages, GRV et grands emballages contenant le numéro </w:t>
      </w:r>
      <w:r w:rsidR="007C24E8">
        <w:t>ONU </w:t>
      </w:r>
      <w:r w:rsidRPr="007C24E8">
        <w:t xml:space="preserve">3509 n’étaient pas tenus de satisfaire aux prescriptions du </w:t>
      </w:r>
      <w:r w:rsidR="009B1F20" w:rsidRPr="007C24E8">
        <w:t xml:space="preserve">paragraphe </w:t>
      </w:r>
      <w:r w:rsidRPr="007C24E8">
        <w:t xml:space="preserve">4.1.1.3. Il a également été confirmé que les emballages au rebut, vides, non nettoyés transportés en vue de leur élimination sont considérés comme des marchandises et ne sont plus tenus de satisfaire aux prescriptions du </w:t>
      </w:r>
      <w:r w:rsidR="009B1F20" w:rsidRPr="007C24E8">
        <w:t xml:space="preserve">paragraphe </w:t>
      </w:r>
      <w:r w:rsidRPr="007C24E8">
        <w:t>4.1.1.3.</w:t>
      </w:r>
    </w:p>
    <w:p w14:paraId="4728F46B" w14:textId="77777777" w:rsidR="005E3367" w:rsidRPr="007C24E8" w:rsidRDefault="005E3367" w:rsidP="009B1F20">
      <w:pPr>
        <w:pStyle w:val="H23G"/>
      </w:pPr>
      <w:r w:rsidRPr="007C24E8">
        <w:tab/>
        <w:t>6.</w:t>
      </w:r>
      <w:r w:rsidRPr="007C24E8">
        <w:tab/>
        <w:t>Harmonisation de la disposition spéciale 643 dans les règlements relatifs aux</w:t>
      </w:r>
      <w:r w:rsidR="009B1F20" w:rsidRPr="007C24E8">
        <w:t> </w:t>
      </w:r>
      <w:r w:rsidRPr="007C24E8">
        <w:t>transports</w:t>
      </w:r>
    </w:p>
    <w:p w14:paraId="09359566" w14:textId="77777777" w:rsidR="005E3367" w:rsidRPr="007C24E8" w:rsidRDefault="005E3367" w:rsidP="009B1F20">
      <w:pPr>
        <w:pStyle w:val="SingleTxtG"/>
        <w:keepNext/>
        <w:ind w:left="3402" w:hanging="2268"/>
        <w:jc w:val="left"/>
      </w:pPr>
      <w:r w:rsidRPr="007C24E8">
        <w:rPr>
          <w:i/>
        </w:rPr>
        <w:t>Document</w:t>
      </w:r>
      <w:r w:rsidR="004E3C2D" w:rsidRPr="007C24E8">
        <w:t> :</w:t>
      </w:r>
      <w:r w:rsidRPr="007C24E8">
        <w:tab/>
        <w:t>ECE/TRANS/WP.15/AC.1/2020/28 (Pologne)</w:t>
      </w:r>
      <w:r w:rsidR="009B1F20" w:rsidRPr="007C24E8">
        <w:t>.</w:t>
      </w:r>
    </w:p>
    <w:p w14:paraId="67B12C70" w14:textId="77777777" w:rsidR="005E3367" w:rsidRPr="007C24E8" w:rsidRDefault="005E3367" w:rsidP="005E3367">
      <w:pPr>
        <w:pStyle w:val="SingleTxtG"/>
      </w:pPr>
      <w:r w:rsidRPr="007C24E8">
        <w:t>39.</w:t>
      </w:r>
      <w:r w:rsidRPr="007C24E8">
        <w:tab/>
        <w:t xml:space="preserve">Plusieurs délégations ont rappelé les discussions tenues lors des précédentes sessions au sujet des types d’asphalte non couverts par le numéro </w:t>
      </w:r>
      <w:r w:rsidR="007C24E8">
        <w:t>ONU </w:t>
      </w:r>
      <w:r w:rsidRPr="007C24E8">
        <w:t>3257. Certains représentants craignaient que le nouveau libellé proposé limite la portée de l’exemption prévue dans la disposition spéciale</w:t>
      </w:r>
      <w:r w:rsidR="00160264" w:rsidRPr="007C24E8">
        <w:t xml:space="preserve"> </w:t>
      </w:r>
      <w:r w:rsidRPr="007C24E8">
        <w:t xml:space="preserve">643. Le représentant de la Pologne a annoncé son intention de réviser sa </w:t>
      </w:r>
      <w:r w:rsidR="009B1F20" w:rsidRPr="007C24E8">
        <w:t xml:space="preserve">proposition </w:t>
      </w:r>
      <w:r w:rsidRPr="007C24E8">
        <w:t>pour examen à une session ultérieure de la Réunion conjointe.</w:t>
      </w:r>
    </w:p>
    <w:p w14:paraId="1302C258" w14:textId="77777777" w:rsidR="005E3367" w:rsidRPr="007C24E8" w:rsidRDefault="005E3367" w:rsidP="00160264">
      <w:pPr>
        <w:pStyle w:val="H23G"/>
      </w:pPr>
      <w:r w:rsidRPr="007C24E8">
        <w:tab/>
        <w:t>7.</w:t>
      </w:r>
      <w:r w:rsidRPr="007C24E8">
        <w:tab/>
        <w:t>Transport de véhicules mus par accumulateurs</w:t>
      </w:r>
    </w:p>
    <w:p w14:paraId="6BE674E5"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ECE/TRANS/WP.15/AC.1/2020/29 (Suisse)</w:t>
      </w:r>
      <w:r w:rsidR="00160264" w:rsidRPr="007C24E8">
        <w:t>.</w:t>
      </w:r>
    </w:p>
    <w:p w14:paraId="031F679C" w14:textId="77777777" w:rsidR="005E3367" w:rsidRPr="007C24E8" w:rsidRDefault="005E3367" w:rsidP="00160264">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INF.30 de la session du WP.15 de novembre 2019 (Suisse)</w:t>
      </w:r>
      <w:r w:rsidR="00160264" w:rsidRPr="007C24E8">
        <w:t>.</w:t>
      </w:r>
    </w:p>
    <w:p w14:paraId="66D68D3B" w14:textId="77777777" w:rsidR="005E3367" w:rsidRPr="007C24E8" w:rsidRDefault="005E3367" w:rsidP="005E3367">
      <w:pPr>
        <w:pStyle w:val="SingleTxtG"/>
      </w:pPr>
      <w:r w:rsidRPr="007C24E8">
        <w:t>40.</w:t>
      </w:r>
      <w:r w:rsidRPr="007C24E8">
        <w:tab/>
        <w:t>La plupart des représentants qui ont pris la parole n’étaient pas favorables aux amendements proposés dans le document ECE/TRANS/WP.15/AC.1/2020/29 concernant la disposition spéciale 667 et le chapitre 6.11. Certaines délégations étaient d’avis que si les accumulateurs ne pouvaient pas être retirés, la disposition spéciale 666 s’appliquerait. La Réunion commune a recommandé de reprendre l’examen de cette question lors d’une session ultérieure, sur la base d’un document actualisé qui serait soumis par la Suisse.</w:t>
      </w:r>
    </w:p>
    <w:p w14:paraId="4FF50E2A" w14:textId="77777777" w:rsidR="005E3367" w:rsidRPr="007C24E8" w:rsidRDefault="005E3367" w:rsidP="00160264">
      <w:pPr>
        <w:pStyle w:val="H23G"/>
      </w:pPr>
      <w:r w:rsidRPr="007C24E8">
        <w:tab/>
        <w:t>8.</w:t>
      </w:r>
      <w:r w:rsidRPr="007C24E8">
        <w:tab/>
        <w:t>Différence dans le champ d’application des dispositions spéciales 666 et 669</w:t>
      </w:r>
    </w:p>
    <w:p w14:paraId="072D4A29"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ECE/TRANS/WP.15/AC.1/2020/30 (Suisse)</w:t>
      </w:r>
      <w:r w:rsidR="00160264" w:rsidRPr="007C24E8">
        <w:t>.</w:t>
      </w:r>
    </w:p>
    <w:p w14:paraId="6F82C5C2" w14:textId="77777777" w:rsidR="005E3367" w:rsidRPr="007C24E8" w:rsidRDefault="005E3367" w:rsidP="005E3367">
      <w:pPr>
        <w:pStyle w:val="SingleTxtG"/>
      </w:pPr>
      <w:r w:rsidRPr="007C24E8">
        <w:t>41.</w:t>
      </w:r>
      <w:r w:rsidRPr="007C24E8">
        <w:tab/>
        <w:t xml:space="preserve">La Réunion commune a convenu de la nécessité de clarifier les dispositions spéciales 363, 666 et 669, qui sont en partie redondantes. À l’issue de la discussion, le représentant de la Suisse a été invité à élaborer un nouveau document en tenant compte des observations reçues et en incluant l’historique du </w:t>
      </w:r>
      <w:r w:rsidR="009B1F20" w:rsidRPr="007C24E8">
        <w:t xml:space="preserve">paragraphe </w:t>
      </w:r>
      <w:r w:rsidRPr="007C24E8">
        <w:t xml:space="preserve">1.1.3.3 justifiant l’introduction de la disposition spéciale 669. Il a été convenu de reprendre la discussion lors de la prochaine session, en mars 2021, et d’envisager la création d’un groupe de travail </w:t>
      </w:r>
      <w:r w:rsidR="009B1F20" w:rsidRPr="007C24E8">
        <w:t xml:space="preserve">informel </w:t>
      </w:r>
      <w:r w:rsidRPr="007C24E8">
        <w:t>qui soit susceptible d’examiner des exemples concrets pour faire la lumière sur cette question.</w:t>
      </w:r>
    </w:p>
    <w:p w14:paraId="06E98C88" w14:textId="77777777" w:rsidR="005E3367" w:rsidRPr="007C24E8" w:rsidRDefault="005E3367" w:rsidP="00160264">
      <w:pPr>
        <w:pStyle w:val="H23G"/>
      </w:pPr>
      <w:r w:rsidRPr="007C24E8">
        <w:tab/>
        <w:t>9.</w:t>
      </w:r>
      <w:r w:rsidRPr="007C24E8">
        <w:tab/>
        <w:t xml:space="preserve">Mise en œuvre des lignes directrices pour l’application du </w:t>
      </w:r>
      <w:r w:rsidR="009B1F20" w:rsidRPr="007C24E8">
        <w:t xml:space="preserve">paragraphe </w:t>
      </w:r>
      <w:r w:rsidRPr="007C24E8">
        <w:t>5.4.0.2 du RID, de l’ADR et de l’ADN</w:t>
      </w:r>
    </w:p>
    <w:p w14:paraId="48C0E3FE"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ECE/TRANS/WP.15/AC.1/2020/43 (Suisse)</w:t>
      </w:r>
      <w:r w:rsidR="00160264" w:rsidRPr="007C24E8">
        <w:t>.</w:t>
      </w:r>
    </w:p>
    <w:p w14:paraId="2AF77605" w14:textId="77777777" w:rsidR="005E3367" w:rsidRPr="007C24E8" w:rsidRDefault="005E3367" w:rsidP="005E3367">
      <w:pPr>
        <w:pStyle w:val="SingleTxtG"/>
      </w:pPr>
      <w:r w:rsidRPr="007C24E8">
        <w:t>42.</w:t>
      </w:r>
      <w:r w:rsidRPr="007C24E8">
        <w:tab/>
        <w:t xml:space="preserve">Ce document a suscité diverses observations. Toutefois, la Réunion commune a décidé de confier l’examen des </w:t>
      </w:r>
      <w:r w:rsidR="009B1F20" w:rsidRPr="007C24E8">
        <w:t xml:space="preserve">propositions </w:t>
      </w:r>
      <w:r w:rsidRPr="007C24E8">
        <w:t xml:space="preserve">de modifications au groupe de travail </w:t>
      </w:r>
      <w:r w:rsidR="009B1F20" w:rsidRPr="007C24E8">
        <w:t xml:space="preserve">informel </w:t>
      </w:r>
      <w:r w:rsidRPr="007C24E8">
        <w:t>de la télématique, qui pourrait tenir compte de l’expérience des États membres qui mettent actuellement en œuvre les lignes directrices.</w:t>
      </w:r>
    </w:p>
    <w:p w14:paraId="7277631F" w14:textId="77777777" w:rsidR="005E3367" w:rsidRPr="007C24E8" w:rsidRDefault="005E3367" w:rsidP="00160264">
      <w:pPr>
        <w:pStyle w:val="H23G"/>
      </w:pPr>
      <w:r w:rsidRPr="007C24E8">
        <w:tab/>
        <w:t>10.</w:t>
      </w:r>
      <w:r w:rsidRPr="007C24E8">
        <w:tab/>
        <w:t>Disposition spéciale 363</w:t>
      </w:r>
    </w:p>
    <w:p w14:paraId="69229D23"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ECE/TRANS/WP.15/AC.1/2020/56 (Suisse)</w:t>
      </w:r>
      <w:r w:rsidR="00160264" w:rsidRPr="007C24E8">
        <w:t>.</w:t>
      </w:r>
    </w:p>
    <w:p w14:paraId="6FF331BC" w14:textId="77777777" w:rsidR="005E3367" w:rsidRPr="007C24E8" w:rsidRDefault="005E3367" w:rsidP="005E3367">
      <w:pPr>
        <w:pStyle w:val="SingleTxtG"/>
      </w:pPr>
      <w:r w:rsidRPr="007C24E8">
        <w:t>43.</w:t>
      </w:r>
      <w:r w:rsidRPr="007C24E8">
        <w:tab/>
        <w:t xml:space="preserve">Plusieurs représentants ont appuyé la </w:t>
      </w:r>
      <w:r w:rsidR="009B1F20" w:rsidRPr="007C24E8">
        <w:t xml:space="preserve">proposition </w:t>
      </w:r>
      <w:r w:rsidRPr="007C24E8">
        <w:t xml:space="preserve">dans son principe mais étaient d’avis que le texte proposé devrait être adopté sous une forme différente, par exemple sous forme de note. En outre, il fallait éviter que le texte puisse être interprété comme signifiant que l’étiquetage, le placardage ou le marquage non obligatoire n’étaient autorisés que dans les cas où ils étaient explicitement mentionnés. Le représentant de la Suisse a proposé d’élaborer une </w:t>
      </w:r>
      <w:r w:rsidR="009B1F20" w:rsidRPr="007C24E8">
        <w:t xml:space="preserve">proposition </w:t>
      </w:r>
      <w:r w:rsidRPr="007C24E8">
        <w:t>révisée pour la session de mars 2021.</w:t>
      </w:r>
    </w:p>
    <w:p w14:paraId="5FC7FA52" w14:textId="77777777" w:rsidR="005E3367" w:rsidRPr="007C24E8" w:rsidRDefault="005E3367" w:rsidP="00160264">
      <w:pPr>
        <w:pStyle w:val="H23G"/>
      </w:pPr>
      <w:r w:rsidRPr="007C24E8">
        <w:tab/>
        <w:t>11.</w:t>
      </w:r>
      <w:r w:rsidRPr="007C24E8">
        <w:tab/>
        <w:t>Signalisation orange des wagons et véhicules transportant des citernes ou</w:t>
      </w:r>
      <w:r w:rsidR="00160264" w:rsidRPr="007C24E8">
        <w:t> </w:t>
      </w:r>
      <w:r w:rsidRPr="007C24E8">
        <w:t>des</w:t>
      </w:r>
      <w:r w:rsidR="00160264" w:rsidRPr="007C24E8">
        <w:t> </w:t>
      </w:r>
      <w:r w:rsidRPr="007C24E8">
        <w:t>conteneurs pour vrac de faible capacité</w:t>
      </w:r>
    </w:p>
    <w:p w14:paraId="15DB13E7"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ECE/TRANS/WP.15/AC.1/2020/64 (Suisse)</w:t>
      </w:r>
      <w:r w:rsidR="00160264" w:rsidRPr="007C24E8">
        <w:t>.</w:t>
      </w:r>
    </w:p>
    <w:p w14:paraId="10973EEA" w14:textId="77777777" w:rsidR="005E3367" w:rsidRPr="007C24E8" w:rsidRDefault="005E3367" w:rsidP="00160264">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INF.61 (Suisse)</w:t>
      </w:r>
      <w:r w:rsidR="00160264" w:rsidRPr="007C24E8">
        <w:t>.</w:t>
      </w:r>
    </w:p>
    <w:p w14:paraId="1555611D" w14:textId="77777777" w:rsidR="005E3367" w:rsidRPr="007C24E8" w:rsidRDefault="005E3367" w:rsidP="005E3367">
      <w:pPr>
        <w:pStyle w:val="SingleTxtG"/>
      </w:pPr>
      <w:r w:rsidRPr="007C24E8">
        <w:t>44.</w:t>
      </w:r>
      <w:r w:rsidRPr="007C24E8">
        <w:tab/>
        <w:t xml:space="preserve">La Réunion commune a adopté l’amendement à la note du </w:t>
      </w:r>
      <w:r w:rsidR="009B1F20" w:rsidRPr="007C24E8">
        <w:t xml:space="preserve">paragraphe </w:t>
      </w:r>
      <w:r w:rsidRPr="007C24E8">
        <w:t xml:space="preserve">5.3.2.1.5 proposé dans le document </w:t>
      </w:r>
      <w:r w:rsidR="009B1F20" w:rsidRPr="007C24E8">
        <w:t xml:space="preserve">informel </w:t>
      </w:r>
      <w:r w:rsidRPr="007C24E8">
        <w:t>INF.61 (voir l’</w:t>
      </w:r>
      <w:r w:rsidR="009B1F20" w:rsidRPr="007C24E8">
        <w:t xml:space="preserve">annexe </w:t>
      </w:r>
      <w:r w:rsidRPr="007C24E8">
        <w:t>II).</w:t>
      </w:r>
    </w:p>
    <w:p w14:paraId="077B61AB" w14:textId="77777777" w:rsidR="005E3367" w:rsidRPr="007C24E8" w:rsidRDefault="005E3367" w:rsidP="00160264">
      <w:pPr>
        <w:pStyle w:val="H23G"/>
      </w:pPr>
      <w:r w:rsidRPr="007C24E8">
        <w:tab/>
        <w:t>12.</w:t>
      </w:r>
      <w:r w:rsidRPr="007C24E8">
        <w:tab/>
        <w:t>Référence au cadre de gestion des risques dans le transport intérieur de marchandises dangereuses dans le RID/ADR/ADN</w:t>
      </w:r>
    </w:p>
    <w:p w14:paraId="235E7F37"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ECE/TRANS/WP.15/AC.1/2020/14 (ERA)</w:t>
      </w:r>
      <w:r w:rsidR="00160264" w:rsidRPr="007C24E8">
        <w:t>.</w:t>
      </w:r>
    </w:p>
    <w:p w14:paraId="7B432D41" w14:textId="77777777" w:rsidR="005E3367" w:rsidRPr="007C24E8" w:rsidRDefault="005E3367" w:rsidP="00160264">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INF.62 (ERA)</w:t>
      </w:r>
      <w:r w:rsidR="00160264" w:rsidRPr="007C24E8">
        <w:t>.</w:t>
      </w:r>
    </w:p>
    <w:p w14:paraId="5B2C135E" w14:textId="77777777" w:rsidR="005E3367" w:rsidRPr="007C24E8" w:rsidRDefault="005E3367" w:rsidP="005E3367">
      <w:pPr>
        <w:pStyle w:val="SingleTxtG"/>
      </w:pPr>
      <w:r w:rsidRPr="007C24E8">
        <w:t>45.</w:t>
      </w:r>
      <w:r w:rsidRPr="007C24E8">
        <w:tab/>
        <w:t>Certains représentants ont estimé qu’il était prématuré de faire figurer au chapitre</w:t>
      </w:r>
      <w:r w:rsidR="00160264" w:rsidRPr="007C24E8">
        <w:t xml:space="preserve"> </w:t>
      </w:r>
      <w:r w:rsidRPr="007C24E8">
        <w:t xml:space="preserve">1.9 les références aux lignes directrices relatives à la gestion des risques qui étaient proposées. Toutefois, le texte présenté dans le document </w:t>
      </w:r>
      <w:r w:rsidR="009B1F20" w:rsidRPr="007C24E8">
        <w:t xml:space="preserve">informel </w:t>
      </w:r>
      <w:r w:rsidRPr="007C24E8">
        <w:t>INF.62 tel que modifié a été adopté à l’issue d’un vote (voir l’</w:t>
      </w:r>
      <w:r w:rsidR="009B1F20" w:rsidRPr="007C24E8">
        <w:t xml:space="preserve">annexe </w:t>
      </w:r>
      <w:r w:rsidRPr="007C24E8">
        <w:t>II).</w:t>
      </w:r>
    </w:p>
    <w:p w14:paraId="44EFE79F" w14:textId="77777777" w:rsidR="005E3367" w:rsidRPr="007C24E8" w:rsidRDefault="005E3367" w:rsidP="00160264">
      <w:pPr>
        <w:pStyle w:val="H23G"/>
      </w:pPr>
      <w:r w:rsidRPr="007C24E8">
        <w:tab/>
        <w:t>13.</w:t>
      </w:r>
      <w:r w:rsidRPr="007C24E8">
        <w:tab/>
        <w:t xml:space="preserve">Exemptions pour les batteries au lithium du numéro </w:t>
      </w:r>
      <w:r w:rsidR="007C24E8">
        <w:t>ONU </w:t>
      </w:r>
      <w:r w:rsidRPr="007C24E8">
        <w:t>3536</w:t>
      </w:r>
    </w:p>
    <w:p w14:paraId="42959CDF"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ECE/TRANS/WP.15/AC.1/2020/66 (Suisse)</w:t>
      </w:r>
      <w:r w:rsidR="00160264" w:rsidRPr="007C24E8">
        <w:t>.</w:t>
      </w:r>
    </w:p>
    <w:p w14:paraId="00AFF640" w14:textId="77777777" w:rsidR="005E3367" w:rsidRPr="007C24E8" w:rsidRDefault="005E3367" w:rsidP="005E3367">
      <w:pPr>
        <w:pStyle w:val="SingleTxtG"/>
      </w:pPr>
      <w:r w:rsidRPr="007C24E8">
        <w:t>46.</w:t>
      </w:r>
      <w:r w:rsidRPr="007C24E8">
        <w:tab/>
        <w:t xml:space="preserve">Ce document a fait l’objet de plusieurs observations. Il a été recommandé de transmettre la </w:t>
      </w:r>
      <w:r w:rsidR="009B1F20" w:rsidRPr="007C24E8">
        <w:t xml:space="preserve">proposition </w:t>
      </w:r>
      <w:r w:rsidRPr="007C24E8">
        <w:t>1 au Groupe de travail spécial de l’harmonisation du RID/ADR/ADN avec le Règlement type de l’</w:t>
      </w:r>
      <w:r w:rsidR="007C24E8">
        <w:t>ONU </w:t>
      </w:r>
      <w:r w:rsidRPr="007C24E8">
        <w:t xml:space="preserve">pour examen à sa prochaine session, qui se tiendra en avril 2021. La Réunion commune a adopté les </w:t>
      </w:r>
      <w:r w:rsidR="009B1F20" w:rsidRPr="007C24E8">
        <w:t xml:space="preserve">propositions </w:t>
      </w:r>
      <w:r w:rsidRPr="007C24E8">
        <w:t xml:space="preserve">2 et 3. Il a été fait observer que la </w:t>
      </w:r>
      <w:r w:rsidR="009B1F20" w:rsidRPr="007C24E8">
        <w:t xml:space="preserve">proposition </w:t>
      </w:r>
      <w:r w:rsidRPr="007C24E8">
        <w:t>3 ne concernait que l’ADR.</w:t>
      </w:r>
    </w:p>
    <w:p w14:paraId="7986A38D" w14:textId="77777777" w:rsidR="005E3367" w:rsidRPr="007C24E8" w:rsidRDefault="005E3367" w:rsidP="00160264">
      <w:pPr>
        <w:pStyle w:val="H23G"/>
      </w:pPr>
      <w:bookmarkStart w:id="7" w:name="_Hlk52197289"/>
      <w:r w:rsidRPr="007C24E8">
        <w:tab/>
        <w:t>14.</w:t>
      </w:r>
      <w:r w:rsidRPr="007C24E8">
        <w:tab/>
        <w:t xml:space="preserve">Amendement à la version française du </w:t>
      </w:r>
      <w:r w:rsidR="009B1F20" w:rsidRPr="007C24E8">
        <w:t xml:space="preserve">paragraphe </w:t>
      </w:r>
      <w:r w:rsidRPr="007C24E8">
        <w:t>2.2.41.1.10 du RID/ADR/ADN</w:t>
      </w:r>
      <w:bookmarkEnd w:id="7"/>
    </w:p>
    <w:p w14:paraId="3D3D622B"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ECE/TRANS/WP.15/AC.1/2020/3 (France)</w:t>
      </w:r>
      <w:r w:rsidR="00160264" w:rsidRPr="007C24E8">
        <w:t>.</w:t>
      </w:r>
    </w:p>
    <w:p w14:paraId="76EBDA11" w14:textId="77777777" w:rsidR="005E3367" w:rsidRPr="007C24E8" w:rsidRDefault="005E3367" w:rsidP="005E3367">
      <w:pPr>
        <w:pStyle w:val="SingleTxtG"/>
      </w:pPr>
      <w:r w:rsidRPr="007C24E8">
        <w:t>47.</w:t>
      </w:r>
      <w:r w:rsidRPr="007C24E8">
        <w:tab/>
        <w:t>Le représentant de la France a retiré la proposition.</w:t>
      </w:r>
    </w:p>
    <w:p w14:paraId="5119C532" w14:textId="77777777" w:rsidR="005E3367" w:rsidRPr="007C24E8" w:rsidRDefault="005E3367" w:rsidP="00160264">
      <w:pPr>
        <w:pStyle w:val="H23G"/>
      </w:pPr>
      <w:r w:rsidRPr="007C24E8">
        <w:tab/>
        <w:t>15.</w:t>
      </w:r>
      <w:r w:rsidRPr="007C24E8">
        <w:tab/>
        <w:t>Autres propositions</w:t>
      </w:r>
    </w:p>
    <w:p w14:paraId="64AEF54A" w14:textId="77777777" w:rsidR="005E3367" w:rsidRPr="007C24E8" w:rsidRDefault="005E3367" w:rsidP="00160264">
      <w:pPr>
        <w:pStyle w:val="SingleTxtG"/>
        <w:keepNext/>
        <w:ind w:left="3402" w:hanging="2268"/>
        <w:jc w:val="left"/>
      </w:pPr>
      <w:r w:rsidRPr="007C24E8">
        <w:rPr>
          <w:i/>
          <w:iCs/>
        </w:rPr>
        <w:t>Documents informels</w:t>
      </w:r>
      <w:r w:rsidR="004E3C2D" w:rsidRPr="007C24E8">
        <w:rPr>
          <w:iCs/>
        </w:rPr>
        <w:t> :</w:t>
      </w:r>
      <w:r w:rsidRPr="007C24E8">
        <w:tab/>
        <w:t>INF.10 (Pologne), INF.11 (Secrétariat) et INF.12 (Pays-Bas)</w:t>
      </w:r>
      <w:r w:rsidR="00160264" w:rsidRPr="007C24E8">
        <w:t>.</w:t>
      </w:r>
    </w:p>
    <w:p w14:paraId="270507D4" w14:textId="77777777" w:rsidR="005E3367" w:rsidRPr="007C24E8" w:rsidRDefault="005E3367" w:rsidP="005E3367">
      <w:pPr>
        <w:pStyle w:val="SingleTxtG"/>
        <w:spacing w:line="240" w:lineRule="auto"/>
      </w:pPr>
      <w:r w:rsidRPr="007C24E8">
        <w:t>48.</w:t>
      </w:r>
      <w:r w:rsidRPr="007C24E8">
        <w:tab/>
        <w:t>Faute de temps, la Réunion commune a décidé d’examiner les documents informels INF.10, INF.11 et INF.12 lors de sa session de mars 2021 en tant que documents officiels, sous réserve de confirmation par leurs auteurs.</w:t>
      </w:r>
    </w:p>
    <w:p w14:paraId="070A11BB" w14:textId="77777777" w:rsidR="005E3367" w:rsidRPr="007C24E8" w:rsidRDefault="005E3367" w:rsidP="00160264">
      <w:pPr>
        <w:pStyle w:val="HChG"/>
      </w:pPr>
      <w:r w:rsidRPr="007C24E8">
        <w:tab/>
      </w:r>
      <w:bookmarkStart w:id="8" w:name="_Hlk51257359"/>
      <w:r w:rsidRPr="007C24E8">
        <w:t>VIII.</w:t>
      </w:r>
      <w:r w:rsidRPr="007C24E8">
        <w:tab/>
      </w:r>
      <w:bookmarkEnd w:id="8"/>
      <w:r w:rsidRPr="007C24E8">
        <w:t>Rapports des groupes de travail informels (point 6 de l’ordre du jour)</w:t>
      </w:r>
    </w:p>
    <w:p w14:paraId="2856F1E0" w14:textId="77777777" w:rsidR="005E3367" w:rsidRPr="007C24E8" w:rsidRDefault="005E3367" w:rsidP="00160264">
      <w:pPr>
        <w:pStyle w:val="H1G"/>
      </w:pPr>
      <w:r w:rsidRPr="007C24E8">
        <w:tab/>
        <w:t>A.</w:t>
      </w:r>
      <w:r w:rsidRPr="007C24E8">
        <w:tab/>
        <w:t>Transport de récipients à pression agréés par le Département des</w:t>
      </w:r>
      <w:r w:rsidR="00160264" w:rsidRPr="007C24E8">
        <w:t> </w:t>
      </w:r>
      <w:r w:rsidRPr="007C24E8">
        <w:t>transports des États-Unis d’Amérique</w:t>
      </w:r>
    </w:p>
    <w:p w14:paraId="2A89E808"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ECE/TRANS/WP.15/AC.1/2020/10 (EIGA)</w:t>
      </w:r>
      <w:r w:rsidR="00160264" w:rsidRPr="007C24E8">
        <w:t>.</w:t>
      </w:r>
    </w:p>
    <w:p w14:paraId="07974397" w14:textId="77777777" w:rsidR="005E3367" w:rsidRPr="007C24E8" w:rsidRDefault="005E3367" w:rsidP="005E3367">
      <w:pPr>
        <w:pStyle w:val="SingleTxtG"/>
      </w:pPr>
      <w:r w:rsidRPr="007C24E8">
        <w:t>49.</w:t>
      </w:r>
      <w:r w:rsidRPr="007C24E8">
        <w:tab/>
        <w:t>Le représentant de l’EIGA a informé la Réunion commune de l’état actuel de la procédure réglementaire engagée en juin 2020 en collaboration avec le Département des transports afin de modifier les dispositions du chapitre 49 du Recueil des règlements fédéraux des États-Unis.</w:t>
      </w:r>
    </w:p>
    <w:p w14:paraId="5108B2AC" w14:textId="77777777" w:rsidR="005E3367" w:rsidRPr="007C24E8" w:rsidRDefault="005E3367" w:rsidP="00160264">
      <w:pPr>
        <w:pStyle w:val="H1G"/>
      </w:pPr>
      <w:r w:rsidRPr="007C24E8">
        <w:tab/>
        <w:t>B.</w:t>
      </w:r>
      <w:r w:rsidRPr="007C24E8">
        <w:tab/>
        <w:t xml:space="preserve">Rapport du groupe de travail </w:t>
      </w:r>
      <w:r w:rsidR="009B1F20" w:rsidRPr="007C24E8">
        <w:t xml:space="preserve">informel </w:t>
      </w:r>
      <w:r w:rsidRPr="007C24E8">
        <w:t>de la réduction du risque de</w:t>
      </w:r>
      <w:r w:rsidR="00160264" w:rsidRPr="007C24E8">
        <w:t> </w:t>
      </w:r>
      <w:r w:rsidRPr="007C24E8">
        <w:t>vaporisation explosive d’un liquide porté à ébullition (BLEVE) sur</w:t>
      </w:r>
      <w:r w:rsidR="00160264" w:rsidRPr="007C24E8">
        <w:t> </w:t>
      </w:r>
      <w:r w:rsidRPr="007C24E8">
        <w:t>sa réunion (Madrid, 22-24 octobre 2019)</w:t>
      </w:r>
    </w:p>
    <w:p w14:paraId="55BB60E0"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ECE/TRANS/WP.15/AC.1/2020/42 (Espagne)</w:t>
      </w:r>
      <w:r w:rsidR="00160264" w:rsidRPr="007C24E8">
        <w:t>.</w:t>
      </w:r>
    </w:p>
    <w:p w14:paraId="10805CE6" w14:textId="77777777" w:rsidR="005E3367" w:rsidRPr="007C24E8" w:rsidRDefault="005E3367" w:rsidP="00160264">
      <w:pPr>
        <w:pStyle w:val="SingleTxtG"/>
        <w:keepNext/>
        <w:ind w:left="3402" w:hanging="2268"/>
        <w:jc w:val="left"/>
      </w:pPr>
      <w:bookmarkStart w:id="9" w:name="_Hlk55828107"/>
      <w:r w:rsidRPr="007C24E8">
        <w:rPr>
          <w:i/>
        </w:rPr>
        <w:t>Documents informels</w:t>
      </w:r>
      <w:r w:rsidR="004E3C2D" w:rsidRPr="007C24E8">
        <w:t> :</w:t>
      </w:r>
      <w:bookmarkEnd w:id="9"/>
      <w:r w:rsidRPr="007C24E8">
        <w:tab/>
        <w:t>INF.7, INF.7/Add.1 à Add.7 (Espagne)</w:t>
      </w:r>
      <w:r w:rsidRPr="007C24E8">
        <w:br/>
        <w:t>INF.20 (Royaume-Uni)</w:t>
      </w:r>
      <w:r w:rsidR="00160264" w:rsidRPr="007C24E8">
        <w:t>.</w:t>
      </w:r>
    </w:p>
    <w:p w14:paraId="2778B022" w14:textId="77777777" w:rsidR="005E3367" w:rsidRPr="007C24E8" w:rsidRDefault="005E3367" w:rsidP="005E3367">
      <w:pPr>
        <w:pStyle w:val="SingleTxtG"/>
      </w:pPr>
      <w:r w:rsidRPr="007C24E8">
        <w:t>50.</w:t>
      </w:r>
      <w:r w:rsidRPr="007C24E8">
        <w:tab/>
        <w:t xml:space="preserve">La Réunion commune a accueilli favorablement le rapport sur la réunion du groupe de travail </w:t>
      </w:r>
      <w:r w:rsidR="009B1F20" w:rsidRPr="007C24E8">
        <w:t xml:space="preserve">informel </w:t>
      </w:r>
      <w:r w:rsidRPr="007C24E8">
        <w:t xml:space="preserve">BLEVE tenue en octobre 2019 qui se trouve dans le document ECE/TRANS/WP.15/AC.1/2020/42 ainsi que dans le document </w:t>
      </w:r>
      <w:r w:rsidR="009B1F20" w:rsidRPr="007C24E8">
        <w:t xml:space="preserve">informel </w:t>
      </w:r>
      <w:r w:rsidRPr="007C24E8">
        <w:t xml:space="preserve">INF.7 et ses additifs. Le représentant de l’Espagne a demandé l’avis de la Réunion commune sur les </w:t>
      </w:r>
      <w:r w:rsidR="00B659C5" w:rsidRPr="007C24E8">
        <w:t>six</w:t>
      </w:r>
      <w:r w:rsidRPr="007C24E8">
        <w:t xml:space="preserve"> mesures recommandées pour prévenir à l’avenir les risques de vaporisation explosive d’un liquide porté à ébullition (BLEVE), qui sont</w:t>
      </w:r>
      <w:r w:rsidR="004E3C2D" w:rsidRPr="007C24E8">
        <w:t> :</w:t>
      </w:r>
      <w:r w:rsidRPr="007C24E8">
        <w:t xml:space="preserve"> a)</w:t>
      </w:r>
      <w:r w:rsidR="00160264" w:rsidRPr="007C24E8">
        <w:t> </w:t>
      </w:r>
      <w:r w:rsidRPr="007C24E8">
        <w:t>l’installation de garde-boue métalliques</w:t>
      </w:r>
      <w:r w:rsidR="00160264" w:rsidRPr="007C24E8">
        <w:t> ;</w:t>
      </w:r>
      <w:r w:rsidRPr="007C24E8">
        <w:t xml:space="preserve"> b)</w:t>
      </w:r>
      <w:r w:rsidR="00160264" w:rsidRPr="007C24E8">
        <w:t> </w:t>
      </w:r>
      <w:r w:rsidRPr="007C24E8">
        <w:t>l’installation de systèmes d’extinction d’incendie dans le compartiment moteur</w:t>
      </w:r>
      <w:r w:rsidR="00160264" w:rsidRPr="007C24E8">
        <w:t> ;</w:t>
      </w:r>
      <w:r w:rsidRPr="007C24E8">
        <w:t xml:space="preserve"> c)</w:t>
      </w:r>
      <w:r w:rsidR="00160264" w:rsidRPr="007C24E8">
        <w:t> </w:t>
      </w:r>
      <w:r w:rsidRPr="007C24E8">
        <w:t>l’installation d’une soupape de sécurité</w:t>
      </w:r>
      <w:r w:rsidR="00160264" w:rsidRPr="007C24E8">
        <w:t> ;</w:t>
      </w:r>
      <w:r w:rsidRPr="007C24E8">
        <w:t xml:space="preserve"> d)</w:t>
      </w:r>
      <w:r w:rsidR="00160264" w:rsidRPr="007C24E8">
        <w:t> </w:t>
      </w:r>
      <w:r w:rsidRPr="007C24E8">
        <w:t>la mise en service de dispositifs techniques pour la sécurité générale de la circulation</w:t>
      </w:r>
      <w:r w:rsidR="00160264" w:rsidRPr="007C24E8">
        <w:t> ;</w:t>
      </w:r>
      <w:r w:rsidRPr="007C24E8">
        <w:t xml:space="preserve"> e)</w:t>
      </w:r>
      <w:r w:rsidR="00160264" w:rsidRPr="007C24E8">
        <w:t> </w:t>
      </w:r>
      <w:r w:rsidRPr="007C24E8">
        <w:t>l’installation d’un écran résistant à la chaleur entre la cabine et la citerne</w:t>
      </w:r>
      <w:r w:rsidR="00160264" w:rsidRPr="007C24E8">
        <w:t> ;</w:t>
      </w:r>
      <w:r w:rsidRPr="007C24E8">
        <w:t xml:space="preserve"> et f)</w:t>
      </w:r>
      <w:r w:rsidR="00160264" w:rsidRPr="007C24E8">
        <w:t> </w:t>
      </w:r>
      <w:r w:rsidRPr="007C24E8">
        <w:t>l’utilisation d’alliages d’aluminium expansé.</w:t>
      </w:r>
    </w:p>
    <w:p w14:paraId="5C09D441" w14:textId="77777777" w:rsidR="005E3367" w:rsidRPr="007C24E8" w:rsidRDefault="005E3367" w:rsidP="005E3367">
      <w:pPr>
        <w:pStyle w:val="SingleTxtG"/>
      </w:pPr>
      <w:r w:rsidRPr="007C24E8">
        <w:t>51.</w:t>
      </w:r>
      <w:r w:rsidRPr="007C24E8">
        <w:tab/>
        <w:t xml:space="preserve">La Réunion commune a convenu de donner la priorité aux mesures a), b) et c), prises individuellement ou combinées. Certaines délégations ont souligné qu’il serait utile de les aborder de manière combinée. S’agissant du document </w:t>
      </w:r>
      <w:r w:rsidR="009B1F20" w:rsidRPr="007C24E8">
        <w:t xml:space="preserve">informel </w:t>
      </w:r>
      <w:r w:rsidRPr="007C24E8">
        <w:t>INF.20 sur les dates d’application obligatoire des dispositions de sécurité pour les nouveaux véhicules de transport de marchandises, les représentants ont estimé que les mesures visées à l’</w:t>
      </w:r>
      <w:r w:rsidR="009B1F20" w:rsidRPr="007C24E8">
        <w:t xml:space="preserve">alinéa </w:t>
      </w:r>
      <w:r w:rsidRPr="007C24E8">
        <w:t>d) étaient déjà prises en compte par le Forum mondial de l’harmonisation des Règlements concernant les véhicules (WP.29). La Réunion commune a également décidé de poursuivre l’examen de la mesure e). Le représentant des Pays-Bas a recommandé d’approfondir les recherches sur les revêtements thermiques. Il a été invité à présenter de nouveaux éléments à la réunion du groupe de travail informel, en cas de besoin. Les mesures visées à l’</w:t>
      </w:r>
      <w:r w:rsidR="009B1F20" w:rsidRPr="007C24E8">
        <w:t xml:space="preserve">alinéa </w:t>
      </w:r>
      <w:r w:rsidRPr="007C24E8">
        <w:t>f) n’ont pas été jugées pertinentes en raison de l’incertitude quant à leur efficacité, de l’incidence sur les procédures d’entretien et d’inspection, et du coût de l’utilisation d’alliages d’aluminium expansé.</w:t>
      </w:r>
    </w:p>
    <w:p w14:paraId="00209B88" w14:textId="77777777" w:rsidR="005E3367" w:rsidRPr="007C24E8" w:rsidRDefault="005E3367" w:rsidP="00160264">
      <w:pPr>
        <w:pStyle w:val="H1G"/>
      </w:pPr>
      <w:r w:rsidRPr="007C24E8">
        <w:tab/>
        <w:t>C.</w:t>
      </w:r>
      <w:r w:rsidRPr="007C24E8">
        <w:tab/>
        <w:t xml:space="preserve">Groupe de travail </w:t>
      </w:r>
      <w:r w:rsidR="009B1F20" w:rsidRPr="007C24E8">
        <w:t xml:space="preserve">informel </w:t>
      </w:r>
      <w:r w:rsidRPr="007C24E8">
        <w:t>des définitions des termes «</w:t>
      </w:r>
      <w:r w:rsidR="00160264" w:rsidRPr="007C24E8">
        <w:t> </w:t>
      </w:r>
      <w:r w:rsidRPr="007C24E8">
        <w:t>risque</w:t>
      </w:r>
      <w:r w:rsidR="00160264" w:rsidRPr="007C24E8">
        <w:t> </w:t>
      </w:r>
      <w:r w:rsidRPr="007C24E8">
        <w:t>» et «</w:t>
      </w:r>
      <w:r w:rsidR="00160264" w:rsidRPr="007C24E8">
        <w:t> </w:t>
      </w:r>
      <w:r w:rsidRPr="007C24E8">
        <w:t>danger</w:t>
      </w:r>
      <w:r w:rsidR="00160264" w:rsidRPr="007C24E8">
        <w:t> </w:t>
      </w:r>
      <w:r w:rsidRPr="007C24E8">
        <w:t>»</w:t>
      </w:r>
    </w:p>
    <w:p w14:paraId="7DFB62AE"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ECE/TRANS/WP.15/AC.1/2020/44 (Roumanie)</w:t>
      </w:r>
      <w:r w:rsidR="00160264" w:rsidRPr="007C24E8">
        <w:t>.</w:t>
      </w:r>
    </w:p>
    <w:p w14:paraId="3005A8D8" w14:textId="77777777" w:rsidR="005E3367" w:rsidRPr="007C24E8" w:rsidRDefault="005E3367" w:rsidP="00160264">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INF.39 (Roumanie)</w:t>
      </w:r>
      <w:r w:rsidR="00160264" w:rsidRPr="007C24E8">
        <w:t>.</w:t>
      </w:r>
    </w:p>
    <w:p w14:paraId="642B4374" w14:textId="77777777" w:rsidR="005E3367" w:rsidRPr="007C24E8" w:rsidRDefault="005E3367" w:rsidP="005E3367">
      <w:pPr>
        <w:pStyle w:val="SingleTxtG"/>
      </w:pPr>
      <w:r w:rsidRPr="007C24E8">
        <w:t>52.</w:t>
      </w:r>
      <w:r w:rsidRPr="007C24E8">
        <w:tab/>
        <w:t xml:space="preserve">La Réunion commune a accueilli avec satisfaction les résultats des discussions du groupe de travail informel, y compris les réactions reçues lors de la discussion informelle en ligne tenue en juin et juillet 2020 par le Sous-Comité TMD (document </w:t>
      </w:r>
      <w:r w:rsidR="009B1F20" w:rsidRPr="007C24E8">
        <w:t xml:space="preserve">informel </w:t>
      </w:r>
      <w:r w:rsidRPr="007C24E8">
        <w:t>INF.39). Le document ECE/TRANS/WP.15/AC.1/2020/44 a fait l’objet de quelques observations concernant le texte proposé dans les différentes langues. Le représentant de la Roumanie a proposé d’élaborer une version actualisée du document qu’il soumettrait d’ici à la prochaine session du Sous-Comité et qui tiendrait compte des observations formulées.</w:t>
      </w:r>
    </w:p>
    <w:p w14:paraId="6AC7A2F0" w14:textId="77777777" w:rsidR="005E3367" w:rsidRPr="007C24E8" w:rsidRDefault="005E3367" w:rsidP="00160264">
      <w:pPr>
        <w:pStyle w:val="H1G"/>
      </w:pPr>
      <w:r w:rsidRPr="007C24E8">
        <w:tab/>
        <w:t>D.</w:t>
      </w:r>
      <w:r w:rsidRPr="007C24E8">
        <w:tab/>
        <w:t>Transport des matières qui polymérisent en tant que déchets</w:t>
      </w:r>
    </w:p>
    <w:p w14:paraId="07C2BD50"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ECE/TRANS/WP.15/AC.1/2020/51 (Allemagne)</w:t>
      </w:r>
      <w:r w:rsidR="00160264" w:rsidRPr="007C24E8">
        <w:t>.</w:t>
      </w:r>
    </w:p>
    <w:p w14:paraId="54E55DBC" w14:textId="77777777" w:rsidR="005E3367" w:rsidRPr="007C24E8" w:rsidRDefault="005E3367" w:rsidP="005E3367">
      <w:pPr>
        <w:pStyle w:val="SingleTxtG"/>
      </w:pPr>
      <w:r w:rsidRPr="007C24E8">
        <w:t>53.</w:t>
      </w:r>
      <w:r w:rsidRPr="007C24E8">
        <w:tab/>
        <w:t xml:space="preserve">La plupart des représentants qui ont pris la parole ont apporté leur soutien de principe à la </w:t>
      </w:r>
      <w:r w:rsidR="009B1F20" w:rsidRPr="007C24E8">
        <w:t xml:space="preserve">proposition </w:t>
      </w:r>
      <w:r w:rsidRPr="007C24E8">
        <w:t xml:space="preserve">d’introduire une nouvelle disposition spéciale pour permettre le transport des matières qui polymérisent en tant que déchets. Toutefois, certains étaient d’avis qu’il faudrait indiquer lesquelles des mesures énumérées étaient obligatoires et lesquelles étaient facultatives. D’autres auraient préféré des spécifications plus détaillées. Le représentant de l’Allemagne a proposé d’élaborer une </w:t>
      </w:r>
      <w:r w:rsidR="009B1F20" w:rsidRPr="007C24E8">
        <w:t xml:space="preserve">proposition </w:t>
      </w:r>
      <w:r w:rsidRPr="007C24E8">
        <w:t>révisée pour la prochaine Réunion commune.</w:t>
      </w:r>
    </w:p>
    <w:p w14:paraId="7E49CD8F" w14:textId="77777777" w:rsidR="005E3367" w:rsidRPr="007C24E8" w:rsidRDefault="005E3367" w:rsidP="00160264">
      <w:pPr>
        <w:pStyle w:val="H1G"/>
      </w:pPr>
      <w:r w:rsidRPr="007C24E8">
        <w:tab/>
        <w:t>E.</w:t>
      </w:r>
      <w:r w:rsidRPr="007C24E8">
        <w:tab/>
      </w:r>
      <w:r w:rsidR="009B1F20" w:rsidRPr="007C24E8">
        <w:t xml:space="preserve">Proposition </w:t>
      </w:r>
      <w:r w:rsidRPr="007C24E8">
        <w:t>relative au transport en vrac de déchets contenant de</w:t>
      </w:r>
      <w:r w:rsidR="00160264" w:rsidRPr="007C24E8">
        <w:t> </w:t>
      </w:r>
      <w:r w:rsidRPr="007C24E8">
        <w:t>l’amiante</w:t>
      </w:r>
    </w:p>
    <w:p w14:paraId="705FE61A" w14:textId="77777777" w:rsidR="005E3367" w:rsidRPr="007C24E8" w:rsidRDefault="005E3367" w:rsidP="00160264">
      <w:pPr>
        <w:pStyle w:val="SingleTxtG"/>
        <w:keepNext/>
        <w:ind w:left="3402" w:hanging="2268"/>
        <w:jc w:val="left"/>
      </w:pPr>
      <w:r w:rsidRPr="007C24E8">
        <w:rPr>
          <w:i/>
        </w:rPr>
        <w:t>Document</w:t>
      </w:r>
      <w:r w:rsidR="004E3C2D" w:rsidRPr="007C24E8">
        <w:t> :</w:t>
      </w:r>
      <w:r w:rsidRPr="007C24E8">
        <w:tab/>
        <w:t>ECE/TRANS/WP.15/AC.1/2020/57 (France)</w:t>
      </w:r>
      <w:r w:rsidR="004E3C2D" w:rsidRPr="007C24E8">
        <w:t>.</w:t>
      </w:r>
    </w:p>
    <w:p w14:paraId="2A0B56BA" w14:textId="77777777" w:rsidR="005E3367" w:rsidRPr="007C24E8" w:rsidRDefault="005E3367" w:rsidP="00160264">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INF.58 (France)</w:t>
      </w:r>
      <w:r w:rsidR="004E3C2D" w:rsidRPr="007C24E8">
        <w:t>.</w:t>
      </w:r>
    </w:p>
    <w:p w14:paraId="100AEAF9" w14:textId="77777777" w:rsidR="005E3367" w:rsidRPr="007C24E8" w:rsidRDefault="005E3367" w:rsidP="005E3367">
      <w:pPr>
        <w:pStyle w:val="SingleTxtG"/>
      </w:pPr>
      <w:r w:rsidRPr="007C24E8">
        <w:t>54.</w:t>
      </w:r>
      <w:r w:rsidRPr="007C24E8">
        <w:tab/>
        <w:t>Plusieurs représentants ont approuvé en principe les amendements proposés dans le document ECE/TRANS/WP.15/AC.1/2020/57 mais souhaitaient ajouter des dispositions supplémentaires sur le confinement et le déchargement sûrs des déchets sans déchirure des « conteneurs-</w:t>
      </w:r>
      <w:proofErr w:type="spellStart"/>
      <w:r w:rsidRPr="007C24E8">
        <w:t>bags</w:t>
      </w:r>
      <w:proofErr w:type="spellEnd"/>
      <w:r w:rsidRPr="007C24E8">
        <w:t xml:space="preserve"> ». Il a également été recommandé de clarifier la formulation de la première phrase de la </w:t>
      </w:r>
      <w:r w:rsidR="009B1F20" w:rsidRPr="007C24E8">
        <w:t xml:space="preserve">proposition </w:t>
      </w:r>
      <w:r w:rsidRPr="007C24E8">
        <w:t xml:space="preserve">2. Le représentant de la France a invité tous les participants à lui faire part de leurs commentaires sur le document. Il a proposé de poursuivre l’élaboration de sa </w:t>
      </w:r>
      <w:r w:rsidR="009B1F20" w:rsidRPr="007C24E8">
        <w:t xml:space="preserve">proposition </w:t>
      </w:r>
      <w:r w:rsidRPr="007C24E8">
        <w:t>et de soumettre un document révisé pour examen à la prochaine Réunion commune.</w:t>
      </w:r>
    </w:p>
    <w:p w14:paraId="0DE51E4A" w14:textId="77777777" w:rsidR="005E3367" w:rsidRPr="007C24E8" w:rsidRDefault="005E3367" w:rsidP="004E3C2D">
      <w:pPr>
        <w:pStyle w:val="H1G"/>
      </w:pPr>
      <w:r w:rsidRPr="007C24E8">
        <w:tab/>
        <w:t>F.</w:t>
      </w:r>
      <w:r w:rsidRPr="007C24E8">
        <w:tab/>
        <w:t xml:space="preserve">Groupe de travail </w:t>
      </w:r>
      <w:r w:rsidR="009B1F20" w:rsidRPr="007C24E8">
        <w:t xml:space="preserve">informel </w:t>
      </w:r>
      <w:r w:rsidRPr="007C24E8">
        <w:t>des transports de déchets dangereux</w:t>
      </w:r>
      <w:r w:rsidR="004E3C2D" w:rsidRPr="007C24E8">
        <w:t> :</w:t>
      </w:r>
      <w:r w:rsidRPr="007C24E8">
        <w:t xml:space="preserve"> réunion tenue à Utrecht (3 et 4 mars 2020)</w:t>
      </w:r>
    </w:p>
    <w:p w14:paraId="29C7A978" w14:textId="77777777" w:rsidR="005E3367" w:rsidRPr="007C24E8" w:rsidRDefault="005E3367" w:rsidP="004E3C2D">
      <w:pPr>
        <w:pStyle w:val="SingleTxtG"/>
        <w:keepNext/>
        <w:ind w:left="3402" w:hanging="2268"/>
        <w:jc w:val="left"/>
      </w:pPr>
      <w:r w:rsidRPr="007C24E8">
        <w:rPr>
          <w:i/>
        </w:rPr>
        <w:t>Document</w:t>
      </w:r>
      <w:r w:rsidR="004E3C2D" w:rsidRPr="007C24E8">
        <w:t> :</w:t>
      </w:r>
      <w:r w:rsidRPr="007C24E8">
        <w:tab/>
        <w:t>ECE/TRANS/WP.15/AC.1/2020/59 (FEAD)</w:t>
      </w:r>
      <w:r w:rsidR="004E3C2D" w:rsidRPr="007C24E8">
        <w:t>.</w:t>
      </w:r>
    </w:p>
    <w:p w14:paraId="6BBD16FD" w14:textId="77777777" w:rsidR="005E3367" w:rsidRPr="007C24E8" w:rsidRDefault="005E3367" w:rsidP="005E3367">
      <w:pPr>
        <w:pStyle w:val="SingleTxtG"/>
      </w:pPr>
      <w:r w:rsidRPr="007C24E8">
        <w:t>55.</w:t>
      </w:r>
      <w:r w:rsidRPr="007C24E8">
        <w:tab/>
        <w:t xml:space="preserve">Le représentant de la FEAD a informé la Réunion commune des résultats de la réunion du groupe de travail </w:t>
      </w:r>
      <w:r w:rsidR="009B1F20" w:rsidRPr="007C24E8">
        <w:t xml:space="preserve">informel </w:t>
      </w:r>
      <w:r w:rsidRPr="007C24E8">
        <w:t>qui s’est tenue les 3 et 4</w:t>
      </w:r>
      <w:r w:rsidR="004E3C2D" w:rsidRPr="007C24E8">
        <w:t> </w:t>
      </w:r>
      <w:r w:rsidRPr="007C24E8">
        <w:t>mars 2020.</w:t>
      </w:r>
    </w:p>
    <w:p w14:paraId="5027E32B" w14:textId="77777777" w:rsidR="005E3367" w:rsidRPr="007C24E8" w:rsidRDefault="005E3367" w:rsidP="004E3C2D">
      <w:pPr>
        <w:pStyle w:val="H1G"/>
      </w:pPr>
      <w:r w:rsidRPr="007C24E8">
        <w:tab/>
        <w:t>G.</w:t>
      </w:r>
      <w:r w:rsidR="004E3C2D" w:rsidRPr="007C24E8">
        <w:tab/>
        <w:t>« </w:t>
      </w:r>
      <w:r w:rsidRPr="007C24E8">
        <w:t>Emballages vides non nettoyés</w:t>
      </w:r>
      <w:r w:rsidR="004E3C2D" w:rsidRPr="007C24E8">
        <w:t> »</w:t>
      </w:r>
      <w:r w:rsidRPr="007C24E8">
        <w:t xml:space="preserve"> ou </w:t>
      </w:r>
      <w:r w:rsidR="004E3C2D" w:rsidRPr="007C24E8">
        <w:t>« </w:t>
      </w:r>
      <w:r w:rsidRPr="007C24E8">
        <w:t>Emballages au rebut, vides, non nettoyés</w:t>
      </w:r>
      <w:r w:rsidR="004E3C2D" w:rsidRPr="007C24E8">
        <w:t> »</w:t>
      </w:r>
      <w:r w:rsidRPr="007C24E8">
        <w:t xml:space="preserve"> (numéro </w:t>
      </w:r>
      <w:r w:rsidR="007C24E8">
        <w:t>ONU </w:t>
      </w:r>
      <w:r w:rsidRPr="007C24E8">
        <w:t xml:space="preserve">3509) </w:t>
      </w:r>
      <w:r w:rsidR="004E3C2D" w:rsidRPr="007C24E8">
        <w:t xml:space="preserve">− </w:t>
      </w:r>
      <w:r w:rsidRPr="007C24E8">
        <w:t>Clarification du champ d’application</w:t>
      </w:r>
    </w:p>
    <w:p w14:paraId="2542BAD2" w14:textId="77777777" w:rsidR="005E3367" w:rsidRPr="007C24E8" w:rsidRDefault="005E3367" w:rsidP="004E3C2D">
      <w:pPr>
        <w:pStyle w:val="SingleTxtG"/>
        <w:keepNext/>
        <w:ind w:left="3402" w:hanging="2268"/>
        <w:jc w:val="left"/>
      </w:pPr>
      <w:r w:rsidRPr="007C24E8">
        <w:rPr>
          <w:i/>
        </w:rPr>
        <w:t>Document</w:t>
      </w:r>
      <w:r w:rsidR="004E3C2D" w:rsidRPr="007C24E8">
        <w:t> :</w:t>
      </w:r>
      <w:r w:rsidRPr="007C24E8">
        <w:rPr>
          <w:i/>
        </w:rPr>
        <w:tab/>
      </w:r>
      <w:r w:rsidRPr="007C24E8">
        <w:t>ECE/TRANS/WP.15/AC.1/2020/60 (FEAD)</w:t>
      </w:r>
      <w:r w:rsidR="004E3C2D" w:rsidRPr="007C24E8">
        <w:t>.</w:t>
      </w:r>
    </w:p>
    <w:p w14:paraId="0C05C7BC" w14:textId="77777777" w:rsidR="005E3367" w:rsidRPr="007C24E8" w:rsidRDefault="005E3367" w:rsidP="004E3C2D">
      <w:pPr>
        <w:pStyle w:val="SingleTxtG"/>
      </w:pPr>
      <w:r w:rsidRPr="007C24E8">
        <w:t>56.</w:t>
      </w:r>
      <w:r w:rsidRPr="007C24E8">
        <w:tab/>
        <w:t>La plupart des représentants qui ont pris la parole n’étaient pas favorables aux amendements à la disposition spéciale 663 qui étaient proposés à l’</w:t>
      </w:r>
      <w:r w:rsidR="009B1F20" w:rsidRPr="007C24E8">
        <w:t xml:space="preserve">alinéa </w:t>
      </w:r>
      <w:r w:rsidRPr="007C24E8">
        <w:t>a). La Réunion commune a adopté le libellé proposé à l’</w:t>
      </w:r>
      <w:r w:rsidR="009B1F20" w:rsidRPr="007C24E8">
        <w:t xml:space="preserve">alinéa </w:t>
      </w:r>
      <w:r w:rsidRPr="007C24E8">
        <w:t>b), avec quelques modifications (voir l’</w:t>
      </w:r>
      <w:r w:rsidR="009B1F20" w:rsidRPr="007C24E8">
        <w:t xml:space="preserve">annexe </w:t>
      </w:r>
      <w:r w:rsidRPr="007C24E8">
        <w:t>II).</w:t>
      </w:r>
    </w:p>
    <w:p w14:paraId="54CC28AC" w14:textId="77777777" w:rsidR="005E3367" w:rsidRPr="007C24E8" w:rsidRDefault="005E3367" w:rsidP="004E3C2D">
      <w:pPr>
        <w:pStyle w:val="H1G"/>
      </w:pPr>
      <w:r w:rsidRPr="007C24E8">
        <w:tab/>
        <w:t>H.</w:t>
      </w:r>
      <w:r w:rsidRPr="007C24E8">
        <w:tab/>
        <w:t>Indication de la quantité transportée dans le document de transport</w:t>
      </w:r>
    </w:p>
    <w:p w14:paraId="37414339" w14:textId="77777777" w:rsidR="005E3367" w:rsidRPr="007C24E8" w:rsidRDefault="005E3367" w:rsidP="004E3C2D">
      <w:pPr>
        <w:pStyle w:val="SingleTxtG"/>
        <w:keepNext/>
        <w:ind w:left="3402" w:hanging="2268"/>
        <w:jc w:val="left"/>
      </w:pPr>
      <w:r w:rsidRPr="007C24E8">
        <w:rPr>
          <w:i/>
        </w:rPr>
        <w:t>Document</w:t>
      </w:r>
      <w:r w:rsidR="004E3C2D" w:rsidRPr="007C24E8">
        <w:t> :</w:t>
      </w:r>
      <w:r w:rsidRPr="007C24E8">
        <w:tab/>
        <w:t>ECE/TRANS/WP.15/AC.1/2020/61 (FEAD)</w:t>
      </w:r>
      <w:r w:rsidR="004E3C2D" w:rsidRPr="007C24E8">
        <w:t>.</w:t>
      </w:r>
    </w:p>
    <w:p w14:paraId="5DBCBB65" w14:textId="77777777" w:rsidR="005E3367" w:rsidRPr="007C24E8" w:rsidRDefault="005E3367" w:rsidP="004E3C2D">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INF.49 (FEAD)</w:t>
      </w:r>
      <w:r w:rsidR="004E3C2D" w:rsidRPr="007C24E8">
        <w:t>.</w:t>
      </w:r>
    </w:p>
    <w:p w14:paraId="2C6DFBCB" w14:textId="77777777" w:rsidR="005E3367" w:rsidRPr="007C24E8" w:rsidRDefault="005E3367" w:rsidP="005E3367">
      <w:pPr>
        <w:pStyle w:val="SingleTxtG"/>
      </w:pPr>
      <w:r w:rsidRPr="007C24E8">
        <w:t>57.</w:t>
      </w:r>
      <w:r w:rsidRPr="007C24E8">
        <w:tab/>
        <w:t xml:space="preserve">La plupart des représentants qui ont pris la parole n’ont pas accepté les amendements au </w:t>
      </w:r>
      <w:r w:rsidR="009B1F20" w:rsidRPr="007C24E8">
        <w:t xml:space="preserve">paragraphe </w:t>
      </w:r>
      <w:r w:rsidRPr="007C24E8">
        <w:t xml:space="preserve">5.4.1.1.1 du RID et de l’ADR sous la forme présentée. Le représentant de la FEAD a proposé de revoir sa </w:t>
      </w:r>
      <w:r w:rsidR="009B1F20" w:rsidRPr="007C24E8">
        <w:t xml:space="preserve">proposition </w:t>
      </w:r>
      <w:r w:rsidRPr="007C24E8">
        <w:t>en tenant compte des observations reçues et de soumettre une version révisée à la prochaine session.</w:t>
      </w:r>
    </w:p>
    <w:p w14:paraId="12615604" w14:textId="77777777" w:rsidR="005E3367" w:rsidRPr="007C24E8" w:rsidRDefault="005E3367" w:rsidP="004E3C2D">
      <w:pPr>
        <w:pStyle w:val="H1G"/>
      </w:pPr>
      <w:r w:rsidRPr="007C24E8">
        <w:tab/>
        <w:t>I.</w:t>
      </w:r>
      <w:r w:rsidRPr="007C24E8">
        <w:tab/>
        <w:t xml:space="preserve">Transport du numéro </w:t>
      </w:r>
      <w:r w:rsidR="007C24E8">
        <w:t>ONU </w:t>
      </w:r>
      <w:r w:rsidRPr="007C24E8">
        <w:t>3509 en vrac dans des conteneurs ou des</w:t>
      </w:r>
      <w:r w:rsidR="004E3C2D" w:rsidRPr="007C24E8">
        <w:t> </w:t>
      </w:r>
      <w:r w:rsidRPr="007C24E8">
        <w:t>wagons ou véhicules bâchés (et non uniquement fermés)</w:t>
      </w:r>
    </w:p>
    <w:p w14:paraId="3B2DA4EE" w14:textId="77777777" w:rsidR="005E3367" w:rsidRPr="007C24E8" w:rsidRDefault="005E3367" w:rsidP="004E3C2D">
      <w:pPr>
        <w:pStyle w:val="SingleTxtG"/>
        <w:keepNext/>
        <w:ind w:left="3402" w:hanging="2268"/>
        <w:jc w:val="left"/>
      </w:pPr>
      <w:r w:rsidRPr="007C24E8">
        <w:rPr>
          <w:i/>
        </w:rPr>
        <w:t>Document</w:t>
      </w:r>
      <w:r w:rsidR="004E3C2D" w:rsidRPr="007C24E8">
        <w:t> :</w:t>
      </w:r>
      <w:r w:rsidRPr="007C24E8">
        <w:tab/>
        <w:t>ECE/TRANS/WP.15/AC.1/2020/62 (FEAD)</w:t>
      </w:r>
      <w:r w:rsidR="004E3C2D" w:rsidRPr="007C24E8">
        <w:t>.</w:t>
      </w:r>
    </w:p>
    <w:p w14:paraId="611D1141" w14:textId="77777777" w:rsidR="005E3367" w:rsidRPr="007C24E8" w:rsidRDefault="005E3367" w:rsidP="005E3367">
      <w:pPr>
        <w:pStyle w:val="SingleTxtG"/>
      </w:pPr>
      <w:r w:rsidRPr="007C24E8">
        <w:t>58.</w:t>
      </w:r>
      <w:r w:rsidRPr="007C24E8">
        <w:tab/>
        <w:t xml:space="preserve">La Réunion commune a adopté la </w:t>
      </w:r>
      <w:r w:rsidR="009B1F20" w:rsidRPr="007C24E8">
        <w:t xml:space="preserve">proposition </w:t>
      </w:r>
      <w:r w:rsidRPr="007C24E8">
        <w:t>d’amendement au tableau A du chapitre 3.2 (voir l’</w:t>
      </w:r>
      <w:r w:rsidR="009B1F20" w:rsidRPr="007C24E8">
        <w:t xml:space="preserve">annexe </w:t>
      </w:r>
      <w:r w:rsidRPr="007C24E8">
        <w:t>II).</w:t>
      </w:r>
    </w:p>
    <w:p w14:paraId="332BDFCD" w14:textId="77777777" w:rsidR="005E3367" w:rsidRPr="007C24E8" w:rsidRDefault="005E3367" w:rsidP="005E3367">
      <w:pPr>
        <w:pStyle w:val="SingleTxtG"/>
      </w:pPr>
      <w:r w:rsidRPr="007C24E8">
        <w:t>59.</w:t>
      </w:r>
      <w:r w:rsidRPr="007C24E8">
        <w:tab/>
        <w:t xml:space="preserve">Le représentant de la FEAD a informé la Réunion commune que la prochaine réunion du groupe de travail </w:t>
      </w:r>
      <w:r w:rsidR="009B1F20" w:rsidRPr="007C24E8">
        <w:t xml:space="preserve">informel </w:t>
      </w:r>
      <w:r w:rsidRPr="007C24E8">
        <w:t>du transport des déchets dangereux, qui devait se tenir les 6 et 7</w:t>
      </w:r>
      <w:r w:rsidR="00890555" w:rsidRPr="007C24E8">
        <w:t> </w:t>
      </w:r>
      <w:r w:rsidRPr="007C24E8">
        <w:t>octobre 2020 aux Pays-Bas, avait été annulée en raison des mesures liées à la COVID-19. Il a annoncé son intention d’organiser une réunion virtuelle en remplacement de la réunion en présentiel.</w:t>
      </w:r>
    </w:p>
    <w:p w14:paraId="3535989C" w14:textId="77777777" w:rsidR="005E3367" w:rsidRPr="007C24E8" w:rsidRDefault="005E3367" w:rsidP="004E3C2D">
      <w:pPr>
        <w:pStyle w:val="H1G"/>
      </w:pPr>
      <w:r w:rsidRPr="007C24E8">
        <w:tab/>
        <w:t>J.</w:t>
      </w:r>
      <w:r w:rsidRPr="007C24E8">
        <w:tab/>
        <w:t xml:space="preserve">Rapport du groupe de travail </w:t>
      </w:r>
      <w:r w:rsidR="009B1F20" w:rsidRPr="007C24E8">
        <w:t xml:space="preserve">informel </w:t>
      </w:r>
      <w:r w:rsidRPr="007C24E8">
        <w:t>des «</w:t>
      </w:r>
      <w:r w:rsidR="004E3C2D" w:rsidRPr="007C24E8">
        <w:t> </w:t>
      </w:r>
      <w:r w:rsidRPr="007C24E8">
        <w:t>dispositions relatives à</w:t>
      </w:r>
      <w:r w:rsidR="004E3C2D" w:rsidRPr="007C24E8">
        <w:t> </w:t>
      </w:r>
      <w:r w:rsidRPr="007C24E8">
        <w:t>l’équipement des citernes et des récipients à pression</w:t>
      </w:r>
      <w:r w:rsidR="004E3C2D" w:rsidRPr="007C24E8">
        <w:t> </w:t>
      </w:r>
      <w:r w:rsidRPr="007C24E8">
        <w:t>»</w:t>
      </w:r>
    </w:p>
    <w:p w14:paraId="642C6A0B" w14:textId="77777777" w:rsidR="005E3367" w:rsidRPr="007C24E8" w:rsidRDefault="005E3367" w:rsidP="004E3C2D">
      <w:pPr>
        <w:pStyle w:val="SingleTxtG"/>
        <w:keepNext/>
        <w:ind w:left="3402" w:hanging="2268"/>
        <w:jc w:val="left"/>
      </w:pPr>
      <w:r w:rsidRPr="007C24E8">
        <w:rPr>
          <w:i/>
        </w:rPr>
        <w:t>Document</w:t>
      </w:r>
      <w:r w:rsidR="004E3C2D" w:rsidRPr="007C24E8">
        <w:t> :</w:t>
      </w:r>
      <w:r w:rsidRPr="007C24E8">
        <w:tab/>
        <w:t>ECE/TRANS/WP.15/AC.1/2020/65 (EIGA)</w:t>
      </w:r>
      <w:r w:rsidR="004E3C2D" w:rsidRPr="007C24E8">
        <w:t>.</w:t>
      </w:r>
    </w:p>
    <w:p w14:paraId="16ED0BE1" w14:textId="77777777" w:rsidR="005E3367" w:rsidRPr="007C24E8" w:rsidRDefault="005E3367" w:rsidP="005E3367">
      <w:pPr>
        <w:pStyle w:val="SingleTxtG"/>
      </w:pPr>
      <w:r w:rsidRPr="007C24E8">
        <w:t>60.</w:t>
      </w:r>
      <w:r w:rsidRPr="007C24E8">
        <w:tab/>
        <w:t xml:space="preserve">La Réunion commune a pris note du rapport et s’est félicitée des précisions apportées aux définitions des enveloppes de récipients à pression et des récipients à pression en ce qui concerne l’exclusion ou l’inclusion de leurs fermetures. Il a été expliqué que les </w:t>
      </w:r>
      <w:r w:rsidR="009B1F20" w:rsidRPr="007C24E8">
        <w:t xml:space="preserve">propositions </w:t>
      </w:r>
      <w:r w:rsidRPr="007C24E8">
        <w:t xml:space="preserve">devraient être examinées à la lumière des amendements déjà adoptés par le Sous-Comité d’experts du transport des marchandises dangereuses pour la prochaine édition du Règlement type. Il a donc été convenu de renvoyer les </w:t>
      </w:r>
      <w:r w:rsidR="009B1F20" w:rsidRPr="007C24E8">
        <w:t xml:space="preserve">propositions </w:t>
      </w:r>
      <w:r w:rsidRPr="007C24E8">
        <w:t>d’amendements à la prochaine session du Groupe de travail spécial de l’harmonisation du RID, de l’ADR et de l’ADN avec le Règlement type de l’ONU.</w:t>
      </w:r>
    </w:p>
    <w:p w14:paraId="1EED6F16" w14:textId="77777777" w:rsidR="005E3367" w:rsidRPr="007C24E8" w:rsidRDefault="005E3367" w:rsidP="004E3C2D">
      <w:pPr>
        <w:pStyle w:val="HChG"/>
      </w:pPr>
      <w:bookmarkStart w:id="10" w:name="_Hlk51257529"/>
      <w:r w:rsidRPr="007C24E8">
        <w:tab/>
        <w:t>IX.</w:t>
      </w:r>
      <w:r w:rsidRPr="007C24E8">
        <w:tab/>
        <w:t>Accidents et gestion des risques (point 7 de l’ordre du jour)</w:t>
      </w:r>
    </w:p>
    <w:bookmarkEnd w:id="10"/>
    <w:p w14:paraId="15CB6940" w14:textId="77777777" w:rsidR="005E3367" w:rsidRPr="007C24E8" w:rsidRDefault="005E3367" w:rsidP="004E3C2D">
      <w:pPr>
        <w:pStyle w:val="SingleTxtG"/>
        <w:keepNext/>
        <w:ind w:left="3402" w:hanging="2268"/>
        <w:jc w:val="left"/>
      </w:pPr>
      <w:r w:rsidRPr="007C24E8">
        <w:rPr>
          <w:i/>
        </w:rPr>
        <w:t>Document</w:t>
      </w:r>
      <w:r w:rsidR="004E3C2D" w:rsidRPr="007C24E8">
        <w:t> :</w:t>
      </w:r>
      <w:r w:rsidRPr="007C24E8">
        <w:tab/>
        <w:t>ECE/TRANS/WP.15/AC.1/2020/55 (France)</w:t>
      </w:r>
      <w:r w:rsidR="004E3C2D" w:rsidRPr="007C24E8">
        <w:t>.</w:t>
      </w:r>
    </w:p>
    <w:p w14:paraId="37916FF4" w14:textId="77777777" w:rsidR="005E3367" w:rsidRPr="007C24E8" w:rsidRDefault="005E3367" w:rsidP="004E3C2D">
      <w:pPr>
        <w:pStyle w:val="SingleTxtG"/>
        <w:keepNext/>
        <w:ind w:left="3402" w:hanging="2268"/>
        <w:jc w:val="left"/>
      </w:pPr>
      <w:r w:rsidRPr="007C24E8">
        <w:rPr>
          <w:i/>
        </w:rPr>
        <w:t>Documents informels</w:t>
      </w:r>
      <w:r w:rsidR="004E3C2D" w:rsidRPr="007C24E8">
        <w:t> :</w:t>
      </w:r>
      <w:r w:rsidRPr="007C24E8">
        <w:tab/>
        <w:t xml:space="preserve">INF.40, INF.41, INF.42 </w:t>
      </w:r>
      <w:r w:rsidR="00890555" w:rsidRPr="007C24E8">
        <w:t>et</w:t>
      </w:r>
      <w:r w:rsidRPr="007C24E8">
        <w:t xml:space="preserve"> INF.47 (France)</w:t>
      </w:r>
      <w:r w:rsidR="004E3C2D" w:rsidRPr="007C24E8">
        <w:t>.</w:t>
      </w:r>
    </w:p>
    <w:p w14:paraId="6180A3DA" w14:textId="77777777" w:rsidR="005E3367" w:rsidRPr="007C24E8" w:rsidRDefault="005E3367" w:rsidP="005E3367">
      <w:pPr>
        <w:pStyle w:val="SingleTxtG"/>
      </w:pPr>
      <w:r w:rsidRPr="007C24E8">
        <w:t>61.</w:t>
      </w:r>
      <w:r w:rsidRPr="007C24E8">
        <w:tab/>
        <w:t xml:space="preserve">La Réunion commune a pris note des informations concernant le groupe de travail </w:t>
      </w:r>
      <w:r w:rsidR="009B1F20" w:rsidRPr="007C24E8">
        <w:t xml:space="preserve">informel </w:t>
      </w:r>
      <w:r w:rsidRPr="007C24E8">
        <w:t xml:space="preserve">de l’amélioration du rapport d’accident. Les documents ont suscité plusieurs observations concernant l’objectif des rapports d’accident, l’utilisation de critères harmonisés et les étapes à venir dans la clarification des procédures. Il a été recommandé que le groupe de travail </w:t>
      </w:r>
      <w:r w:rsidR="009B1F20" w:rsidRPr="007C24E8">
        <w:t xml:space="preserve">informel </w:t>
      </w:r>
      <w:r w:rsidRPr="007C24E8">
        <w:t>reprenne ses travaux et en rende compte à la prochaine session de la Réunion commune, en mars 2021.</w:t>
      </w:r>
    </w:p>
    <w:p w14:paraId="1F1AD596" w14:textId="77777777" w:rsidR="005E3367" w:rsidRPr="007C24E8" w:rsidRDefault="005E3367" w:rsidP="004E3C2D">
      <w:pPr>
        <w:pStyle w:val="HChG"/>
      </w:pPr>
      <w:r w:rsidRPr="007C24E8">
        <w:tab/>
        <w:t>X.</w:t>
      </w:r>
      <w:r w:rsidRPr="007C24E8">
        <w:tab/>
        <w:t>Travaux futurs (point 8 de l’ordre du jour)</w:t>
      </w:r>
    </w:p>
    <w:p w14:paraId="6380AAD7" w14:textId="77777777" w:rsidR="005E3367" w:rsidRPr="007C24E8" w:rsidRDefault="005E3367" w:rsidP="005E3367">
      <w:pPr>
        <w:pStyle w:val="SingleTxtG"/>
        <w:keepNext/>
        <w:keepLines/>
        <w:spacing w:line="240" w:lineRule="auto"/>
      </w:pPr>
      <w:r w:rsidRPr="007C24E8">
        <w:t>62.</w:t>
      </w:r>
      <w:r w:rsidRPr="007C24E8">
        <w:tab/>
        <w:t>La Réunion commune a été informée que sa prochaine session se tiendrait à Berne, du 15 au 19</w:t>
      </w:r>
      <w:r w:rsidR="004E3C2D" w:rsidRPr="007C24E8">
        <w:t> </w:t>
      </w:r>
      <w:r w:rsidRPr="007C24E8">
        <w:t>mars 2021, et que la date limite pour la soumission des documents avait été fixée au 18</w:t>
      </w:r>
      <w:r w:rsidR="004E3C2D" w:rsidRPr="007C24E8">
        <w:t> </w:t>
      </w:r>
      <w:r w:rsidRPr="007C24E8">
        <w:t>décembre 2020. Il a été noté que la prochaine session du Groupe de travail spécial de l’harmonisation des Règlements RID/ADR/ADN avec les Recommandations de l’</w:t>
      </w:r>
      <w:r w:rsidR="007C24E8">
        <w:t>ONU </w:t>
      </w:r>
      <w:r w:rsidRPr="007C24E8">
        <w:t>relatives au transport des marchandises dangereuses devrait se tenir du 21 au 23 avril 2021.</w:t>
      </w:r>
    </w:p>
    <w:p w14:paraId="5A26E1A8" w14:textId="77777777" w:rsidR="005E3367" w:rsidRPr="007C24E8" w:rsidRDefault="005E3367" w:rsidP="004E3C2D">
      <w:pPr>
        <w:pStyle w:val="HChG"/>
      </w:pPr>
      <w:r w:rsidRPr="007C24E8">
        <w:tab/>
        <w:t>XI.</w:t>
      </w:r>
      <w:r w:rsidRPr="007C24E8">
        <w:tab/>
        <w:t>Élection du Bureau pour 2021 (point 9 de l’ordre du jour)</w:t>
      </w:r>
    </w:p>
    <w:p w14:paraId="20ABC4EC" w14:textId="77777777" w:rsidR="005E3367" w:rsidRPr="007C24E8" w:rsidRDefault="005E3367" w:rsidP="005E3367">
      <w:pPr>
        <w:pStyle w:val="SingleTxtG"/>
        <w:spacing w:line="240" w:lineRule="auto"/>
      </w:pPr>
      <w:r w:rsidRPr="007C24E8">
        <w:t>63.</w:t>
      </w:r>
      <w:r w:rsidRPr="007C24E8">
        <w:tab/>
        <w:t xml:space="preserve">Sur </w:t>
      </w:r>
      <w:r w:rsidR="009B1F20" w:rsidRPr="007C24E8">
        <w:t xml:space="preserve">proposition </w:t>
      </w:r>
      <w:r w:rsidRPr="007C24E8">
        <w:t>du représentant du Luxembourg, M. C.</w:t>
      </w:r>
      <w:r w:rsidR="00890555" w:rsidRPr="007C24E8">
        <w:t xml:space="preserve"> </w:t>
      </w:r>
      <w:proofErr w:type="spellStart"/>
      <w:r w:rsidRPr="007C24E8">
        <w:t>Pfauvadel</w:t>
      </w:r>
      <w:proofErr w:type="spellEnd"/>
      <w:r w:rsidRPr="007C24E8">
        <w:t xml:space="preserve"> (France) et </w:t>
      </w:r>
      <w:r w:rsidR="00890555" w:rsidRPr="007C24E8">
        <w:t>M</w:t>
      </w:r>
      <w:r w:rsidR="00890555" w:rsidRPr="007C24E8">
        <w:rPr>
          <w:vertAlign w:val="superscript"/>
        </w:rPr>
        <w:t>me</w:t>
      </w:r>
      <w:r w:rsidR="00890555" w:rsidRPr="007C24E8">
        <w:t> </w:t>
      </w:r>
      <w:r w:rsidRPr="007C24E8">
        <w:t>S.</w:t>
      </w:r>
      <w:r w:rsidR="00890555" w:rsidRPr="007C24E8">
        <w:t> </w:t>
      </w:r>
      <w:r w:rsidRPr="007C24E8">
        <w:t>García Wolfrum (Espagne) ont été respectivement réélus Président et Vice</w:t>
      </w:r>
      <w:r w:rsidR="00890555" w:rsidRPr="007C24E8">
        <w:noBreakHyphen/>
      </w:r>
      <w:r w:rsidRPr="007C24E8">
        <w:t>Présidente pour 2021.</w:t>
      </w:r>
    </w:p>
    <w:p w14:paraId="78AE51DF" w14:textId="77777777" w:rsidR="005E3367" w:rsidRPr="007C24E8" w:rsidRDefault="005E3367" w:rsidP="004E3C2D">
      <w:pPr>
        <w:pStyle w:val="HChG"/>
      </w:pPr>
      <w:r w:rsidRPr="007C24E8">
        <w:tab/>
        <w:t>XII.</w:t>
      </w:r>
      <w:r w:rsidRPr="007C24E8">
        <w:tab/>
        <w:t>Questions diverses (point 10 de l’ordre du jour)</w:t>
      </w:r>
    </w:p>
    <w:p w14:paraId="5287C46F" w14:textId="77777777" w:rsidR="005E3367" w:rsidRPr="007C24E8" w:rsidRDefault="005E3367" w:rsidP="004E3C2D">
      <w:pPr>
        <w:pStyle w:val="H1G"/>
      </w:pPr>
      <w:r w:rsidRPr="007C24E8">
        <w:tab/>
        <w:t>A.</w:t>
      </w:r>
      <w:r w:rsidRPr="007C24E8">
        <w:tab/>
        <w:t>Réévaluation du statut consultatif de l’EASA</w:t>
      </w:r>
    </w:p>
    <w:p w14:paraId="3D87A9DF" w14:textId="77777777" w:rsidR="005E3367" w:rsidRPr="007C24E8" w:rsidRDefault="005E3367" w:rsidP="004E3C2D">
      <w:pPr>
        <w:pStyle w:val="SingleTxtG"/>
        <w:keepNext/>
        <w:ind w:left="3402" w:hanging="2268"/>
        <w:jc w:val="left"/>
      </w:pPr>
      <w:r w:rsidRPr="007C24E8">
        <w:rPr>
          <w:i/>
        </w:rPr>
        <w:t xml:space="preserve">Document </w:t>
      </w:r>
      <w:r w:rsidR="009B1F20" w:rsidRPr="007C24E8">
        <w:rPr>
          <w:i/>
        </w:rPr>
        <w:t>informel</w:t>
      </w:r>
      <w:r w:rsidR="009B1F20" w:rsidRPr="007C24E8">
        <w:t>:</w:t>
      </w:r>
      <w:r w:rsidRPr="007C24E8">
        <w:tab/>
        <w:t>INF.4 (EASA)</w:t>
      </w:r>
      <w:r w:rsidR="004E3C2D" w:rsidRPr="007C24E8">
        <w:t>.</w:t>
      </w:r>
    </w:p>
    <w:p w14:paraId="188C97CC" w14:textId="77777777" w:rsidR="005E3367" w:rsidRPr="007C24E8" w:rsidRDefault="005E3367" w:rsidP="005E3367">
      <w:pPr>
        <w:pStyle w:val="SingleTxtG"/>
      </w:pPr>
      <w:r w:rsidRPr="007C24E8">
        <w:t>64.</w:t>
      </w:r>
      <w:r w:rsidRPr="007C24E8">
        <w:tab/>
        <w:t>Le représentant de l’Association européenne des conseillers à la sécurité pour matières dangereuses (EASA) a demandé que soit réexaminée la portée du statut consultatif de son organisme, qui est actuellement limitée aux questions relevant de la section 1.8.3 du RID, de l’ADR et de l’ADN. Plusieurs délégations ont appuyé cette demande et la Réunion commune a décidé à la majorité d’élargir le statut consultatif de l’AESA à tous les sujets couverts par le RID, l’ADR et l’ADN.</w:t>
      </w:r>
    </w:p>
    <w:p w14:paraId="64A82108" w14:textId="77777777" w:rsidR="005E3367" w:rsidRPr="007C24E8" w:rsidRDefault="005E3367" w:rsidP="004E3C2D">
      <w:pPr>
        <w:pStyle w:val="H1G"/>
      </w:pPr>
      <w:r w:rsidRPr="007C24E8">
        <w:tab/>
        <w:t>B.</w:t>
      </w:r>
      <w:r w:rsidRPr="007C24E8">
        <w:tab/>
        <w:t>Mise en œuvre de la stratégie du CTI jusqu’en 2030</w:t>
      </w:r>
    </w:p>
    <w:p w14:paraId="21082B64" w14:textId="77777777" w:rsidR="005E3367" w:rsidRPr="007C24E8" w:rsidRDefault="005E3367" w:rsidP="004E3C2D">
      <w:pPr>
        <w:pStyle w:val="SingleTxtG"/>
        <w:keepNext/>
        <w:ind w:left="3402" w:hanging="2268"/>
        <w:jc w:val="left"/>
      </w:pPr>
      <w:r w:rsidRPr="007C24E8">
        <w:rPr>
          <w:i/>
        </w:rPr>
        <w:t xml:space="preserve">Document </w:t>
      </w:r>
      <w:r w:rsidR="009B1F20" w:rsidRPr="007C24E8">
        <w:rPr>
          <w:i/>
        </w:rPr>
        <w:t>informel</w:t>
      </w:r>
      <w:r w:rsidR="004E3C2D" w:rsidRPr="007C24E8">
        <w:t> :</w:t>
      </w:r>
      <w:r w:rsidRPr="007C24E8">
        <w:tab/>
        <w:t>INF.60 (Secrétariat)</w:t>
      </w:r>
      <w:r w:rsidR="004E3C2D" w:rsidRPr="007C24E8">
        <w:t>.</w:t>
      </w:r>
    </w:p>
    <w:p w14:paraId="51755BFE" w14:textId="77777777" w:rsidR="005E3367" w:rsidRPr="007C24E8" w:rsidRDefault="005E3367" w:rsidP="005E3367">
      <w:pPr>
        <w:pStyle w:val="SingleTxtG"/>
      </w:pPr>
      <w:r w:rsidRPr="007C24E8">
        <w:t>65.</w:t>
      </w:r>
      <w:r w:rsidRPr="007C24E8">
        <w:tab/>
        <w:t xml:space="preserve">La Réunion commune a pris note des informations fournies par le secrétariat sur les décisions et recommandations du Comité des transports intérieurs concernant la mise en œuvre de sa stratégie jusqu’en 2030 en ce qui concerne le transport durable et les technologies innovantes, y compris le transport de marchandises dangereuses par différents modes de transport. Les représentants ont été invités à envoyer leurs observations sur la mise en œuvre de la stratégie avant la mi-octobre 2020, par l’intermédiaire du secrétariat ou du </w:t>
      </w:r>
      <w:r w:rsidR="00890555" w:rsidRPr="007C24E8">
        <w:t xml:space="preserve">Président </w:t>
      </w:r>
      <w:r w:rsidRPr="007C24E8">
        <w:t>de la Réunion commune.</w:t>
      </w:r>
    </w:p>
    <w:p w14:paraId="1E56EFC0" w14:textId="77777777" w:rsidR="005E3367" w:rsidRPr="007C24E8" w:rsidRDefault="005E3367" w:rsidP="004E3C2D">
      <w:pPr>
        <w:pStyle w:val="H1G"/>
      </w:pPr>
      <w:r w:rsidRPr="007C24E8">
        <w:tab/>
        <w:t>C.</w:t>
      </w:r>
      <w:r w:rsidRPr="007C24E8">
        <w:tab/>
        <w:t>Documents en suspens</w:t>
      </w:r>
    </w:p>
    <w:p w14:paraId="08384F60" w14:textId="77777777" w:rsidR="005E3367" w:rsidRPr="007C24E8" w:rsidRDefault="005E3367" w:rsidP="004E3C2D">
      <w:pPr>
        <w:pStyle w:val="SingleTxtG"/>
        <w:keepNext/>
        <w:ind w:left="3402" w:hanging="2268"/>
        <w:jc w:val="left"/>
      </w:pPr>
      <w:r w:rsidRPr="007C24E8">
        <w:rPr>
          <w:i/>
          <w:iCs/>
        </w:rPr>
        <w:t>Documents informels</w:t>
      </w:r>
      <w:r w:rsidR="004E3C2D" w:rsidRPr="007C24E8">
        <w:rPr>
          <w:iCs/>
        </w:rPr>
        <w:t> :</w:t>
      </w:r>
      <w:r w:rsidRPr="007C24E8">
        <w:tab/>
        <w:t>INF.3 (</w:t>
      </w:r>
      <w:proofErr w:type="spellStart"/>
      <w:r w:rsidRPr="007C24E8">
        <w:t>EuRIC</w:t>
      </w:r>
      <w:proofErr w:type="spellEnd"/>
      <w:r w:rsidRPr="007C24E8">
        <w:t xml:space="preserve">) </w:t>
      </w:r>
      <w:r w:rsidR="00890555" w:rsidRPr="007C24E8">
        <w:t>et</w:t>
      </w:r>
      <w:r w:rsidRPr="007C24E8">
        <w:t xml:space="preserve"> INF.14 (Secrétariat)</w:t>
      </w:r>
      <w:r w:rsidR="004E3C2D" w:rsidRPr="007C24E8">
        <w:t>.</w:t>
      </w:r>
    </w:p>
    <w:p w14:paraId="7349D94F" w14:textId="77777777" w:rsidR="005E3367" w:rsidRPr="007C24E8" w:rsidRDefault="005E3367" w:rsidP="005E3367">
      <w:pPr>
        <w:pStyle w:val="SingleTxtG"/>
        <w:spacing w:line="240" w:lineRule="auto"/>
      </w:pPr>
      <w:r w:rsidRPr="007C24E8">
        <w:t>66.</w:t>
      </w:r>
      <w:r w:rsidRPr="007C24E8">
        <w:tab/>
        <w:t>Faute de temps, l’examen des document informels INF.3 et INF.14 a été reporté à la session de mars 2021.</w:t>
      </w:r>
    </w:p>
    <w:p w14:paraId="732297D1" w14:textId="77777777" w:rsidR="005E3367" w:rsidRPr="007C24E8" w:rsidRDefault="005E3367" w:rsidP="004E3C2D">
      <w:pPr>
        <w:pStyle w:val="H1G"/>
      </w:pPr>
      <w:r w:rsidRPr="007C24E8">
        <w:tab/>
        <w:t>D.</w:t>
      </w:r>
      <w:r w:rsidRPr="007C24E8">
        <w:tab/>
        <w:t>Hommage à M.</w:t>
      </w:r>
      <w:r w:rsidR="004E3C2D" w:rsidRPr="007C24E8">
        <w:t> </w:t>
      </w:r>
      <w:r w:rsidRPr="007C24E8">
        <w:t>K.</w:t>
      </w:r>
      <w:r w:rsidR="004E3C2D" w:rsidRPr="007C24E8">
        <w:t> </w:t>
      </w:r>
      <w:r w:rsidRPr="007C24E8">
        <w:t xml:space="preserve">R. </w:t>
      </w:r>
      <w:proofErr w:type="spellStart"/>
      <w:r w:rsidRPr="007C24E8">
        <w:t>Tiemersma</w:t>
      </w:r>
      <w:proofErr w:type="spellEnd"/>
    </w:p>
    <w:p w14:paraId="11273154" w14:textId="77777777" w:rsidR="005E3367" w:rsidRPr="007C24E8" w:rsidRDefault="005E3367" w:rsidP="005E3367">
      <w:pPr>
        <w:pStyle w:val="SingleTxtG"/>
        <w:spacing w:line="240" w:lineRule="auto"/>
      </w:pPr>
      <w:r w:rsidRPr="007C24E8">
        <w:t>67.</w:t>
      </w:r>
      <w:r w:rsidRPr="007C24E8">
        <w:tab/>
        <w:t>Ayant appris que M</w:t>
      </w:r>
      <w:r w:rsidR="004E3C2D" w:rsidRPr="007C24E8">
        <w:t>. </w:t>
      </w:r>
      <w:r w:rsidRPr="007C24E8">
        <w:t>K.</w:t>
      </w:r>
      <w:r w:rsidR="004E3C2D" w:rsidRPr="007C24E8">
        <w:t> </w:t>
      </w:r>
      <w:r w:rsidRPr="007C24E8">
        <w:t xml:space="preserve">R. </w:t>
      </w:r>
      <w:proofErr w:type="spellStart"/>
      <w:r w:rsidRPr="007C24E8">
        <w:t>Tiemersma</w:t>
      </w:r>
      <w:proofErr w:type="spellEnd"/>
      <w:r w:rsidRPr="007C24E8">
        <w:t xml:space="preserve"> (Pays-Bas) était décédé le </w:t>
      </w:r>
      <w:r w:rsidRPr="007C24E8">
        <w:rPr>
          <w:color w:val="000000"/>
        </w:rPr>
        <w:t>20</w:t>
      </w:r>
      <w:r w:rsidR="004E3C2D" w:rsidRPr="007C24E8">
        <w:rPr>
          <w:color w:val="000000"/>
        </w:rPr>
        <w:t> </w:t>
      </w:r>
      <w:r w:rsidRPr="007C24E8">
        <w:rPr>
          <w:color w:val="000000"/>
        </w:rPr>
        <w:t xml:space="preserve">août 2020, la Réunion commune a rappelé qu’il avait participé activement pendant de longues années en tant que membre de la délégation des Pays-Bas aux sessions de la réunion commune du </w:t>
      </w:r>
      <w:r w:rsidRPr="007C24E8">
        <w:t>RID/ADR/ADN ainsi qu’à celles de la Commission d’experts du RID. Le Président a fait part des condoléances de la Réunion commune à la délégation néerlandaise, la priant de les transmettre à la famille de M.</w:t>
      </w:r>
      <w:r w:rsidR="004E3C2D" w:rsidRPr="007C24E8">
        <w:t> </w:t>
      </w:r>
      <w:proofErr w:type="spellStart"/>
      <w:r w:rsidRPr="007C24E8">
        <w:t>Tiemersma</w:t>
      </w:r>
      <w:proofErr w:type="spellEnd"/>
      <w:r w:rsidRPr="007C24E8">
        <w:t>.</w:t>
      </w:r>
    </w:p>
    <w:p w14:paraId="279C157F" w14:textId="77777777" w:rsidR="005E3367" w:rsidRPr="007C24E8" w:rsidRDefault="005E3367" w:rsidP="004E3C2D">
      <w:pPr>
        <w:pStyle w:val="HChG"/>
      </w:pPr>
      <w:r w:rsidRPr="007C24E8">
        <w:tab/>
        <w:t>XIII.</w:t>
      </w:r>
      <w:r w:rsidRPr="007C24E8">
        <w:tab/>
        <w:t>Adoption du rapport (point 11 de l’ordre du jour)</w:t>
      </w:r>
    </w:p>
    <w:p w14:paraId="29F16289" w14:textId="77777777" w:rsidR="005E3367" w:rsidRPr="007C24E8" w:rsidRDefault="005E3367" w:rsidP="005E3367">
      <w:pPr>
        <w:pStyle w:val="SingleTxtG"/>
        <w:spacing w:line="240" w:lineRule="auto"/>
      </w:pPr>
      <w:r w:rsidRPr="007C24E8">
        <w:t>68.</w:t>
      </w:r>
      <w:r w:rsidRPr="007C24E8">
        <w:tab/>
        <w:t>La Réunion commune a adopté le rapport de sa session d’automne 2020 ainsi que ses annexes sur la base d’un projet établi par le secrétariat.</w:t>
      </w:r>
    </w:p>
    <w:p w14:paraId="2C5DDA7E" w14:textId="77777777" w:rsidR="005E3367" w:rsidRPr="007C24E8" w:rsidRDefault="005E3367" w:rsidP="004C7726">
      <w:pPr>
        <w:pStyle w:val="HChG"/>
      </w:pPr>
      <w:r w:rsidRPr="007C24E8">
        <w:br w:type="page"/>
      </w:r>
      <w:r w:rsidRPr="007C24E8">
        <w:tab/>
      </w:r>
      <w:r w:rsidRPr="007C24E8">
        <w:tab/>
      </w:r>
      <w:r w:rsidR="009B1F20" w:rsidRPr="007C24E8">
        <w:t xml:space="preserve">Annexe </w:t>
      </w:r>
      <w:r w:rsidRPr="007C24E8">
        <w:t>I</w:t>
      </w:r>
    </w:p>
    <w:p w14:paraId="2793DA82" w14:textId="77777777" w:rsidR="005E3367" w:rsidRPr="007C24E8" w:rsidRDefault="005E3367" w:rsidP="005E3367">
      <w:pPr>
        <w:pStyle w:val="HChG"/>
      </w:pPr>
      <w:r w:rsidRPr="007C24E8">
        <w:tab/>
      </w:r>
      <w:r w:rsidRPr="007C24E8">
        <w:tab/>
        <w:t>Rapport du Groupe de travail sur les citernes</w:t>
      </w:r>
    </w:p>
    <w:p w14:paraId="6E3272AF" w14:textId="77777777" w:rsidR="005E3367" w:rsidRPr="007C24E8" w:rsidRDefault="005E3367" w:rsidP="004E3C2D">
      <w:pPr>
        <w:pStyle w:val="SingleTxtG"/>
      </w:pPr>
      <w:bookmarkStart w:id="11" w:name="_Hlk53066336"/>
      <w:r w:rsidRPr="007C24E8">
        <w:t>(voir le document ECE/TRANS/WP.15/AC.1/158/Add.1)</w:t>
      </w:r>
      <w:bookmarkEnd w:id="11"/>
    </w:p>
    <w:p w14:paraId="20668C07" w14:textId="77777777" w:rsidR="004C7726" w:rsidRPr="007C24E8" w:rsidRDefault="005E3367" w:rsidP="00CA0005">
      <w:pPr>
        <w:pStyle w:val="HChG"/>
      </w:pPr>
      <w:r w:rsidRPr="007C24E8">
        <w:br w:type="page"/>
      </w:r>
      <w:r w:rsidRPr="007C24E8">
        <w:tab/>
      </w:r>
      <w:r w:rsidRPr="007C24E8">
        <w:tab/>
      </w:r>
      <w:r w:rsidR="009B1F20" w:rsidRPr="007C24E8">
        <w:t xml:space="preserve">Annexe </w:t>
      </w:r>
      <w:r w:rsidRPr="007C24E8">
        <w:t>II</w:t>
      </w:r>
    </w:p>
    <w:p w14:paraId="1916A41D" w14:textId="77777777" w:rsidR="005E3367" w:rsidRPr="007C24E8" w:rsidRDefault="005E3367" w:rsidP="004C7726">
      <w:pPr>
        <w:pStyle w:val="SingleTxtG"/>
        <w:jc w:val="right"/>
      </w:pPr>
      <w:r w:rsidRPr="007C24E8">
        <w:t>[Original</w:t>
      </w:r>
      <w:r w:rsidR="004E3C2D" w:rsidRPr="007C24E8">
        <w:t> :</w:t>
      </w:r>
      <w:r w:rsidRPr="007C24E8">
        <w:t xml:space="preserve"> </w:t>
      </w:r>
      <w:r w:rsidR="004C7726" w:rsidRPr="007C24E8">
        <w:t>anglais et français</w:t>
      </w:r>
      <w:r w:rsidRPr="007C24E8">
        <w:t>]</w:t>
      </w:r>
    </w:p>
    <w:p w14:paraId="14A2AF86" w14:textId="77777777" w:rsidR="005E3367" w:rsidRPr="007C24E8" w:rsidRDefault="005E3367" w:rsidP="00CA0005">
      <w:pPr>
        <w:pStyle w:val="HChG"/>
      </w:pPr>
      <w:r w:rsidRPr="007C24E8">
        <w:tab/>
      </w:r>
      <w:r w:rsidRPr="007C24E8">
        <w:tab/>
        <w:t>Projet d’amendements au RID, à l’ADR et à l’ADN pour</w:t>
      </w:r>
      <w:r w:rsidR="00CA0005" w:rsidRPr="007C24E8">
        <w:t> </w:t>
      </w:r>
      <w:proofErr w:type="spellStart"/>
      <w:r w:rsidRPr="007C24E8">
        <w:t>entrée</w:t>
      </w:r>
      <w:proofErr w:type="spellEnd"/>
      <w:r w:rsidRPr="007C24E8">
        <w:t xml:space="preserve"> en vigueur le 1</w:t>
      </w:r>
      <w:r w:rsidRPr="007C24E8">
        <w:rPr>
          <w:vertAlign w:val="superscript"/>
        </w:rPr>
        <w:t>er</w:t>
      </w:r>
      <w:r w:rsidR="00CA0005" w:rsidRPr="007C24E8">
        <w:t> </w:t>
      </w:r>
      <w:r w:rsidRPr="007C24E8">
        <w:t>janvier 2023</w:t>
      </w:r>
    </w:p>
    <w:p w14:paraId="403469FE" w14:textId="77777777" w:rsidR="005E3367" w:rsidRPr="007C24E8" w:rsidRDefault="005E3367" w:rsidP="000574CE">
      <w:pPr>
        <w:pStyle w:val="H23G"/>
      </w:pPr>
      <w:r w:rsidRPr="007C24E8">
        <w:tab/>
      </w:r>
      <w:r w:rsidRPr="007C24E8">
        <w:tab/>
        <w:t>Chapitre 1.1</w:t>
      </w:r>
    </w:p>
    <w:p w14:paraId="35D30599" w14:textId="77777777" w:rsidR="005E3367" w:rsidRPr="007C24E8" w:rsidRDefault="005E3367" w:rsidP="00CA0005">
      <w:pPr>
        <w:pStyle w:val="SingleTxtG"/>
        <w:tabs>
          <w:tab w:val="left" w:pos="2268"/>
        </w:tabs>
      </w:pPr>
      <w:r w:rsidRPr="007C24E8">
        <w:t>1.1.3.6.3</w:t>
      </w:r>
      <w:r w:rsidRPr="007C24E8">
        <w:tab/>
        <w:t>Dans le tableau, pour la catégorie de transport 2, dans la deuxième colonne, pour la classe 9, remplacer « et 3481 » par «</w:t>
      </w:r>
      <w:r w:rsidR="00CA0005" w:rsidRPr="007C24E8">
        <w:t> </w:t>
      </w:r>
      <w:r w:rsidRPr="007C24E8">
        <w:t>, 3481 et 3536 ».</w:t>
      </w:r>
    </w:p>
    <w:p w14:paraId="7B8A8DA1"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ECE/TRANS/WP.15/AC.1/2020/66, </w:t>
      </w:r>
      <w:r w:rsidR="009B1F20" w:rsidRPr="007C24E8">
        <w:rPr>
          <w:i/>
          <w:iCs/>
        </w:rPr>
        <w:t xml:space="preserve">proposition </w:t>
      </w:r>
      <w:r w:rsidRPr="007C24E8">
        <w:rPr>
          <w:i/>
          <w:iCs/>
        </w:rPr>
        <w:t>2)</w:t>
      </w:r>
    </w:p>
    <w:p w14:paraId="0D684B88" w14:textId="77777777" w:rsidR="005E3367" w:rsidRPr="007C24E8" w:rsidRDefault="005E3367" w:rsidP="000574CE">
      <w:pPr>
        <w:pStyle w:val="H23G"/>
      </w:pPr>
      <w:r w:rsidRPr="007C24E8">
        <w:tab/>
      </w:r>
      <w:r w:rsidRPr="007C24E8">
        <w:tab/>
        <w:t>Chapitre 1.2</w:t>
      </w:r>
    </w:p>
    <w:p w14:paraId="75266590" w14:textId="77777777" w:rsidR="005E3367" w:rsidRPr="007C24E8" w:rsidRDefault="005E3367" w:rsidP="00CA0005">
      <w:pPr>
        <w:pStyle w:val="SingleTxtG"/>
        <w:tabs>
          <w:tab w:val="left" w:pos="2268"/>
        </w:tabs>
      </w:pPr>
      <w:r w:rsidRPr="007C24E8">
        <w:t>[1.2</w:t>
      </w:r>
      <w:r w:rsidRPr="007C24E8">
        <w:tab/>
        <w:t>Modifier le titre comme suit</w:t>
      </w:r>
      <w:r w:rsidR="004E3C2D" w:rsidRPr="007C24E8">
        <w:t> :</w:t>
      </w:r>
    </w:p>
    <w:p w14:paraId="5D133840" w14:textId="77777777" w:rsidR="005E3367" w:rsidRPr="007C24E8" w:rsidRDefault="0094142F" w:rsidP="005E3367">
      <w:pPr>
        <w:spacing w:before="120" w:after="120"/>
        <w:ind w:left="1134"/>
      </w:pPr>
      <w:r w:rsidRPr="007C24E8">
        <w:t>« </w:t>
      </w:r>
      <w:r w:rsidR="005E3367" w:rsidRPr="007C24E8">
        <w:t>DÉFINITIONS, UNITÉS DE MESURE ET ABRÉVIATIONS</w:t>
      </w:r>
      <w:r w:rsidRPr="007C24E8">
        <w:t> »</w:t>
      </w:r>
      <w:r w:rsidR="005E3367" w:rsidRPr="007C24E8">
        <w:t>.</w:t>
      </w:r>
      <w:r w:rsidR="005E3367" w:rsidRPr="007C24E8">
        <w:rPr>
          <w:bCs/>
        </w:rPr>
        <w:t>]</w:t>
      </w:r>
    </w:p>
    <w:p w14:paraId="4561E1AA"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ECE/TRANS/WP.15/AC.1/2020/13)</w:t>
      </w:r>
    </w:p>
    <w:p w14:paraId="571B1E9B" w14:textId="77777777" w:rsidR="005E3367" w:rsidRPr="007C24E8" w:rsidRDefault="005E3367" w:rsidP="00CA0005">
      <w:pPr>
        <w:pStyle w:val="SingleTxtG"/>
        <w:tabs>
          <w:tab w:val="left" w:pos="2268"/>
        </w:tabs>
      </w:pPr>
      <w:r w:rsidRPr="007C24E8">
        <w:rPr>
          <w:bCs/>
        </w:rPr>
        <w:t>[1.2.1</w:t>
      </w:r>
      <w:r w:rsidRPr="007C24E8">
        <w:tab/>
        <w:t>Supprimer les définitions suivantes</w:t>
      </w:r>
      <w:r w:rsidR="004E3C2D" w:rsidRPr="007C24E8">
        <w:t> :</w:t>
      </w:r>
    </w:p>
    <w:p w14:paraId="46721712" w14:textId="77777777" w:rsidR="005E3367" w:rsidRPr="007C24E8" w:rsidRDefault="0094142F" w:rsidP="005E3367">
      <w:pPr>
        <w:spacing w:before="120" w:after="120"/>
        <w:ind w:left="1134" w:right="1134"/>
        <w:jc w:val="both"/>
      </w:pPr>
      <w:r w:rsidRPr="007C24E8">
        <w:t>« </w:t>
      </w:r>
      <w:r w:rsidR="005E3367" w:rsidRPr="007C24E8">
        <w:t>ADN</w:t>
      </w:r>
      <w:r w:rsidRPr="007C24E8">
        <w:t> »</w:t>
      </w:r>
      <w:r w:rsidR="005E3367" w:rsidRPr="007C24E8">
        <w:t>, (RID</w:t>
      </w:r>
      <w:r w:rsidR="00890555" w:rsidRPr="007C24E8">
        <w:t>:</w:t>
      </w:r>
      <w:r w:rsidR="005E3367" w:rsidRPr="007C24E8">
        <w:t xml:space="preserve">) </w:t>
      </w:r>
      <w:r w:rsidRPr="007C24E8">
        <w:t>« </w:t>
      </w:r>
      <w:r w:rsidR="005E3367" w:rsidRPr="007C24E8">
        <w:t>ADR</w:t>
      </w:r>
      <w:r w:rsidRPr="007C24E8">
        <w:t> »</w:t>
      </w:r>
      <w:r w:rsidR="005E3367" w:rsidRPr="007C24E8">
        <w:t xml:space="preserve">, </w:t>
      </w:r>
      <w:r w:rsidRPr="007C24E8">
        <w:t>« </w:t>
      </w:r>
      <w:r w:rsidR="005E3367" w:rsidRPr="007C24E8">
        <w:t>ASTM</w:t>
      </w:r>
      <w:r w:rsidRPr="007C24E8">
        <w:t> »</w:t>
      </w:r>
      <w:r w:rsidR="005E3367" w:rsidRPr="007C24E8">
        <w:t xml:space="preserve">, </w:t>
      </w:r>
      <w:r w:rsidRPr="007C24E8">
        <w:t>« </w:t>
      </w:r>
      <w:r w:rsidR="005E3367" w:rsidRPr="007C24E8">
        <w:t>CGA</w:t>
      </w:r>
      <w:r w:rsidRPr="007C24E8">
        <w:t> »</w:t>
      </w:r>
      <w:r w:rsidR="005E3367" w:rsidRPr="007C24E8">
        <w:t xml:space="preserve">, </w:t>
      </w:r>
      <w:r w:rsidRPr="007C24E8">
        <w:t>« </w:t>
      </w:r>
      <w:r w:rsidR="005E3367" w:rsidRPr="007C24E8">
        <w:t>CIM</w:t>
      </w:r>
      <w:r w:rsidRPr="007C24E8">
        <w:t> »</w:t>
      </w:r>
      <w:r w:rsidR="005E3367" w:rsidRPr="007C24E8">
        <w:t xml:space="preserve">, </w:t>
      </w:r>
      <w:r w:rsidRPr="007C24E8">
        <w:t>« </w:t>
      </w:r>
      <w:r w:rsidR="005E3367" w:rsidRPr="007C24E8">
        <w:t>CMR</w:t>
      </w:r>
      <w:r w:rsidRPr="007C24E8">
        <w:t> »</w:t>
      </w:r>
      <w:r w:rsidR="005E3367" w:rsidRPr="007C24E8">
        <w:t xml:space="preserve">, </w:t>
      </w:r>
      <w:r w:rsidRPr="007C24E8">
        <w:t>« </w:t>
      </w:r>
      <w:r w:rsidR="005E3367" w:rsidRPr="007C24E8">
        <w:t>CNG</w:t>
      </w:r>
      <w:r w:rsidRPr="007C24E8">
        <w:t> »</w:t>
      </w:r>
      <w:r w:rsidR="005E3367" w:rsidRPr="007C24E8">
        <w:t xml:space="preserve">, </w:t>
      </w:r>
      <w:r w:rsidRPr="007C24E8">
        <w:t>« </w:t>
      </w:r>
      <w:r w:rsidR="005E3367" w:rsidRPr="007C24E8">
        <w:t>CSC</w:t>
      </w:r>
      <w:r w:rsidRPr="007C24E8">
        <w:t> »</w:t>
      </w:r>
      <w:r w:rsidR="005E3367" w:rsidRPr="007C24E8">
        <w:t xml:space="preserve">, </w:t>
      </w:r>
      <w:r w:rsidRPr="007C24E8">
        <w:t>« </w:t>
      </w:r>
      <w:r w:rsidR="005E3367" w:rsidRPr="007C24E8">
        <w:t>CTU</w:t>
      </w:r>
      <w:r w:rsidRPr="007C24E8">
        <w:t> »</w:t>
      </w:r>
      <w:r w:rsidR="005E3367" w:rsidRPr="007C24E8">
        <w:t>, (RID</w:t>
      </w:r>
      <w:r w:rsidR="00890555" w:rsidRPr="007C24E8">
        <w:t>:</w:t>
      </w:r>
      <w:r w:rsidR="005E3367" w:rsidRPr="007C24E8">
        <w:t xml:space="preserve">) </w:t>
      </w:r>
      <w:r w:rsidRPr="007C24E8">
        <w:t>« </w:t>
      </w:r>
      <w:r w:rsidR="005E3367" w:rsidRPr="007C24E8">
        <w:t>ECM</w:t>
      </w:r>
      <w:r w:rsidRPr="007C24E8">
        <w:t> »</w:t>
      </w:r>
      <w:r w:rsidR="005E3367" w:rsidRPr="007C24E8">
        <w:t xml:space="preserve">, </w:t>
      </w:r>
      <w:r w:rsidRPr="007C24E8">
        <w:t>« </w:t>
      </w:r>
      <w:r w:rsidR="005E3367" w:rsidRPr="007C24E8">
        <w:t>EN</w:t>
      </w:r>
      <w:r w:rsidRPr="007C24E8">
        <w:t> »</w:t>
      </w:r>
      <w:r w:rsidR="005E3367" w:rsidRPr="007C24E8">
        <w:t xml:space="preserve">, </w:t>
      </w:r>
      <w:r w:rsidRPr="007C24E8">
        <w:t>« </w:t>
      </w:r>
      <w:r w:rsidR="005E3367" w:rsidRPr="007C24E8">
        <w:t>GHS</w:t>
      </w:r>
      <w:r w:rsidRPr="007C24E8">
        <w:t> »</w:t>
      </w:r>
      <w:r w:rsidR="005E3367" w:rsidRPr="007C24E8">
        <w:t xml:space="preserve">, </w:t>
      </w:r>
      <w:r w:rsidRPr="007C24E8">
        <w:t>« </w:t>
      </w:r>
      <w:r w:rsidR="005E3367" w:rsidRPr="007C24E8">
        <w:t>IAEA</w:t>
      </w:r>
      <w:r w:rsidRPr="007C24E8">
        <w:t> »</w:t>
      </w:r>
      <w:r w:rsidR="005E3367" w:rsidRPr="007C24E8">
        <w:t xml:space="preserve">, </w:t>
      </w:r>
      <w:r w:rsidRPr="007C24E8">
        <w:t>« </w:t>
      </w:r>
      <w:r w:rsidR="005E3367" w:rsidRPr="007C24E8">
        <w:t>IBC</w:t>
      </w:r>
      <w:r w:rsidRPr="007C24E8">
        <w:t> »</w:t>
      </w:r>
      <w:r w:rsidR="005E3367" w:rsidRPr="007C24E8">
        <w:t xml:space="preserve">, </w:t>
      </w:r>
      <w:r w:rsidRPr="007C24E8">
        <w:t>« </w:t>
      </w:r>
      <w:r w:rsidR="005E3367" w:rsidRPr="007C24E8">
        <w:t>ICAO</w:t>
      </w:r>
      <w:r w:rsidRPr="007C24E8">
        <w:t> »</w:t>
      </w:r>
      <w:r w:rsidR="005E3367" w:rsidRPr="007C24E8">
        <w:t xml:space="preserve">, </w:t>
      </w:r>
      <w:r w:rsidRPr="007C24E8">
        <w:t>« </w:t>
      </w:r>
      <w:r w:rsidR="005E3367" w:rsidRPr="007C24E8">
        <w:t>IMDG</w:t>
      </w:r>
      <w:r w:rsidRPr="007C24E8">
        <w:t> »</w:t>
      </w:r>
      <w:r w:rsidR="005E3367" w:rsidRPr="007C24E8">
        <w:t xml:space="preserve">, </w:t>
      </w:r>
      <w:r w:rsidRPr="007C24E8">
        <w:t>« </w:t>
      </w:r>
      <w:r w:rsidR="005E3367" w:rsidRPr="007C24E8">
        <w:t>IMO</w:t>
      </w:r>
      <w:r w:rsidRPr="007C24E8">
        <w:t> »</w:t>
      </w:r>
      <w:r w:rsidR="005E3367" w:rsidRPr="007C24E8">
        <w:t xml:space="preserve">, </w:t>
      </w:r>
      <w:r w:rsidRPr="007C24E8">
        <w:t>« </w:t>
      </w:r>
      <w:r w:rsidR="005E3367" w:rsidRPr="007C24E8">
        <w:t>ISO</w:t>
      </w:r>
      <w:r w:rsidRPr="007C24E8">
        <w:t> »</w:t>
      </w:r>
      <w:r w:rsidR="005E3367" w:rsidRPr="007C24E8">
        <w:t xml:space="preserve">, </w:t>
      </w:r>
      <w:r w:rsidRPr="007C24E8">
        <w:t>« </w:t>
      </w:r>
      <w:r w:rsidR="005E3367" w:rsidRPr="007C24E8">
        <w:t>LNG</w:t>
      </w:r>
      <w:r w:rsidRPr="007C24E8">
        <w:t> »</w:t>
      </w:r>
      <w:r w:rsidR="005E3367" w:rsidRPr="007C24E8">
        <w:t xml:space="preserve">, </w:t>
      </w:r>
      <w:r w:rsidRPr="007C24E8">
        <w:t>« </w:t>
      </w:r>
      <w:r w:rsidR="005E3367" w:rsidRPr="007C24E8">
        <w:t>LPG</w:t>
      </w:r>
      <w:r w:rsidRPr="007C24E8">
        <w:t> »</w:t>
      </w:r>
      <w:r w:rsidR="005E3367" w:rsidRPr="007C24E8">
        <w:t xml:space="preserve">, </w:t>
      </w:r>
      <w:r w:rsidRPr="007C24E8">
        <w:t>« </w:t>
      </w:r>
      <w:r w:rsidR="005E3367" w:rsidRPr="007C24E8">
        <w:t>MEGC</w:t>
      </w:r>
      <w:r w:rsidRPr="007C24E8">
        <w:t> »</w:t>
      </w:r>
      <w:r w:rsidR="005E3367" w:rsidRPr="007C24E8">
        <w:t>, (ADR</w:t>
      </w:r>
      <w:r w:rsidR="00890555" w:rsidRPr="007C24E8">
        <w:t>:</w:t>
      </w:r>
      <w:r w:rsidR="005E3367" w:rsidRPr="007C24E8">
        <w:t xml:space="preserve">) </w:t>
      </w:r>
      <w:r w:rsidRPr="007C24E8">
        <w:t>« </w:t>
      </w:r>
      <w:r w:rsidR="005E3367" w:rsidRPr="007C24E8">
        <w:t>MEMU</w:t>
      </w:r>
      <w:r w:rsidRPr="007C24E8">
        <w:t> »</w:t>
      </w:r>
      <w:r w:rsidR="005E3367" w:rsidRPr="007C24E8">
        <w:t xml:space="preserve">, </w:t>
      </w:r>
      <w:r w:rsidRPr="007C24E8">
        <w:t>« </w:t>
      </w:r>
      <w:r w:rsidR="005E3367" w:rsidRPr="007C24E8">
        <w:t>OTIF</w:t>
      </w:r>
      <w:r w:rsidRPr="007C24E8">
        <w:t> »</w:t>
      </w:r>
      <w:r w:rsidR="005E3367" w:rsidRPr="007C24E8">
        <w:t>, (ADR</w:t>
      </w:r>
      <w:r w:rsidR="00890555" w:rsidRPr="007C24E8">
        <w:t>:</w:t>
      </w:r>
      <w:r w:rsidR="005E3367" w:rsidRPr="007C24E8">
        <w:t xml:space="preserve">) </w:t>
      </w:r>
      <w:r w:rsidRPr="007C24E8">
        <w:t>« </w:t>
      </w:r>
      <w:r w:rsidR="005E3367" w:rsidRPr="007C24E8">
        <w:t>RID</w:t>
      </w:r>
      <w:r w:rsidRPr="007C24E8">
        <w:t> »</w:t>
      </w:r>
      <w:r w:rsidR="005E3367" w:rsidRPr="007C24E8">
        <w:t xml:space="preserve">, </w:t>
      </w:r>
      <w:r w:rsidRPr="007C24E8">
        <w:t>« </w:t>
      </w:r>
      <w:r w:rsidR="005E3367" w:rsidRPr="007C24E8">
        <w:t>SADT</w:t>
      </w:r>
      <w:r w:rsidRPr="007C24E8">
        <w:t> »</w:t>
      </w:r>
      <w:r w:rsidR="005E3367" w:rsidRPr="007C24E8">
        <w:t xml:space="preserve">, </w:t>
      </w:r>
      <w:r w:rsidRPr="007C24E8">
        <w:t>« </w:t>
      </w:r>
      <w:r w:rsidR="005E3367" w:rsidRPr="007C24E8">
        <w:t>SAPT</w:t>
      </w:r>
      <w:r w:rsidRPr="007C24E8">
        <w:t> »</w:t>
      </w:r>
      <w:r w:rsidR="005E3367" w:rsidRPr="007C24E8">
        <w:t>, (RID</w:t>
      </w:r>
      <w:r w:rsidR="00890555" w:rsidRPr="007C24E8">
        <w:t>:</w:t>
      </w:r>
      <w:r w:rsidR="005E3367" w:rsidRPr="007C24E8">
        <w:t xml:space="preserve">) </w:t>
      </w:r>
      <w:r w:rsidRPr="007C24E8">
        <w:t>« </w:t>
      </w:r>
      <w:r w:rsidR="005E3367" w:rsidRPr="007C24E8">
        <w:t>SMGS</w:t>
      </w:r>
      <w:r w:rsidRPr="007C24E8">
        <w:t> »</w:t>
      </w:r>
      <w:r w:rsidR="005E3367" w:rsidRPr="007C24E8">
        <w:t>, (RID</w:t>
      </w:r>
      <w:r w:rsidR="00890555" w:rsidRPr="007C24E8">
        <w:t>:</w:t>
      </w:r>
      <w:r w:rsidR="005E3367" w:rsidRPr="007C24E8">
        <w:t xml:space="preserve">) </w:t>
      </w:r>
      <w:r w:rsidRPr="007C24E8">
        <w:t>« </w:t>
      </w:r>
      <w:r w:rsidR="005E3367" w:rsidRPr="007C24E8">
        <w:t>SMGS Annex 2</w:t>
      </w:r>
      <w:r w:rsidRPr="007C24E8">
        <w:t> »</w:t>
      </w:r>
      <w:r w:rsidR="005E3367" w:rsidRPr="007C24E8">
        <w:t xml:space="preserve">, </w:t>
      </w:r>
      <w:r w:rsidRPr="007C24E8">
        <w:t>« </w:t>
      </w:r>
      <w:r w:rsidR="005E3367" w:rsidRPr="007C24E8">
        <w:t>UIC</w:t>
      </w:r>
      <w:r w:rsidRPr="007C24E8">
        <w:t> »</w:t>
      </w:r>
      <w:r w:rsidR="005E3367" w:rsidRPr="007C24E8">
        <w:t xml:space="preserve">, </w:t>
      </w:r>
      <w:r w:rsidRPr="007C24E8">
        <w:t>« </w:t>
      </w:r>
      <w:r w:rsidR="005E3367" w:rsidRPr="007C24E8">
        <w:t>UNECE</w:t>
      </w:r>
      <w:r w:rsidRPr="007C24E8">
        <w:t> »</w:t>
      </w:r>
      <w:r w:rsidR="005E3367" w:rsidRPr="007C24E8">
        <w:t>.</w:t>
      </w:r>
      <w:r w:rsidR="005E3367" w:rsidRPr="007C24E8">
        <w:rPr>
          <w:bCs/>
        </w:rPr>
        <w:t>]</w:t>
      </w:r>
    </w:p>
    <w:p w14:paraId="21EBE38F"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ECE/TRANS/WP.15/AC.1/2020/13)</w:t>
      </w:r>
    </w:p>
    <w:p w14:paraId="7185AC81" w14:textId="77777777" w:rsidR="005E3367" w:rsidRPr="007C24E8" w:rsidRDefault="005E3367" w:rsidP="005E3367">
      <w:pPr>
        <w:spacing w:before="120" w:after="120"/>
        <w:ind w:left="1134"/>
      </w:pPr>
      <w:r w:rsidRPr="007C24E8">
        <w:rPr>
          <w:bCs/>
        </w:rPr>
        <w:t>[Ajouter une nouvelle section 1.2.3 ainsi conçue</w:t>
      </w:r>
      <w:r w:rsidR="004E3C2D" w:rsidRPr="007C24E8">
        <w:rPr>
          <w:bCs/>
        </w:rPr>
        <w:t> :</w:t>
      </w:r>
    </w:p>
    <w:p w14:paraId="3037BC9D" w14:textId="77777777" w:rsidR="005E3367" w:rsidRPr="007C24E8" w:rsidRDefault="0094142F" w:rsidP="0094142F">
      <w:pPr>
        <w:pStyle w:val="SingleTxtG"/>
        <w:spacing w:before="120"/>
        <w:ind w:left="2268" w:hanging="1134"/>
        <w:rPr>
          <w:b/>
        </w:rPr>
      </w:pPr>
      <w:r w:rsidRPr="007C24E8">
        <w:rPr>
          <w:bCs/>
        </w:rPr>
        <w:t>« </w:t>
      </w:r>
      <w:r w:rsidR="005E3367" w:rsidRPr="007C24E8">
        <w:rPr>
          <w:b/>
        </w:rPr>
        <w:t>1.2.3</w:t>
      </w:r>
      <w:r w:rsidR="005E3367" w:rsidRPr="007C24E8">
        <w:rPr>
          <w:b/>
        </w:rPr>
        <w:tab/>
        <w:t>Liste d’abréviations</w:t>
      </w:r>
    </w:p>
    <w:p w14:paraId="654B8E4D" w14:textId="77777777" w:rsidR="005E3367" w:rsidRPr="007C24E8" w:rsidRDefault="005E3367" w:rsidP="005E3367">
      <w:pPr>
        <w:pStyle w:val="SingleTxtG"/>
        <w:spacing w:before="120"/>
      </w:pPr>
      <w:r w:rsidRPr="007C24E8">
        <w:t>Dans le RID, l’ADR et l’ADN sont utilisés des abréviations, des acronymes et des désignations abrégées de textes réglementaires, dont la signification est la suivante</w:t>
      </w:r>
      <w:r w:rsidR="004E3C2D" w:rsidRPr="007C24E8">
        <w:t> :</w:t>
      </w:r>
    </w:p>
    <w:p w14:paraId="1E9F13D0" w14:textId="77777777" w:rsidR="005E3367" w:rsidRPr="007C24E8" w:rsidRDefault="0094142F" w:rsidP="0094142F">
      <w:pPr>
        <w:pStyle w:val="H23G"/>
      </w:pPr>
      <w:r w:rsidRPr="007C24E8">
        <w:tab/>
      </w:r>
      <w:r w:rsidRPr="007C24E8">
        <w:tab/>
      </w:r>
      <w:r w:rsidR="005E3367" w:rsidRPr="007C24E8">
        <w:t>A</w:t>
      </w:r>
    </w:p>
    <w:p w14:paraId="57C7E55B" w14:textId="77777777" w:rsidR="005E3367" w:rsidRPr="007C24E8" w:rsidRDefault="005E3367" w:rsidP="005E3367">
      <w:pPr>
        <w:spacing w:before="120" w:after="120"/>
        <w:ind w:left="1134" w:right="1134"/>
        <w:jc w:val="both"/>
      </w:pPr>
      <w:r w:rsidRPr="007C24E8">
        <w:rPr>
          <w:iCs/>
        </w:rPr>
        <w:t>“</w:t>
      </w:r>
      <w:r w:rsidRPr="007C24E8">
        <w:rPr>
          <w:i/>
        </w:rPr>
        <w:t>ADN</w:t>
      </w:r>
      <w:r w:rsidRPr="007C24E8">
        <w:rPr>
          <w:iCs/>
        </w:rPr>
        <w:t>”</w:t>
      </w:r>
      <w:r w:rsidRPr="007C24E8">
        <w:t>, Accord européen relatif au transport international des marchandises dangereuses par voies de navigation intérieures</w:t>
      </w:r>
      <w:r w:rsidR="00F218AE" w:rsidRPr="007C24E8">
        <w:t> ;</w:t>
      </w:r>
    </w:p>
    <w:p w14:paraId="2AB6C940" w14:textId="77777777" w:rsidR="005E3367" w:rsidRPr="007C24E8" w:rsidRDefault="0094142F" w:rsidP="005E3367">
      <w:pPr>
        <w:spacing w:before="120" w:after="120"/>
        <w:ind w:left="1134" w:right="1134"/>
        <w:jc w:val="both"/>
      </w:pPr>
      <w:r w:rsidRPr="007C24E8">
        <w:t>“</w:t>
      </w:r>
      <w:r w:rsidR="005E3367" w:rsidRPr="007C24E8">
        <w:rPr>
          <w:i/>
          <w:iCs/>
        </w:rPr>
        <w:t>AIEA</w:t>
      </w:r>
      <w:r w:rsidRPr="007C24E8">
        <w:t>”</w:t>
      </w:r>
      <w:r w:rsidR="005E3367" w:rsidRPr="007C24E8">
        <w:t>, Agence internationale de l’énergie atomique (AIEA), (AIEA, P.O. Box 100, A</w:t>
      </w:r>
      <w:r w:rsidRPr="007C24E8">
        <w:noBreakHyphen/>
      </w:r>
      <w:r w:rsidR="005E3367" w:rsidRPr="007C24E8">
        <w:t xml:space="preserve">1400 Vienne, Autriche), </w:t>
      </w:r>
      <w:hyperlink r:id="rId12" w:history="1">
        <w:r w:rsidR="005E3367" w:rsidRPr="007C24E8">
          <w:rPr>
            <w:rStyle w:val="Hyperlink"/>
          </w:rPr>
          <w:t>www.iaea.org</w:t>
        </w:r>
      </w:hyperlink>
      <w:r w:rsidR="00F218AE" w:rsidRPr="007C24E8">
        <w:t> ;</w:t>
      </w:r>
    </w:p>
    <w:p w14:paraId="41535306" w14:textId="77777777" w:rsidR="005E3367" w:rsidRPr="007C24E8" w:rsidRDefault="005E3367" w:rsidP="0094142F">
      <w:pPr>
        <w:keepNext/>
        <w:spacing w:before="120" w:after="120"/>
        <w:ind w:left="1134"/>
      </w:pPr>
      <w:r w:rsidRPr="007C24E8">
        <w:t>(RID</w:t>
      </w:r>
      <w:r w:rsidR="004E3C2D" w:rsidRPr="007C24E8">
        <w:t> :</w:t>
      </w:r>
      <w:r w:rsidRPr="007C24E8">
        <w:t>)</w:t>
      </w:r>
    </w:p>
    <w:p w14:paraId="34A4DE8E" w14:textId="77777777" w:rsidR="005E3367" w:rsidRPr="007C24E8" w:rsidRDefault="005E3367" w:rsidP="005E3367">
      <w:pPr>
        <w:spacing w:before="120" w:after="120"/>
        <w:ind w:left="1134" w:right="1134"/>
        <w:jc w:val="both"/>
      </w:pPr>
      <w:r w:rsidRPr="007C24E8">
        <w:rPr>
          <w:iCs/>
        </w:rPr>
        <w:t>“</w:t>
      </w:r>
      <w:r w:rsidRPr="007C24E8">
        <w:rPr>
          <w:i/>
        </w:rPr>
        <w:t>ADR</w:t>
      </w:r>
      <w:r w:rsidRPr="007C24E8">
        <w:rPr>
          <w:iCs/>
        </w:rPr>
        <w:t>”</w:t>
      </w:r>
      <w:r w:rsidRPr="007C24E8">
        <w:t>, Accord européen relatif au transport international des marchandises dangereuses par route, y compris les accords particuliers qui ont été signés par tous les pays intéressés par le transport</w:t>
      </w:r>
      <w:r w:rsidR="00F218AE" w:rsidRPr="007C24E8">
        <w:t> ;</w:t>
      </w:r>
    </w:p>
    <w:p w14:paraId="33FAAB1A" w14:textId="77777777" w:rsidR="005E3367" w:rsidRPr="007C24E8" w:rsidRDefault="005E3367" w:rsidP="005E3367">
      <w:pPr>
        <w:spacing w:before="120" w:after="120"/>
        <w:ind w:left="1134" w:right="1134"/>
        <w:jc w:val="both"/>
      </w:pPr>
      <w:r w:rsidRPr="007C24E8">
        <w:rPr>
          <w:iCs/>
        </w:rPr>
        <w:t>“</w:t>
      </w:r>
      <w:r w:rsidRPr="007C24E8">
        <w:rPr>
          <w:i/>
        </w:rPr>
        <w:t>ASTM</w:t>
      </w:r>
      <w:r w:rsidRPr="007C24E8">
        <w:rPr>
          <w:iCs/>
        </w:rPr>
        <w:t xml:space="preserve">”, </w:t>
      </w:r>
      <w:r w:rsidRPr="007C24E8">
        <w:t xml:space="preserve">American Society for </w:t>
      </w:r>
      <w:proofErr w:type="spellStart"/>
      <w:r w:rsidRPr="007C24E8">
        <w:t>Testing</w:t>
      </w:r>
      <w:proofErr w:type="spellEnd"/>
      <w:r w:rsidRPr="007C24E8">
        <w:t xml:space="preserve"> and Materials (ASTM International, 100 Barr Harbor Drive, PO Box C700, West </w:t>
      </w:r>
      <w:proofErr w:type="spellStart"/>
      <w:r w:rsidRPr="007C24E8">
        <w:t>Conshohocken</w:t>
      </w:r>
      <w:proofErr w:type="spellEnd"/>
      <w:r w:rsidRPr="007C24E8">
        <w:t xml:space="preserve">, PA, 19428-2959, États-Unis d’Amérique), </w:t>
      </w:r>
      <w:hyperlink r:id="rId13" w:history="1">
        <w:r w:rsidRPr="007C24E8">
          <w:rPr>
            <w:rStyle w:val="Hyperlink"/>
          </w:rPr>
          <w:t>www.astm.org</w:t>
        </w:r>
      </w:hyperlink>
      <w:r w:rsidR="00F218AE" w:rsidRPr="007C24E8">
        <w:t> ;</w:t>
      </w:r>
    </w:p>
    <w:p w14:paraId="3282E328" w14:textId="77777777" w:rsidR="005E3367" w:rsidRPr="007C24E8" w:rsidRDefault="0094142F" w:rsidP="0094142F">
      <w:pPr>
        <w:pStyle w:val="H23G"/>
      </w:pPr>
      <w:r w:rsidRPr="007C24E8">
        <w:tab/>
      </w:r>
      <w:r w:rsidRPr="007C24E8">
        <w:tab/>
      </w:r>
      <w:r w:rsidR="005E3367" w:rsidRPr="007C24E8">
        <w:t>C</w:t>
      </w:r>
    </w:p>
    <w:p w14:paraId="62513FC9" w14:textId="77777777" w:rsidR="005E3367" w:rsidRPr="007C24E8" w:rsidRDefault="0094142F" w:rsidP="005E3367">
      <w:pPr>
        <w:pStyle w:val="SingleTxtG"/>
        <w:spacing w:before="120"/>
        <w:rPr>
          <w:bCs/>
        </w:rPr>
      </w:pPr>
      <w:r w:rsidRPr="007C24E8">
        <w:rPr>
          <w:bCs/>
        </w:rPr>
        <w:t>“</w:t>
      </w:r>
      <w:r w:rsidR="005E3367" w:rsidRPr="007C24E8">
        <w:rPr>
          <w:bCs/>
          <w:i/>
          <w:iCs/>
        </w:rPr>
        <w:t>CEE-ONU</w:t>
      </w:r>
      <w:r w:rsidRPr="007C24E8">
        <w:rPr>
          <w:bCs/>
        </w:rPr>
        <w:t>”</w:t>
      </w:r>
      <w:r w:rsidR="005E3367" w:rsidRPr="007C24E8">
        <w:rPr>
          <w:bCs/>
        </w:rPr>
        <w:t>, Commission Économique des Nations Unies pour l’Europ</w:t>
      </w:r>
      <w:r w:rsidR="007C24E8" w:rsidRPr="007C24E8">
        <w:rPr>
          <w:bCs/>
        </w:rPr>
        <w:t>e</w:t>
      </w:r>
      <w:r w:rsidR="005E3367" w:rsidRPr="007C24E8">
        <w:rPr>
          <w:bCs/>
        </w:rPr>
        <w:t xml:space="preserve"> (CEE-ONU, Palais des Nations, 8-14 avenue de la Paix, CH-1211 Genève 10, Suisse), </w:t>
      </w:r>
      <w:hyperlink r:id="rId14" w:history="1">
        <w:r w:rsidR="005E3367" w:rsidRPr="007C24E8">
          <w:rPr>
            <w:rStyle w:val="Hyperlink"/>
            <w:bCs/>
          </w:rPr>
          <w:t>www.unece.org</w:t>
        </w:r>
      </w:hyperlink>
      <w:r w:rsidR="00F218AE" w:rsidRPr="007C24E8">
        <w:rPr>
          <w:bCs/>
        </w:rPr>
        <w:t> ;</w:t>
      </w:r>
    </w:p>
    <w:p w14:paraId="6208DC15" w14:textId="77777777" w:rsidR="005E3367" w:rsidRPr="007C24E8" w:rsidRDefault="005E3367" w:rsidP="005E3367">
      <w:pPr>
        <w:spacing w:before="120" w:after="120"/>
        <w:ind w:left="1134" w:right="1134"/>
        <w:jc w:val="both"/>
      </w:pPr>
      <w:r w:rsidRPr="007C24E8">
        <w:rPr>
          <w:iCs/>
        </w:rPr>
        <w:t>“</w:t>
      </w:r>
      <w:r w:rsidRPr="007C24E8">
        <w:rPr>
          <w:i/>
        </w:rPr>
        <w:t>CGA</w:t>
      </w:r>
      <w:r w:rsidRPr="007C24E8">
        <w:rPr>
          <w:iCs/>
        </w:rPr>
        <w:t xml:space="preserve">”, </w:t>
      </w:r>
      <w:r w:rsidR="0094142F" w:rsidRPr="007C24E8">
        <w:rPr>
          <w:iCs/>
        </w:rPr>
        <w:t>“</w:t>
      </w:r>
      <w:r w:rsidRPr="007C24E8">
        <w:t>Compressed Gas Association</w:t>
      </w:r>
      <w:r w:rsidR="0094142F" w:rsidRPr="007C24E8">
        <w:t>”</w:t>
      </w:r>
      <w:r w:rsidRPr="007C24E8">
        <w:t xml:space="preserve"> (CGA, 14501 George Carter </w:t>
      </w:r>
      <w:proofErr w:type="spellStart"/>
      <w:r w:rsidRPr="007C24E8">
        <w:t>Way</w:t>
      </w:r>
      <w:proofErr w:type="spellEnd"/>
      <w:r w:rsidRPr="007C24E8">
        <w:t xml:space="preserve">, Suite 103, Chantilly, VA 20151, États-Unis d’Amérique), </w:t>
      </w:r>
      <w:hyperlink r:id="rId15" w:history="1">
        <w:r w:rsidRPr="007C24E8">
          <w:rPr>
            <w:rStyle w:val="Hyperlink"/>
          </w:rPr>
          <w:t>www.cganet.com</w:t>
        </w:r>
      </w:hyperlink>
      <w:r w:rsidR="00F218AE" w:rsidRPr="007C24E8">
        <w:t> ;</w:t>
      </w:r>
    </w:p>
    <w:p w14:paraId="08EFF836" w14:textId="77777777" w:rsidR="005E3367" w:rsidRPr="007C24E8" w:rsidRDefault="005E3367" w:rsidP="005E3367">
      <w:pPr>
        <w:spacing w:before="120" w:after="120"/>
        <w:ind w:left="1134" w:right="1134"/>
        <w:jc w:val="both"/>
        <w:rPr>
          <w:iCs/>
        </w:rPr>
      </w:pPr>
      <w:r w:rsidRPr="007C24E8">
        <w:rPr>
          <w:iCs/>
        </w:rPr>
        <w:t>“</w:t>
      </w:r>
      <w:r w:rsidRPr="007C24E8">
        <w:rPr>
          <w:i/>
        </w:rPr>
        <w:t>CGEM</w:t>
      </w:r>
      <w:r w:rsidRPr="007C24E8">
        <w:rPr>
          <w:iCs/>
        </w:rPr>
        <w:t xml:space="preserve">”, voir </w:t>
      </w:r>
      <w:r w:rsidR="0094142F" w:rsidRPr="007C24E8">
        <w:rPr>
          <w:iCs/>
        </w:rPr>
        <w:t>“</w:t>
      </w:r>
      <w:r w:rsidRPr="007C24E8">
        <w:rPr>
          <w:iCs/>
        </w:rPr>
        <w:t>Conteneur à gaz à éléments multiples</w:t>
      </w:r>
      <w:r w:rsidR="0094142F" w:rsidRPr="007C24E8">
        <w:rPr>
          <w:iCs/>
        </w:rPr>
        <w:t>”</w:t>
      </w:r>
      <w:r w:rsidRPr="007C24E8">
        <w:rPr>
          <w:iCs/>
        </w:rPr>
        <w:t xml:space="preserve"> à la section 1.2.1</w:t>
      </w:r>
      <w:r w:rsidR="00F218AE" w:rsidRPr="007C24E8">
        <w:rPr>
          <w:iCs/>
        </w:rPr>
        <w:t> ;</w:t>
      </w:r>
    </w:p>
    <w:p w14:paraId="7911D647" w14:textId="77777777" w:rsidR="005E3367" w:rsidRPr="007C24E8" w:rsidRDefault="005E3367" w:rsidP="005E3367">
      <w:pPr>
        <w:spacing w:before="120" w:after="120"/>
        <w:ind w:left="1134" w:right="1134"/>
        <w:jc w:val="both"/>
      </w:pPr>
      <w:r w:rsidRPr="007C24E8">
        <w:rPr>
          <w:iCs/>
        </w:rPr>
        <w:t>“</w:t>
      </w:r>
      <w:r w:rsidRPr="007C24E8">
        <w:rPr>
          <w:i/>
        </w:rPr>
        <w:t>CIM</w:t>
      </w:r>
      <w:r w:rsidRPr="007C24E8">
        <w:rPr>
          <w:iCs/>
        </w:rPr>
        <w:t xml:space="preserve">”, </w:t>
      </w:r>
      <w:r w:rsidRPr="007C24E8">
        <w:t>Règles uniformes concernant le contrat de transport international ferroviaire des marchandises (Appendice B à la Convention relative aux transports internationaux ferroviaires (COTIF)), telles que modifiées</w:t>
      </w:r>
      <w:r w:rsidR="00F218AE" w:rsidRPr="007C24E8">
        <w:t> ;</w:t>
      </w:r>
    </w:p>
    <w:p w14:paraId="3C565782" w14:textId="77777777" w:rsidR="005E3367" w:rsidRPr="007C24E8" w:rsidRDefault="005E3367" w:rsidP="005E3367">
      <w:pPr>
        <w:spacing w:before="120" w:after="120"/>
        <w:ind w:left="1134" w:right="1134"/>
        <w:jc w:val="both"/>
      </w:pPr>
      <w:r w:rsidRPr="007C24E8">
        <w:rPr>
          <w:iCs/>
        </w:rPr>
        <w:t>“</w:t>
      </w:r>
      <w:r w:rsidRPr="007C24E8">
        <w:rPr>
          <w:i/>
        </w:rPr>
        <w:t>CMR</w:t>
      </w:r>
      <w:r w:rsidRPr="007C24E8">
        <w:rPr>
          <w:iCs/>
        </w:rPr>
        <w:t>”,</w:t>
      </w:r>
      <w:r w:rsidRPr="007C24E8">
        <w:t xml:space="preserve"> Convention relative au contrat de transport international de marchandises par route (Genève, 19</w:t>
      </w:r>
      <w:r w:rsidR="0094142F" w:rsidRPr="007C24E8">
        <w:t> </w:t>
      </w:r>
      <w:r w:rsidRPr="007C24E8">
        <w:t>mai 1956), telle que modifiée</w:t>
      </w:r>
      <w:r w:rsidR="00F218AE" w:rsidRPr="007C24E8">
        <w:t> ;</w:t>
      </w:r>
    </w:p>
    <w:p w14:paraId="5767D77D" w14:textId="77777777" w:rsidR="005E3367" w:rsidRPr="007C24E8" w:rsidRDefault="005E3367" w:rsidP="005E3367">
      <w:pPr>
        <w:spacing w:before="120" w:after="120"/>
        <w:ind w:left="1134" w:right="1134"/>
        <w:jc w:val="both"/>
      </w:pPr>
      <w:r w:rsidRPr="007C24E8">
        <w:rPr>
          <w:iCs/>
        </w:rPr>
        <w:t>“</w:t>
      </w:r>
      <w:r w:rsidRPr="007C24E8">
        <w:rPr>
          <w:i/>
        </w:rPr>
        <w:t>CSC</w:t>
      </w:r>
      <w:r w:rsidRPr="007C24E8">
        <w:rPr>
          <w:iCs/>
        </w:rPr>
        <w:t xml:space="preserve">”, </w:t>
      </w:r>
      <w:r w:rsidRPr="007C24E8">
        <w:t>Convention internationale sur la sécurité des conteneurs (Genève, 1972) telle que modifiée et publiée par l’Organisation Maritime Internationale (OMI), à Londres</w:t>
      </w:r>
      <w:r w:rsidR="00F218AE" w:rsidRPr="007C24E8">
        <w:t> ;</w:t>
      </w:r>
    </w:p>
    <w:p w14:paraId="45C2B844" w14:textId="77777777" w:rsidR="005E3367" w:rsidRPr="007C24E8" w:rsidRDefault="005E3367" w:rsidP="005E3367">
      <w:pPr>
        <w:spacing w:before="120" w:after="120"/>
        <w:ind w:left="1134"/>
      </w:pPr>
      <w:r w:rsidRPr="007C24E8">
        <w:rPr>
          <w:iCs/>
        </w:rPr>
        <w:t>“</w:t>
      </w:r>
      <w:r w:rsidRPr="007C24E8">
        <w:rPr>
          <w:i/>
        </w:rPr>
        <w:t>CSI</w:t>
      </w:r>
      <w:r w:rsidRPr="007C24E8">
        <w:rPr>
          <w:iCs/>
        </w:rPr>
        <w:t>”,</w:t>
      </w:r>
      <w:r w:rsidRPr="007C24E8">
        <w:rPr>
          <w:i/>
        </w:rPr>
        <w:t xml:space="preserve"> </w:t>
      </w:r>
      <w:r w:rsidRPr="007C24E8">
        <w:t xml:space="preserve">voir </w:t>
      </w:r>
      <w:r w:rsidR="0094142F" w:rsidRPr="007C24E8">
        <w:t>“</w:t>
      </w:r>
      <w:r w:rsidRPr="007C24E8">
        <w:t>Indice de sûreté-criticité</w:t>
      </w:r>
      <w:r w:rsidR="0094142F" w:rsidRPr="007C24E8">
        <w:t>”</w:t>
      </w:r>
      <w:r w:rsidRPr="007C24E8">
        <w:t xml:space="preserve"> à la section 1.2.1</w:t>
      </w:r>
      <w:r w:rsidR="00F218AE" w:rsidRPr="007C24E8">
        <w:t> ;</w:t>
      </w:r>
    </w:p>
    <w:p w14:paraId="5A23EB15" w14:textId="77777777" w:rsidR="005E3367" w:rsidRPr="007C24E8" w:rsidRDefault="005E3367" w:rsidP="005E3367">
      <w:pPr>
        <w:spacing w:before="120" w:after="120"/>
        <w:ind w:left="1134"/>
      </w:pPr>
      <w:r w:rsidRPr="007C24E8">
        <w:rPr>
          <w:iCs/>
        </w:rPr>
        <w:t>“</w:t>
      </w:r>
      <w:r w:rsidRPr="007C24E8">
        <w:rPr>
          <w:i/>
        </w:rPr>
        <w:t>CTU</w:t>
      </w:r>
      <w:r w:rsidRPr="007C24E8">
        <w:rPr>
          <w:iCs/>
        </w:rPr>
        <w:t>”,</w:t>
      </w:r>
      <w:r w:rsidRPr="007C24E8">
        <w:rPr>
          <w:i/>
        </w:rPr>
        <w:t xml:space="preserve"> </w:t>
      </w:r>
      <w:r w:rsidRPr="007C24E8">
        <w:t xml:space="preserve">voir </w:t>
      </w:r>
      <w:r w:rsidR="0094142F" w:rsidRPr="007C24E8">
        <w:t>“</w:t>
      </w:r>
      <w:r w:rsidRPr="007C24E8">
        <w:t>Engin de transport</w:t>
      </w:r>
      <w:r w:rsidR="0094142F" w:rsidRPr="007C24E8">
        <w:t>”</w:t>
      </w:r>
      <w:r w:rsidRPr="007C24E8">
        <w:t xml:space="preserve"> à la section 1.2.1</w:t>
      </w:r>
      <w:r w:rsidR="00F218AE" w:rsidRPr="007C24E8">
        <w:t> ;</w:t>
      </w:r>
      <w:r w:rsidRPr="007C24E8">
        <w:rPr>
          <w:i/>
        </w:rPr>
        <w:t xml:space="preserve"> </w:t>
      </w:r>
      <w:r w:rsidRPr="007C24E8">
        <w:t>“Cargo Transport Unit” à la section 1.2.1</w:t>
      </w:r>
      <w:r w:rsidR="00F218AE" w:rsidRPr="007C24E8">
        <w:t> ;</w:t>
      </w:r>
    </w:p>
    <w:p w14:paraId="2EFE716D" w14:textId="77777777" w:rsidR="005E3367" w:rsidRPr="007C24E8" w:rsidRDefault="0094142F" w:rsidP="0094142F">
      <w:pPr>
        <w:pStyle w:val="H23G"/>
      </w:pPr>
      <w:r w:rsidRPr="007C24E8">
        <w:tab/>
      </w:r>
      <w:r w:rsidRPr="007C24E8">
        <w:tab/>
      </w:r>
      <w:r w:rsidR="005E3367" w:rsidRPr="007C24E8">
        <w:t>E</w:t>
      </w:r>
    </w:p>
    <w:p w14:paraId="7252328B" w14:textId="77777777" w:rsidR="005E3367" w:rsidRPr="007C24E8" w:rsidRDefault="005E3367" w:rsidP="0094142F">
      <w:pPr>
        <w:keepNext/>
        <w:spacing w:before="120" w:after="120"/>
        <w:ind w:left="1134"/>
      </w:pPr>
      <w:r w:rsidRPr="007C24E8">
        <w:t>(RID</w:t>
      </w:r>
      <w:r w:rsidR="004E3C2D" w:rsidRPr="007C24E8">
        <w:t> :</w:t>
      </w:r>
      <w:r w:rsidRPr="007C24E8">
        <w:t>)</w:t>
      </w:r>
    </w:p>
    <w:p w14:paraId="5669F76E" w14:textId="77777777" w:rsidR="005E3367" w:rsidRPr="007C24E8" w:rsidRDefault="005E3367" w:rsidP="005E3367">
      <w:pPr>
        <w:spacing w:before="120" w:after="120"/>
        <w:ind w:left="1134"/>
      </w:pPr>
      <w:bookmarkStart w:id="12" w:name="_Hlk55892579"/>
      <w:r w:rsidRPr="007C24E8">
        <w:rPr>
          <w:iCs/>
        </w:rPr>
        <w:t>“</w:t>
      </w:r>
      <w:r w:rsidRPr="007C24E8">
        <w:rPr>
          <w:i/>
        </w:rPr>
        <w:t>ECE</w:t>
      </w:r>
      <w:r w:rsidRPr="007C24E8">
        <w:rPr>
          <w:iCs/>
        </w:rPr>
        <w:t>”,</w:t>
      </w:r>
      <w:r w:rsidRPr="007C24E8">
        <w:t xml:space="preserve"> </w:t>
      </w:r>
      <w:bookmarkEnd w:id="12"/>
      <w:r w:rsidRPr="007C24E8">
        <w:t xml:space="preserve">voir </w:t>
      </w:r>
      <w:r w:rsidR="0094142F" w:rsidRPr="007C24E8">
        <w:t>“</w:t>
      </w:r>
      <w:r w:rsidRPr="007C24E8">
        <w:t>Entité chargée de l’entretien</w:t>
      </w:r>
      <w:r w:rsidR="0094142F" w:rsidRPr="007C24E8">
        <w:t>”</w:t>
      </w:r>
      <w:r w:rsidRPr="007C24E8">
        <w:t xml:space="preserve"> à la section 1.2.1</w:t>
      </w:r>
      <w:r w:rsidR="00F218AE" w:rsidRPr="007C24E8">
        <w:t> ;</w:t>
      </w:r>
    </w:p>
    <w:p w14:paraId="3A461765" w14:textId="77777777" w:rsidR="005E3367" w:rsidRPr="007C24E8" w:rsidRDefault="005E3367" w:rsidP="005E3367">
      <w:pPr>
        <w:spacing w:before="120" w:after="120"/>
        <w:ind w:left="1134" w:right="1134"/>
        <w:jc w:val="both"/>
      </w:pPr>
      <w:r w:rsidRPr="007C24E8">
        <w:rPr>
          <w:iCs/>
        </w:rPr>
        <w:t>“</w:t>
      </w:r>
      <w:r w:rsidRPr="007C24E8">
        <w:rPr>
          <w:i/>
        </w:rPr>
        <w:t>EN</w:t>
      </w:r>
      <w:r w:rsidRPr="007C24E8">
        <w:rPr>
          <w:iCs/>
        </w:rPr>
        <w:t>”</w:t>
      </w:r>
      <w:r w:rsidRPr="007C24E8">
        <w:t xml:space="preserve"> (Norme), une norme européenne publiée par le Comité européen de normalisation (CEN) (CEN, Avenue Marnix 17, B-1000 Bruxelles, Belgique), </w:t>
      </w:r>
      <w:hyperlink r:id="rId16" w:history="1">
        <w:r w:rsidRPr="007C24E8">
          <w:rPr>
            <w:rStyle w:val="Hyperlink"/>
          </w:rPr>
          <w:t>www.cen.eu</w:t>
        </w:r>
      </w:hyperlink>
      <w:r w:rsidR="00F218AE" w:rsidRPr="007C24E8">
        <w:t> ;</w:t>
      </w:r>
    </w:p>
    <w:p w14:paraId="2DFC4EC4" w14:textId="77777777" w:rsidR="005E3367" w:rsidRPr="007C24E8" w:rsidRDefault="0094142F" w:rsidP="0094142F">
      <w:pPr>
        <w:pStyle w:val="H23G"/>
      </w:pPr>
      <w:r w:rsidRPr="007C24E8">
        <w:tab/>
      </w:r>
      <w:r w:rsidRPr="007C24E8">
        <w:tab/>
      </w:r>
      <w:r w:rsidR="005E3367" w:rsidRPr="007C24E8">
        <w:t>G</w:t>
      </w:r>
    </w:p>
    <w:p w14:paraId="43667D36" w14:textId="77777777" w:rsidR="005E3367" w:rsidRPr="007C24E8" w:rsidRDefault="005E3367" w:rsidP="005E3367">
      <w:pPr>
        <w:spacing w:before="120" w:after="120"/>
        <w:ind w:left="1134"/>
      </w:pPr>
      <w:r w:rsidRPr="007C24E8">
        <w:t>“</w:t>
      </w:r>
      <w:r w:rsidRPr="007C24E8">
        <w:rPr>
          <w:i/>
          <w:iCs/>
        </w:rPr>
        <w:t>GNC</w:t>
      </w:r>
      <w:r w:rsidRPr="007C24E8">
        <w:t xml:space="preserve">”, voir </w:t>
      </w:r>
      <w:r w:rsidR="0094142F" w:rsidRPr="007C24E8">
        <w:t>“</w:t>
      </w:r>
      <w:r w:rsidRPr="007C24E8">
        <w:t>Gaz naturel comprimé</w:t>
      </w:r>
      <w:r w:rsidR="0094142F" w:rsidRPr="007C24E8">
        <w:t>”</w:t>
      </w:r>
      <w:r w:rsidRPr="007C24E8">
        <w:t xml:space="preserve"> à la section 1.2.1</w:t>
      </w:r>
      <w:r w:rsidR="00F218AE" w:rsidRPr="007C24E8">
        <w:t> ;</w:t>
      </w:r>
    </w:p>
    <w:p w14:paraId="4DDE4972" w14:textId="77777777" w:rsidR="005E3367" w:rsidRPr="007C24E8" w:rsidRDefault="005E3367" w:rsidP="005E3367">
      <w:pPr>
        <w:spacing w:before="120" w:after="120"/>
        <w:ind w:left="1134"/>
      </w:pPr>
      <w:r w:rsidRPr="007C24E8">
        <w:rPr>
          <w:iCs/>
        </w:rPr>
        <w:t>“</w:t>
      </w:r>
      <w:r w:rsidRPr="007C24E8">
        <w:rPr>
          <w:i/>
        </w:rPr>
        <w:t>GNL</w:t>
      </w:r>
      <w:r w:rsidRPr="007C24E8">
        <w:rPr>
          <w:iCs/>
        </w:rPr>
        <w:t>”,</w:t>
      </w:r>
      <w:r w:rsidRPr="007C24E8">
        <w:rPr>
          <w:i/>
        </w:rPr>
        <w:t xml:space="preserve"> </w:t>
      </w:r>
      <w:r w:rsidRPr="007C24E8">
        <w:rPr>
          <w:iCs/>
        </w:rPr>
        <w:t>voir</w:t>
      </w:r>
      <w:r w:rsidRPr="007C24E8">
        <w:rPr>
          <w:i/>
        </w:rPr>
        <w:t xml:space="preserve"> </w:t>
      </w:r>
      <w:r w:rsidRPr="007C24E8">
        <w:t>“Gaz naturel liquéfié” à la section 1.2.1</w:t>
      </w:r>
      <w:r w:rsidR="00F218AE" w:rsidRPr="007C24E8">
        <w:t> ;</w:t>
      </w:r>
    </w:p>
    <w:p w14:paraId="63B48988" w14:textId="77777777" w:rsidR="005E3367" w:rsidRPr="007C24E8" w:rsidRDefault="005E3367" w:rsidP="005E3367">
      <w:pPr>
        <w:spacing w:before="120" w:after="120"/>
        <w:ind w:left="1134"/>
      </w:pPr>
      <w:r w:rsidRPr="007C24E8">
        <w:rPr>
          <w:iCs/>
        </w:rPr>
        <w:t>“</w:t>
      </w:r>
      <w:r w:rsidRPr="007C24E8">
        <w:rPr>
          <w:i/>
        </w:rPr>
        <w:t>GPL</w:t>
      </w:r>
      <w:r w:rsidRPr="007C24E8">
        <w:rPr>
          <w:iCs/>
        </w:rPr>
        <w:t>”,</w:t>
      </w:r>
      <w:r w:rsidRPr="007C24E8">
        <w:rPr>
          <w:i/>
        </w:rPr>
        <w:t xml:space="preserve"> </w:t>
      </w:r>
      <w:r w:rsidRPr="007C24E8">
        <w:t>voir</w:t>
      </w:r>
      <w:r w:rsidRPr="007C24E8">
        <w:rPr>
          <w:i/>
        </w:rPr>
        <w:t xml:space="preserve"> </w:t>
      </w:r>
      <w:r w:rsidRPr="007C24E8">
        <w:t>“Gaz de pétrole liquéfié” à la section 1.2.1</w:t>
      </w:r>
      <w:r w:rsidR="00F218AE" w:rsidRPr="007C24E8">
        <w:t> ;</w:t>
      </w:r>
    </w:p>
    <w:p w14:paraId="200D0E8F" w14:textId="77777777" w:rsidR="005E3367" w:rsidRPr="007C24E8" w:rsidRDefault="005E3367" w:rsidP="005E3367">
      <w:pPr>
        <w:spacing w:before="120" w:after="120"/>
        <w:ind w:left="1134" w:right="1134"/>
        <w:jc w:val="both"/>
        <w:rPr>
          <w:iCs/>
        </w:rPr>
      </w:pPr>
      <w:r w:rsidRPr="007C24E8">
        <w:t>“</w:t>
      </w:r>
      <w:r w:rsidRPr="007C24E8">
        <w:rPr>
          <w:i/>
          <w:iCs/>
        </w:rPr>
        <w:t>GRV</w:t>
      </w:r>
      <w:r w:rsidRPr="007C24E8">
        <w:t>”,</w:t>
      </w:r>
      <w:r w:rsidRPr="007C24E8">
        <w:rPr>
          <w:iCs/>
        </w:rPr>
        <w:t xml:space="preserve"> voir </w:t>
      </w:r>
      <w:r w:rsidR="000574CE" w:rsidRPr="007C24E8">
        <w:rPr>
          <w:iCs/>
        </w:rPr>
        <w:t>“</w:t>
      </w:r>
      <w:r w:rsidRPr="007C24E8">
        <w:rPr>
          <w:iCs/>
        </w:rPr>
        <w:t>Grand emballage pour vrac</w:t>
      </w:r>
      <w:r w:rsidR="000574CE" w:rsidRPr="007C24E8">
        <w:rPr>
          <w:iCs/>
        </w:rPr>
        <w:t>”</w:t>
      </w:r>
      <w:r w:rsidRPr="007C24E8">
        <w:t xml:space="preserve"> </w:t>
      </w:r>
      <w:r w:rsidRPr="007C24E8">
        <w:rPr>
          <w:iCs/>
        </w:rPr>
        <w:t>à la section 1.2.1</w:t>
      </w:r>
      <w:r w:rsidR="00F218AE" w:rsidRPr="007C24E8">
        <w:rPr>
          <w:iCs/>
        </w:rPr>
        <w:t> ;</w:t>
      </w:r>
    </w:p>
    <w:p w14:paraId="2FF449DC" w14:textId="77777777" w:rsidR="005E3367" w:rsidRPr="007C24E8" w:rsidRDefault="0094142F" w:rsidP="0094142F">
      <w:pPr>
        <w:pStyle w:val="H23G"/>
      </w:pPr>
      <w:r w:rsidRPr="007C24E8">
        <w:tab/>
      </w:r>
      <w:r w:rsidRPr="007C24E8">
        <w:tab/>
      </w:r>
      <w:r w:rsidR="005E3367" w:rsidRPr="007C24E8">
        <w:t>I</w:t>
      </w:r>
    </w:p>
    <w:p w14:paraId="49C24274" w14:textId="77777777" w:rsidR="005E3367" w:rsidRPr="007C24E8" w:rsidRDefault="005E3367" w:rsidP="005E3367">
      <w:pPr>
        <w:spacing w:before="120" w:after="120"/>
        <w:ind w:left="1134"/>
      </w:pPr>
      <w:r w:rsidRPr="007C24E8">
        <w:rPr>
          <w:iCs/>
        </w:rPr>
        <w:t>“</w:t>
      </w:r>
      <w:r w:rsidRPr="007C24E8">
        <w:rPr>
          <w:i/>
        </w:rPr>
        <w:t>IMDG</w:t>
      </w:r>
      <w:r w:rsidRPr="007C24E8">
        <w:rPr>
          <w:iCs/>
        </w:rPr>
        <w:t>”,</w:t>
      </w:r>
      <w:r w:rsidRPr="007C24E8">
        <w:rPr>
          <w:i/>
        </w:rPr>
        <w:t xml:space="preserve"> </w:t>
      </w:r>
      <w:r w:rsidRPr="007C24E8">
        <w:t>voir “Code IMDG” à la section 1.2.1</w:t>
      </w:r>
      <w:r w:rsidR="00F218AE" w:rsidRPr="007C24E8">
        <w:t> ;</w:t>
      </w:r>
    </w:p>
    <w:p w14:paraId="3C7C4B8F" w14:textId="77777777" w:rsidR="005E3367" w:rsidRPr="007C24E8" w:rsidRDefault="005E3367" w:rsidP="005E3367">
      <w:pPr>
        <w:spacing w:before="120" w:after="120"/>
        <w:ind w:left="1134" w:right="1134"/>
        <w:jc w:val="both"/>
        <w:rPr>
          <w:spacing w:val="-2"/>
        </w:rPr>
      </w:pPr>
      <w:r w:rsidRPr="007C24E8">
        <w:rPr>
          <w:iCs/>
          <w:spacing w:val="-2"/>
        </w:rPr>
        <w:t>“</w:t>
      </w:r>
      <w:r w:rsidRPr="007C24E8">
        <w:rPr>
          <w:i/>
          <w:spacing w:val="-2"/>
        </w:rPr>
        <w:t>ISO</w:t>
      </w:r>
      <w:r w:rsidRPr="007C24E8">
        <w:rPr>
          <w:iCs/>
          <w:spacing w:val="-2"/>
        </w:rPr>
        <w:t>”</w:t>
      </w:r>
      <w:r w:rsidRPr="007C24E8">
        <w:rPr>
          <w:spacing w:val="-2"/>
        </w:rPr>
        <w:t xml:space="preserve"> (norme), une norme internationale publiée par l’Organisation internationale de normalisation (ISO), (ISO</w:t>
      </w:r>
      <w:r w:rsidR="007C24E8" w:rsidRPr="007C24E8">
        <w:rPr>
          <w:spacing w:val="-2"/>
        </w:rPr>
        <w:t xml:space="preserve"> − </w:t>
      </w:r>
      <w:r w:rsidRPr="007C24E8">
        <w:rPr>
          <w:spacing w:val="-2"/>
        </w:rPr>
        <w:t xml:space="preserve">1, rue de </w:t>
      </w:r>
      <w:proofErr w:type="spellStart"/>
      <w:r w:rsidRPr="007C24E8">
        <w:rPr>
          <w:spacing w:val="-2"/>
        </w:rPr>
        <w:t>Varembé</w:t>
      </w:r>
      <w:proofErr w:type="spellEnd"/>
      <w:r w:rsidRPr="007C24E8">
        <w:rPr>
          <w:spacing w:val="-2"/>
        </w:rPr>
        <w:t xml:space="preserve">. CH-1204 Genève 20, Suisse), </w:t>
      </w:r>
      <w:hyperlink r:id="rId17" w:history="1">
        <w:r w:rsidRPr="007C24E8">
          <w:rPr>
            <w:rStyle w:val="Hyperlink"/>
            <w:spacing w:val="-2"/>
          </w:rPr>
          <w:t>www.iso.org</w:t>
        </w:r>
      </w:hyperlink>
      <w:r w:rsidR="00F218AE" w:rsidRPr="007C24E8">
        <w:rPr>
          <w:spacing w:val="-2"/>
        </w:rPr>
        <w:t> ;</w:t>
      </w:r>
    </w:p>
    <w:p w14:paraId="076B8A9D" w14:textId="77777777" w:rsidR="005E3367" w:rsidRPr="007C24E8" w:rsidRDefault="0094142F" w:rsidP="0094142F">
      <w:pPr>
        <w:pStyle w:val="H23G"/>
      </w:pPr>
      <w:r w:rsidRPr="007C24E8">
        <w:tab/>
      </w:r>
      <w:r w:rsidRPr="007C24E8">
        <w:tab/>
      </w:r>
      <w:r w:rsidR="005E3367" w:rsidRPr="007C24E8">
        <w:t>M</w:t>
      </w:r>
    </w:p>
    <w:p w14:paraId="43B15E76" w14:textId="77777777" w:rsidR="005E3367" w:rsidRPr="007C24E8" w:rsidRDefault="005E3367" w:rsidP="0094142F">
      <w:pPr>
        <w:keepNext/>
        <w:spacing w:before="120" w:after="120"/>
        <w:ind w:left="1134"/>
        <w:rPr>
          <w:iCs/>
        </w:rPr>
      </w:pPr>
      <w:r w:rsidRPr="007C24E8">
        <w:rPr>
          <w:iCs/>
        </w:rPr>
        <w:t>(ADR</w:t>
      </w:r>
      <w:r w:rsidR="004E3C2D" w:rsidRPr="007C24E8">
        <w:rPr>
          <w:iCs/>
        </w:rPr>
        <w:t> :</w:t>
      </w:r>
      <w:r w:rsidRPr="007C24E8">
        <w:rPr>
          <w:iCs/>
        </w:rPr>
        <w:t>)</w:t>
      </w:r>
    </w:p>
    <w:p w14:paraId="06819BE7" w14:textId="77777777" w:rsidR="005E3367" w:rsidRPr="007C24E8" w:rsidRDefault="005E3367" w:rsidP="005E3367">
      <w:pPr>
        <w:spacing w:before="120" w:after="120"/>
        <w:ind w:left="1134"/>
      </w:pPr>
      <w:r w:rsidRPr="007C24E8">
        <w:rPr>
          <w:iCs/>
        </w:rPr>
        <w:t>“</w:t>
      </w:r>
      <w:bookmarkStart w:id="13" w:name="_Hlk55897905"/>
      <w:r w:rsidRPr="007C24E8">
        <w:rPr>
          <w:i/>
        </w:rPr>
        <w:t>MEMU</w:t>
      </w:r>
      <w:bookmarkEnd w:id="13"/>
      <w:r w:rsidRPr="007C24E8">
        <w:rPr>
          <w:iCs/>
        </w:rPr>
        <w:t>”,</w:t>
      </w:r>
      <w:r w:rsidRPr="007C24E8">
        <w:t xml:space="preserve"> voir “Unité mobile de fabrication d’explosifs” à la section 1.2.1</w:t>
      </w:r>
      <w:r w:rsidR="00F218AE" w:rsidRPr="007C24E8">
        <w:t> ;</w:t>
      </w:r>
    </w:p>
    <w:p w14:paraId="3546A7E3" w14:textId="77777777" w:rsidR="005E3367" w:rsidRPr="007C24E8" w:rsidRDefault="0094142F" w:rsidP="0094142F">
      <w:pPr>
        <w:pStyle w:val="H23G"/>
      </w:pPr>
      <w:r w:rsidRPr="007C24E8">
        <w:tab/>
      </w:r>
      <w:r w:rsidRPr="007C24E8">
        <w:tab/>
      </w:r>
      <w:r w:rsidR="005E3367" w:rsidRPr="007C24E8">
        <w:t>N</w:t>
      </w:r>
    </w:p>
    <w:p w14:paraId="72A3876E" w14:textId="77777777" w:rsidR="005E3367" w:rsidRPr="007C24E8" w:rsidRDefault="0094142F" w:rsidP="005E3367">
      <w:pPr>
        <w:spacing w:before="120" w:after="120"/>
        <w:ind w:left="1134"/>
      </w:pPr>
      <w:r w:rsidRPr="007C24E8">
        <w:t>“</w:t>
      </w:r>
      <w:r w:rsidR="005E3367" w:rsidRPr="007C24E8">
        <w:rPr>
          <w:i/>
          <w:iCs/>
        </w:rPr>
        <w:t>N.S.A</w:t>
      </w:r>
      <w:r w:rsidR="005E3367" w:rsidRPr="007C24E8">
        <w:t>.</w:t>
      </w:r>
      <w:r w:rsidRPr="007C24E8">
        <w:t>”</w:t>
      </w:r>
      <w:r w:rsidR="005E3367" w:rsidRPr="007C24E8">
        <w:t xml:space="preserve">, voir </w:t>
      </w:r>
      <w:r w:rsidRPr="007C24E8">
        <w:t>“</w:t>
      </w:r>
      <w:r w:rsidR="005E3367" w:rsidRPr="007C24E8">
        <w:t xml:space="preserve">Rubrique </w:t>
      </w:r>
      <w:proofErr w:type="spellStart"/>
      <w:r w:rsidR="005E3367" w:rsidRPr="007C24E8">
        <w:t>n.s.a</w:t>
      </w:r>
      <w:proofErr w:type="spellEnd"/>
      <w:r w:rsidR="005E3367" w:rsidRPr="007C24E8">
        <w:t>.</w:t>
      </w:r>
      <w:r w:rsidRPr="007C24E8">
        <w:t>”</w:t>
      </w:r>
      <w:r w:rsidR="005E3367" w:rsidRPr="007C24E8">
        <w:t xml:space="preserve"> à la section 1.2.1</w:t>
      </w:r>
      <w:r w:rsidR="00F218AE" w:rsidRPr="007C24E8">
        <w:t> ;</w:t>
      </w:r>
    </w:p>
    <w:p w14:paraId="068F6A3F" w14:textId="77777777" w:rsidR="005E3367" w:rsidRPr="007C24E8" w:rsidRDefault="0094142F" w:rsidP="0094142F">
      <w:pPr>
        <w:pStyle w:val="H23G"/>
      </w:pPr>
      <w:r w:rsidRPr="007C24E8">
        <w:tab/>
      </w:r>
      <w:r w:rsidRPr="007C24E8">
        <w:tab/>
      </w:r>
      <w:r w:rsidR="005E3367" w:rsidRPr="007C24E8">
        <w:t>O</w:t>
      </w:r>
    </w:p>
    <w:p w14:paraId="46EB99ED" w14:textId="77777777" w:rsidR="005E3367" w:rsidRPr="007C24E8" w:rsidRDefault="000574CE" w:rsidP="005E3367">
      <w:pPr>
        <w:pStyle w:val="SingleTxtG"/>
        <w:spacing w:before="120"/>
        <w:rPr>
          <w:bCs/>
        </w:rPr>
      </w:pPr>
      <w:r w:rsidRPr="007C24E8">
        <w:rPr>
          <w:bCs/>
        </w:rPr>
        <w:t>“</w:t>
      </w:r>
      <w:r w:rsidR="005E3367" w:rsidRPr="007C24E8">
        <w:rPr>
          <w:bCs/>
          <w:i/>
          <w:iCs/>
        </w:rPr>
        <w:t>OACI</w:t>
      </w:r>
      <w:r w:rsidRPr="007C24E8">
        <w:rPr>
          <w:bCs/>
        </w:rPr>
        <w:t>”</w:t>
      </w:r>
      <w:r w:rsidR="005E3367" w:rsidRPr="007C24E8">
        <w:rPr>
          <w:b/>
        </w:rPr>
        <w:t xml:space="preserve">, </w:t>
      </w:r>
      <w:r w:rsidR="005E3367" w:rsidRPr="007C24E8">
        <w:rPr>
          <w:bCs/>
        </w:rPr>
        <w:t xml:space="preserve">Organisation de l’aviation civile internationale (OACI, 999 </w:t>
      </w:r>
      <w:proofErr w:type="spellStart"/>
      <w:r w:rsidR="005E3367" w:rsidRPr="007C24E8">
        <w:rPr>
          <w:bCs/>
        </w:rPr>
        <w:t>University</w:t>
      </w:r>
      <w:proofErr w:type="spellEnd"/>
      <w:r w:rsidR="005E3367" w:rsidRPr="007C24E8">
        <w:rPr>
          <w:bCs/>
        </w:rPr>
        <w:t xml:space="preserve"> Street, Montréal, Québec H3C 5H7, Canada), </w:t>
      </w:r>
      <w:hyperlink r:id="rId18" w:history="1">
        <w:r w:rsidR="005E3367" w:rsidRPr="007C24E8">
          <w:rPr>
            <w:rStyle w:val="Hyperlink"/>
            <w:bCs/>
          </w:rPr>
          <w:t>www.icao.org</w:t>
        </w:r>
      </w:hyperlink>
      <w:r w:rsidR="00F218AE" w:rsidRPr="007C24E8">
        <w:rPr>
          <w:bCs/>
        </w:rPr>
        <w:t> ;</w:t>
      </w:r>
    </w:p>
    <w:p w14:paraId="577CE4ED" w14:textId="77777777" w:rsidR="005E3367" w:rsidRPr="007C24E8" w:rsidRDefault="000574CE" w:rsidP="005E3367">
      <w:pPr>
        <w:pStyle w:val="SingleTxtG"/>
        <w:spacing w:before="120"/>
        <w:rPr>
          <w:bCs/>
        </w:rPr>
      </w:pPr>
      <w:r w:rsidRPr="007C24E8">
        <w:rPr>
          <w:bCs/>
        </w:rPr>
        <w:t>“</w:t>
      </w:r>
      <w:r w:rsidR="005E3367" w:rsidRPr="007C24E8">
        <w:rPr>
          <w:bCs/>
          <w:i/>
          <w:iCs/>
        </w:rPr>
        <w:t>OMI</w:t>
      </w:r>
      <w:r w:rsidRPr="007C24E8">
        <w:rPr>
          <w:bCs/>
        </w:rPr>
        <w:t>”</w:t>
      </w:r>
      <w:r w:rsidR="005E3367" w:rsidRPr="007C24E8">
        <w:rPr>
          <w:bCs/>
        </w:rPr>
        <w:t xml:space="preserve">, Organisation maritime internationale (OMI, 4 Albert </w:t>
      </w:r>
      <w:proofErr w:type="spellStart"/>
      <w:r w:rsidR="005E3367" w:rsidRPr="007C24E8">
        <w:rPr>
          <w:bCs/>
        </w:rPr>
        <w:t>Embankment</w:t>
      </w:r>
      <w:proofErr w:type="spellEnd"/>
      <w:r w:rsidR="005E3367" w:rsidRPr="007C24E8">
        <w:rPr>
          <w:bCs/>
        </w:rPr>
        <w:t xml:space="preserve">, Londres SE1 7SR, Royaume-Uni), </w:t>
      </w:r>
      <w:hyperlink r:id="rId19" w:history="1">
        <w:r w:rsidR="005E3367" w:rsidRPr="007C24E8">
          <w:rPr>
            <w:rStyle w:val="Hyperlink"/>
            <w:bCs/>
          </w:rPr>
          <w:t>www.imo.org</w:t>
        </w:r>
      </w:hyperlink>
      <w:r w:rsidR="00F218AE" w:rsidRPr="007C24E8">
        <w:rPr>
          <w:bCs/>
        </w:rPr>
        <w:t> ;</w:t>
      </w:r>
    </w:p>
    <w:p w14:paraId="6D672B0A" w14:textId="77777777" w:rsidR="005E3367" w:rsidRPr="007C24E8" w:rsidRDefault="005E3367" w:rsidP="005E3367">
      <w:pPr>
        <w:spacing w:before="120" w:after="120"/>
        <w:ind w:left="1134" w:right="1134"/>
        <w:jc w:val="both"/>
      </w:pPr>
      <w:r w:rsidRPr="007C24E8">
        <w:rPr>
          <w:iCs/>
        </w:rPr>
        <w:t>“</w:t>
      </w:r>
      <w:r w:rsidRPr="007C24E8">
        <w:rPr>
          <w:i/>
        </w:rPr>
        <w:t>OTIF</w:t>
      </w:r>
      <w:r w:rsidRPr="007C24E8">
        <w:rPr>
          <w:iCs/>
        </w:rPr>
        <w:t>”,</w:t>
      </w:r>
      <w:r w:rsidRPr="007C24E8">
        <w:rPr>
          <w:i/>
        </w:rPr>
        <w:t xml:space="preserve"> </w:t>
      </w:r>
      <w:r w:rsidRPr="007C24E8">
        <w:t xml:space="preserve">Organisation intergouvernementale pour les transports internationaux ferroviaires (OTIF, </w:t>
      </w:r>
      <w:proofErr w:type="spellStart"/>
      <w:r w:rsidRPr="007C24E8">
        <w:t>Gryphenhübeliweg</w:t>
      </w:r>
      <w:proofErr w:type="spellEnd"/>
      <w:r w:rsidRPr="007C24E8">
        <w:t xml:space="preserve"> 30, CH</w:t>
      </w:r>
      <w:r w:rsidR="000574CE" w:rsidRPr="007C24E8">
        <w:t>-</w:t>
      </w:r>
      <w:r w:rsidRPr="007C24E8">
        <w:t xml:space="preserve">3006 Berne, Suisse), </w:t>
      </w:r>
      <w:hyperlink r:id="rId20" w:history="1">
        <w:r w:rsidRPr="007C24E8">
          <w:rPr>
            <w:rStyle w:val="Hyperlink"/>
          </w:rPr>
          <w:t>www.otif.org</w:t>
        </w:r>
      </w:hyperlink>
      <w:r w:rsidR="00F218AE" w:rsidRPr="007C24E8">
        <w:t> ;</w:t>
      </w:r>
    </w:p>
    <w:p w14:paraId="29EB21C2" w14:textId="77777777" w:rsidR="005E3367" w:rsidRPr="007C24E8" w:rsidRDefault="000574CE" w:rsidP="000574CE">
      <w:pPr>
        <w:pStyle w:val="H23G"/>
      </w:pPr>
      <w:r w:rsidRPr="007C24E8">
        <w:tab/>
      </w:r>
      <w:r w:rsidRPr="007C24E8">
        <w:tab/>
      </w:r>
      <w:r w:rsidR="005E3367" w:rsidRPr="007C24E8">
        <w:t>R</w:t>
      </w:r>
    </w:p>
    <w:p w14:paraId="3C7AE485" w14:textId="77777777" w:rsidR="005E3367" w:rsidRPr="007C24E8" w:rsidRDefault="005E3367" w:rsidP="000574CE">
      <w:pPr>
        <w:keepNext/>
        <w:spacing w:before="120" w:after="120"/>
        <w:ind w:left="1134"/>
      </w:pPr>
      <w:r w:rsidRPr="007C24E8">
        <w:t>(ADR</w:t>
      </w:r>
      <w:r w:rsidR="004E3C2D" w:rsidRPr="007C24E8">
        <w:t> :</w:t>
      </w:r>
      <w:r w:rsidRPr="007C24E8">
        <w:t>)</w:t>
      </w:r>
    </w:p>
    <w:p w14:paraId="519DA260" w14:textId="77777777" w:rsidR="005E3367" w:rsidRPr="007C24E8" w:rsidRDefault="005E3367" w:rsidP="005E3367">
      <w:pPr>
        <w:spacing w:before="120" w:after="120"/>
        <w:ind w:left="1134" w:right="1134"/>
        <w:jc w:val="both"/>
        <w:rPr>
          <w:i/>
        </w:rPr>
      </w:pPr>
      <w:r w:rsidRPr="007C24E8">
        <w:rPr>
          <w:iCs/>
        </w:rPr>
        <w:t>“</w:t>
      </w:r>
      <w:r w:rsidRPr="007C24E8">
        <w:rPr>
          <w:i/>
        </w:rPr>
        <w:t>RID</w:t>
      </w:r>
      <w:r w:rsidRPr="007C24E8">
        <w:rPr>
          <w:iCs/>
        </w:rPr>
        <w:t>”,</w:t>
      </w:r>
      <w:r w:rsidRPr="007C24E8">
        <w:t xml:space="preserve"> Règlement concernant le transport international ferroviaire des marchandises dangereuses, appendice C de la COTIF (Convention relative aux transports internationaux ferroviaires)</w:t>
      </w:r>
      <w:r w:rsidR="00F218AE" w:rsidRPr="007C24E8">
        <w:t> ;</w:t>
      </w:r>
    </w:p>
    <w:p w14:paraId="276B1179" w14:textId="77777777" w:rsidR="005E3367" w:rsidRPr="007C24E8" w:rsidRDefault="000574CE" w:rsidP="000574CE">
      <w:pPr>
        <w:pStyle w:val="H23G"/>
      </w:pPr>
      <w:r w:rsidRPr="007C24E8">
        <w:tab/>
      </w:r>
      <w:r w:rsidRPr="007C24E8">
        <w:tab/>
      </w:r>
      <w:r w:rsidR="005E3367" w:rsidRPr="007C24E8">
        <w:t>S</w:t>
      </w:r>
    </w:p>
    <w:p w14:paraId="518A0534" w14:textId="77777777" w:rsidR="005E3367" w:rsidRPr="007C24E8" w:rsidRDefault="005E3367" w:rsidP="000574CE">
      <w:pPr>
        <w:spacing w:before="120" w:after="120"/>
        <w:ind w:left="1134" w:right="1134"/>
        <w:jc w:val="both"/>
      </w:pPr>
      <w:r w:rsidRPr="007C24E8">
        <w:rPr>
          <w:iCs/>
        </w:rPr>
        <w:t>“</w:t>
      </w:r>
      <w:r w:rsidRPr="007C24E8">
        <w:rPr>
          <w:i/>
        </w:rPr>
        <w:t>SGH</w:t>
      </w:r>
      <w:r w:rsidRPr="007C24E8">
        <w:rPr>
          <w:iCs/>
        </w:rPr>
        <w:t>”</w:t>
      </w:r>
      <w:r w:rsidR="000574CE" w:rsidRPr="007C24E8">
        <w:rPr>
          <w:iCs/>
        </w:rPr>
        <w:t>,</w:t>
      </w:r>
      <w:r w:rsidRPr="007C24E8">
        <w:t xml:space="preserve"> le Système Général Harmonisé de classification et d’étiquetage des </w:t>
      </w:r>
      <w:r w:rsidRPr="007C24E8">
        <w:rPr>
          <w:iCs/>
        </w:rPr>
        <w:t>produits</w:t>
      </w:r>
      <w:r w:rsidRPr="007C24E8">
        <w:t xml:space="preserve"> chimiques, huitième édition révisée, publié par les Nations Unies sous la cote ST/SG/AC.10/30/Rev.8</w:t>
      </w:r>
      <w:r w:rsidR="00F218AE" w:rsidRPr="007C24E8">
        <w:t> ;</w:t>
      </w:r>
    </w:p>
    <w:p w14:paraId="36F68936" w14:textId="77777777" w:rsidR="005E3367" w:rsidRPr="007C24E8" w:rsidRDefault="005E3367" w:rsidP="000574CE">
      <w:pPr>
        <w:keepNext/>
        <w:spacing w:before="120" w:after="120"/>
        <w:ind w:left="1134"/>
      </w:pPr>
      <w:r w:rsidRPr="007C24E8">
        <w:t>(RID</w:t>
      </w:r>
      <w:r w:rsidR="004E3C2D" w:rsidRPr="007C24E8">
        <w:t> :</w:t>
      </w:r>
      <w:r w:rsidRPr="007C24E8">
        <w:t>)</w:t>
      </w:r>
    </w:p>
    <w:p w14:paraId="2AFAB6FB" w14:textId="77777777" w:rsidR="005E3367" w:rsidRPr="007C24E8" w:rsidRDefault="005E3367" w:rsidP="005E3367">
      <w:pPr>
        <w:spacing w:before="120" w:after="120"/>
        <w:ind w:left="1134" w:right="1134"/>
        <w:jc w:val="both"/>
      </w:pPr>
      <w:r w:rsidRPr="007C24E8">
        <w:rPr>
          <w:iCs/>
        </w:rPr>
        <w:t>“</w:t>
      </w:r>
      <w:r w:rsidRPr="007C24E8">
        <w:rPr>
          <w:i/>
        </w:rPr>
        <w:t>SMGS</w:t>
      </w:r>
      <w:r w:rsidRPr="007C24E8">
        <w:rPr>
          <w:iCs/>
        </w:rPr>
        <w:t>”,</w:t>
      </w:r>
      <w:r w:rsidRPr="007C24E8">
        <w:t xml:space="preserve"> Accord concernant le transport international ferroviaire des marchandises par chemin de fer de l’Organisation pour la coopération des chemins de fer (OSJD), (OSJD, </w:t>
      </w:r>
      <w:proofErr w:type="spellStart"/>
      <w:r w:rsidRPr="007C24E8">
        <w:t>ul</w:t>
      </w:r>
      <w:proofErr w:type="spellEnd"/>
      <w:r w:rsidRPr="007C24E8">
        <w:t>.</w:t>
      </w:r>
      <w:r w:rsidR="000574CE" w:rsidRPr="007C24E8">
        <w:t> </w:t>
      </w:r>
      <w:proofErr w:type="spellStart"/>
      <w:r w:rsidRPr="007C24E8">
        <w:t>Hoza</w:t>
      </w:r>
      <w:proofErr w:type="spellEnd"/>
      <w:r w:rsidRPr="007C24E8">
        <w:t xml:space="preserve">, 63/67 PL-00-681 Varsovie, Pologne), </w:t>
      </w:r>
      <w:hyperlink r:id="rId21" w:history="1">
        <w:r w:rsidRPr="007C24E8">
          <w:rPr>
            <w:rStyle w:val="Hyperlink"/>
          </w:rPr>
          <w:t>www.en.osjd.org</w:t>
        </w:r>
      </w:hyperlink>
      <w:r w:rsidR="00F218AE" w:rsidRPr="007C24E8">
        <w:t> ;</w:t>
      </w:r>
    </w:p>
    <w:p w14:paraId="6F4A9745" w14:textId="77777777" w:rsidR="005E3367" w:rsidRPr="007C24E8" w:rsidRDefault="005E3367" w:rsidP="000574CE">
      <w:pPr>
        <w:keepNext/>
        <w:spacing w:before="120" w:after="120"/>
        <w:ind w:left="1134"/>
      </w:pPr>
      <w:r w:rsidRPr="007C24E8">
        <w:t>(RID</w:t>
      </w:r>
      <w:r w:rsidR="004E3C2D" w:rsidRPr="007C24E8">
        <w:t> :</w:t>
      </w:r>
      <w:r w:rsidRPr="007C24E8">
        <w:t>)</w:t>
      </w:r>
    </w:p>
    <w:p w14:paraId="1B9A14F9" w14:textId="77777777" w:rsidR="005E3367" w:rsidRPr="007C24E8" w:rsidRDefault="005E3367" w:rsidP="005E3367">
      <w:pPr>
        <w:spacing w:before="120" w:after="120"/>
        <w:ind w:left="1134" w:right="1134"/>
        <w:jc w:val="both"/>
      </w:pPr>
      <w:r w:rsidRPr="007C24E8">
        <w:rPr>
          <w:iCs/>
        </w:rPr>
        <w:t>“</w:t>
      </w:r>
      <w:r w:rsidRPr="007C24E8">
        <w:rPr>
          <w:i/>
        </w:rPr>
        <w:t>SMGS (</w:t>
      </w:r>
      <w:r w:rsidR="009B1F20" w:rsidRPr="007C24E8">
        <w:rPr>
          <w:i/>
        </w:rPr>
        <w:t xml:space="preserve">Annexe </w:t>
      </w:r>
      <w:r w:rsidRPr="007C24E8">
        <w:rPr>
          <w:i/>
        </w:rPr>
        <w:t>2)</w:t>
      </w:r>
      <w:r w:rsidRPr="007C24E8">
        <w:rPr>
          <w:iCs/>
        </w:rPr>
        <w:t>”</w:t>
      </w:r>
      <w:r w:rsidRPr="007C24E8">
        <w:t>, Prescriptions pour le transport de marchandises dangereuses formant l’</w:t>
      </w:r>
      <w:r w:rsidR="009B1F20" w:rsidRPr="007C24E8">
        <w:t xml:space="preserve">annexe </w:t>
      </w:r>
      <w:r w:rsidRPr="007C24E8">
        <w:t>2 au SMGS</w:t>
      </w:r>
      <w:r w:rsidR="00F218AE" w:rsidRPr="007C24E8">
        <w:t> ;</w:t>
      </w:r>
    </w:p>
    <w:p w14:paraId="0123654F" w14:textId="77777777" w:rsidR="005E3367" w:rsidRPr="007C24E8" w:rsidRDefault="000574CE" w:rsidP="000574CE">
      <w:pPr>
        <w:pStyle w:val="H23G"/>
      </w:pPr>
      <w:r w:rsidRPr="007C24E8">
        <w:tab/>
      </w:r>
      <w:r w:rsidRPr="007C24E8">
        <w:tab/>
      </w:r>
      <w:r w:rsidR="005E3367" w:rsidRPr="007C24E8">
        <w:t>T</w:t>
      </w:r>
    </w:p>
    <w:p w14:paraId="45F23ACD" w14:textId="77777777" w:rsidR="005E3367" w:rsidRPr="007C24E8" w:rsidRDefault="000574CE" w:rsidP="005E3367">
      <w:pPr>
        <w:spacing w:before="120" w:after="120"/>
        <w:ind w:left="1134" w:right="1134"/>
        <w:jc w:val="both"/>
        <w:rPr>
          <w:iCs/>
        </w:rPr>
      </w:pPr>
      <w:r w:rsidRPr="007C24E8">
        <w:rPr>
          <w:iCs/>
        </w:rPr>
        <w:t>“</w:t>
      </w:r>
      <w:r w:rsidR="005E3367" w:rsidRPr="007C24E8">
        <w:rPr>
          <w:i/>
        </w:rPr>
        <w:t>TDAA</w:t>
      </w:r>
      <w:r w:rsidRPr="007C24E8">
        <w:rPr>
          <w:iCs/>
        </w:rPr>
        <w:t>”</w:t>
      </w:r>
      <w:r w:rsidR="005E3367" w:rsidRPr="007C24E8">
        <w:rPr>
          <w:iCs/>
        </w:rPr>
        <w:t xml:space="preserve">, voir </w:t>
      </w:r>
      <w:r w:rsidRPr="007C24E8">
        <w:rPr>
          <w:iCs/>
        </w:rPr>
        <w:t>“</w:t>
      </w:r>
      <w:r w:rsidR="005E3367" w:rsidRPr="007C24E8">
        <w:rPr>
          <w:iCs/>
        </w:rPr>
        <w:t>Température de décomposition auto-accélérée</w:t>
      </w:r>
      <w:r w:rsidRPr="007C24E8">
        <w:rPr>
          <w:iCs/>
        </w:rPr>
        <w:t>”</w:t>
      </w:r>
      <w:r w:rsidR="005E3367" w:rsidRPr="007C24E8">
        <w:rPr>
          <w:iCs/>
        </w:rPr>
        <w:t xml:space="preserve"> à la section 1.2.1</w:t>
      </w:r>
      <w:r w:rsidR="00F218AE" w:rsidRPr="007C24E8">
        <w:rPr>
          <w:iCs/>
        </w:rPr>
        <w:t> ;</w:t>
      </w:r>
    </w:p>
    <w:p w14:paraId="78C69FAA" w14:textId="77777777" w:rsidR="005E3367" w:rsidRPr="007C24E8" w:rsidRDefault="000574CE" w:rsidP="005E3367">
      <w:pPr>
        <w:spacing w:before="120" w:after="120"/>
        <w:ind w:left="1134" w:right="1134"/>
        <w:jc w:val="both"/>
        <w:rPr>
          <w:iCs/>
        </w:rPr>
      </w:pPr>
      <w:r w:rsidRPr="007C24E8">
        <w:rPr>
          <w:iCs/>
        </w:rPr>
        <w:t>“</w:t>
      </w:r>
      <w:r w:rsidR="005E3367" w:rsidRPr="007C24E8">
        <w:rPr>
          <w:i/>
        </w:rPr>
        <w:t>TPAA</w:t>
      </w:r>
      <w:r w:rsidRPr="007C24E8">
        <w:rPr>
          <w:iCs/>
        </w:rPr>
        <w:t>”</w:t>
      </w:r>
      <w:r w:rsidR="005E3367" w:rsidRPr="007C24E8">
        <w:rPr>
          <w:iCs/>
        </w:rPr>
        <w:t xml:space="preserve">, voir </w:t>
      </w:r>
      <w:r w:rsidRPr="007C24E8">
        <w:rPr>
          <w:iCs/>
        </w:rPr>
        <w:t>“</w:t>
      </w:r>
      <w:r w:rsidR="005E3367" w:rsidRPr="007C24E8">
        <w:rPr>
          <w:iCs/>
        </w:rPr>
        <w:t>Température de polymérisation auto-accélérée</w:t>
      </w:r>
      <w:r w:rsidRPr="007C24E8">
        <w:rPr>
          <w:iCs/>
        </w:rPr>
        <w:t>”</w:t>
      </w:r>
      <w:r w:rsidR="005E3367" w:rsidRPr="007C24E8">
        <w:rPr>
          <w:iCs/>
        </w:rPr>
        <w:t xml:space="preserve"> à la section 1.2.1</w:t>
      </w:r>
      <w:r w:rsidR="00F218AE" w:rsidRPr="007C24E8">
        <w:rPr>
          <w:iCs/>
        </w:rPr>
        <w:t> ;</w:t>
      </w:r>
    </w:p>
    <w:p w14:paraId="76E83637" w14:textId="77777777" w:rsidR="005E3367" w:rsidRPr="007C24E8" w:rsidRDefault="000574CE" w:rsidP="000574CE">
      <w:pPr>
        <w:pStyle w:val="H23G"/>
      </w:pPr>
      <w:r w:rsidRPr="007C24E8">
        <w:tab/>
      </w:r>
      <w:r w:rsidRPr="007C24E8">
        <w:tab/>
      </w:r>
      <w:r w:rsidR="005E3367" w:rsidRPr="007C24E8">
        <w:t>U</w:t>
      </w:r>
    </w:p>
    <w:p w14:paraId="4574C6C1" w14:textId="77777777" w:rsidR="005E3367" w:rsidRPr="007C24E8" w:rsidRDefault="005E3367" w:rsidP="005E3367">
      <w:pPr>
        <w:spacing w:before="120" w:after="120"/>
        <w:ind w:left="1134" w:right="1134"/>
        <w:jc w:val="both"/>
      </w:pPr>
      <w:r w:rsidRPr="007C24E8">
        <w:rPr>
          <w:iCs/>
        </w:rPr>
        <w:t>“</w:t>
      </w:r>
      <w:r w:rsidRPr="007C24E8">
        <w:rPr>
          <w:i/>
        </w:rPr>
        <w:t>UIC</w:t>
      </w:r>
      <w:r w:rsidRPr="007C24E8">
        <w:rPr>
          <w:iCs/>
        </w:rPr>
        <w:t>”</w:t>
      </w:r>
      <w:r w:rsidRPr="007C24E8">
        <w:t xml:space="preserve">, Union Internationale des Chemins de Fer (UIC, 16 rue Jean Rey, F-75015 Paris, France), </w:t>
      </w:r>
      <w:hyperlink r:id="rId22" w:history="1">
        <w:r w:rsidRPr="007C24E8">
          <w:rPr>
            <w:rStyle w:val="Hyperlink"/>
          </w:rPr>
          <w:t>www.uic.org</w:t>
        </w:r>
      </w:hyperlink>
      <w:r w:rsidR="00F218AE" w:rsidRPr="007C24E8">
        <w:t> ;</w:t>
      </w:r>
      <w:r w:rsidR="000574CE" w:rsidRPr="007C24E8">
        <w:t> ».</w:t>
      </w:r>
    </w:p>
    <w:p w14:paraId="2BF9ADCF" w14:textId="77777777" w:rsidR="005E3367" w:rsidRPr="007C24E8" w:rsidRDefault="005E3367" w:rsidP="005E3367">
      <w:pPr>
        <w:spacing w:before="120" w:after="120"/>
        <w:ind w:left="1134"/>
        <w:rPr>
          <w:i/>
          <w:iCs/>
        </w:rPr>
      </w:pPr>
      <w:r w:rsidRPr="007C24E8">
        <w:rPr>
          <w:i/>
          <w:iCs/>
        </w:rPr>
        <w:t>(</w:t>
      </w:r>
      <w:bookmarkStart w:id="14" w:name="_Hlk55896332"/>
      <w:r w:rsidRPr="007C24E8">
        <w:rPr>
          <w:i/>
          <w:iCs/>
        </w:rPr>
        <w:t>Document de référence</w:t>
      </w:r>
      <w:bookmarkEnd w:id="14"/>
      <w:r w:rsidR="004E3C2D" w:rsidRPr="007C24E8">
        <w:rPr>
          <w:iCs/>
        </w:rPr>
        <w:t> :</w:t>
      </w:r>
      <w:r w:rsidRPr="007C24E8">
        <w:rPr>
          <w:i/>
          <w:iCs/>
        </w:rPr>
        <w:t xml:space="preserve"> ECE/TRANS/WP.15/AC.1/2020/13)</w:t>
      </w:r>
    </w:p>
    <w:p w14:paraId="248DB3EB" w14:textId="77777777" w:rsidR="005E3367" w:rsidRPr="007C24E8" w:rsidRDefault="005E3367" w:rsidP="000574CE">
      <w:pPr>
        <w:pStyle w:val="H23G"/>
      </w:pPr>
      <w:r w:rsidRPr="007C24E8">
        <w:tab/>
      </w:r>
      <w:r w:rsidRPr="007C24E8">
        <w:tab/>
        <w:t>Chapitre 1.6</w:t>
      </w:r>
    </w:p>
    <w:p w14:paraId="6B3C106A" w14:textId="77777777" w:rsidR="005E3367" w:rsidRPr="007C24E8" w:rsidRDefault="005E3367" w:rsidP="00CA0005">
      <w:pPr>
        <w:pStyle w:val="SingleTxtG"/>
        <w:tabs>
          <w:tab w:val="left" w:pos="2268"/>
        </w:tabs>
      </w:pPr>
      <w:r w:rsidRPr="007C24E8">
        <w:t>1.6.4.55</w:t>
      </w:r>
      <w:r w:rsidR="0094142F" w:rsidRPr="007C24E8">
        <w:tab/>
      </w:r>
      <w:r w:rsidRPr="007C24E8">
        <w:t xml:space="preserve">Ajouter le nouveau </w:t>
      </w:r>
      <w:r w:rsidR="009B1F20" w:rsidRPr="007C24E8">
        <w:t xml:space="preserve">paragraphe </w:t>
      </w:r>
      <w:r w:rsidRPr="007C24E8">
        <w:t>suivant</w:t>
      </w:r>
      <w:r w:rsidR="004E3C2D" w:rsidRPr="007C24E8">
        <w:t> :</w:t>
      </w:r>
    </w:p>
    <w:p w14:paraId="7A4EAEBC" w14:textId="77777777" w:rsidR="005E3367" w:rsidRPr="007C24E8" w:rsidRDefault="000574CE" w:rsidP="00CA0005">
      <w:pPr>
        <w:pStyle w:val="SingleTxtG"/>
        <w:tabs>
          <w:tab w:val="left" w:pos="2268"/>
        </w:tabs>
      </w:pPr>
      <w:r w:rsidRPr="007C24E8">
        <w:t>« </w:t>
      </w:r>
      <w:r w:rsidR="005E3367" w:rsidRPr="007C24E8">
        <w:t>1.6.4.55</w:t>
      </w:r>
      <w:r w:rsidR="0094142F" w:rsidRPr="007C24E8">
        <w:tab/>
      </w:r>
      <w:r w:rsidR="005E3367" w:rsidRPr="007C24E8">
        <w:t xml:space="preserve">Les conteneurs-citernes qui ne sont pas conformes aux prescriptions du </w:t>
      </w:r>
      <w:r w:rsidR="009B1F20" w:rsidRPr="007C24E8">
        <w:t xml:space="preserve">paragraphe </w:t>
      </w:r>
      <w:r w:rsidR="005E3367" w:rsidRPr="007C24E8">
        <w:t>6.8.3.4.6 applicables à partir du 1</w:t>
      </w:r>
      <w:r w:rsidR="005E3367" w:rsidRPr="007C24E8">
        <w:rPr>
          <w:vertAlign w:val="superscript"/>
        </w:rPr>
        <w:t>er</w:t>
      </w:r>
      <w:r w:rsidRPr="007C24E8">
        <w:t> </w:t>
      </w:r>
      <w:r w:rsidR="005E3367" w:rsidRPr="007C24E8">
        <w:t>janvier 2023 pourront encore être utilisés si un contrôle intermédiaire a lieu au plus tard six ans après chaque contrôle périodique effectué après le 1</w:t>
      </w:r>
      <w:r w:rsidR="005E3367" w:rsidRPr="007C24E8">
        <w:rPr>
          <w:vertAlign w:val="superscript"/>
        </w:rPr>
        <w:t>er</w:t>
      </w:r>
      <w:r w:rsidRPr="007C24E8">
        <w:t> </w:t>
      </w:r>
      <w:r w:rsidR="005E3367" w:rsidRPr="007C24E8">
        <w:t>juillet 2023.</w:t>
      </w:r>
      <w:r w:rsidRPr="007C24E8">
        <w:t> ».</w:t>
      </w:r>
    </w:p>
    <w:p w14:paraId="379268CB" w14:textId="77777777" w:rsidR="005E3367" w:rsidRPr="007C24E8" w:rsidRDefault="005E3367" w:rsidP="005E3367">
      <w:pPr>
        <w:pStyle w:val="SingleTxtG"/>
        <w:rPr>
          <w:i/>
          <w:iCs/>
        </w:rPr>
      </w:pPr>
      <w:r w:rsidRPr="007C24E8">
        <w:rPr>
          <w:rStyle w:val="tlid-translation"/>
          <w:i/>
          <w:iCs/>
        </w:rPr>
        <w:t>(</w:t>
      </w:r>
      <w:r w:rsidRPr="007C24E8">
        <w:rPr>
          <w:i/>
          <w:iCs/>
        </w:rPr>
        <w:t>Documents de référence</w:t>
      </w:r>
      <w:r w:rsidR="004E3C2D" w:rsidRPr="007C24E8">
        <w:rPr>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 ECE/TRANS/WP.15/AC.1/2020/1 et ECE/TRANS/WP.15/AC.1/2020/7)</w:t>
      </w:r>
    </w:p>
    <w:p w14:paraId="06CB0F63" w14:textId="77777777" w:rsidR="005E3367" w:rsidRPr="007C24E8" w:rsidRDefault="005E3367" w:rsidP="000574CE">
      <w:pPr>
        <w:pStyle w:val="H23G"/>
      </w:pPr>
      <w:r w:rsidRPr="007C24E8">
        <w:tab/>
      </w:r>
      <w:r w:rsidRPr="007C24E8">
        <w:tab/>
        <w:t>Chapitre 1.9</w:t>
      </w:r>
    </w:p>
    <w:p w14:paraId="371A0210" w14:textId="77777777" w:rsidR="005E3367" w:rsidRPr="007C24E8" w:rsidRDefault="005E3367" w:rsidP="000574CE">
      <w:pPr>
        <w:pStyle w:val="SingleTxtG"/>
        <w:keepNext/>
      </w:pPr>
      <w:r w:rsidRPr="007C24E8">
        <w:t>(RID</w:t>
      </w:r>
      <w:r w:rsidR="004E3C2D" w:rsidRPr="007C24E8">
        <w:t> :</w:t>
      </w:r>
      <w:r w:rsidRPr="007C24E8">
        <w:t>)</w:t>
      </w:r>
    </w:p>
    <w:p w14:paraId="7BCDE305" w14:textId="77777777" w:rsidR="005E3367" w:rsidRPr="007C24E8" w:rsidRDefault="005E3367" w:rsidP="0094142F">
      <w:pPr>
        <w:pStyle w:val="SingleTxtG"/>
        <w:ind w:left="2268" w:hanging="1134"/>
      </w:pPr>
      <w:r w:rsidRPr="007C24E8">
        <w:t>1.9.3</w:t>
      </w:r>
      <w:r w:rsidRPr="007C24E8">
        <w:tab/>
        <w:t>Après la référence à la note de bas de page 20, ajouter une référence à une nouvelle note de bas de page 21 ainsi conçue</w:t>
      </w:r>
      <w:r w:rsidR="004E3C2D" w:rsidRPr="007C24E8">
        <w:t> :</w:t>
      </w:r>
    </w:p>
    <w:p w14:paraId="248B3466" w14:textId="77777777" w:rsidR="005E3367" w:rsidRPr="007C24E8" w:rsidRDefault="000574CE" w:rsidP="000574CE">
      <w:pPr>
        <w:pStyle w:val="SingleTxtG"/>
        <w:spacing w:line="220" w:lineRule="atLeast"/>
      </w:pPr>
      <w:r w:rsidRPr="007C24E8">
        <w:t>« </w:t>
      </w:r>
      <w:r w:rsidR="005E3367" w:rsidRPr="007C24E8">
        <w:rPr>
          <w:sz w:val="18"/>
          <w:szCs w:val="18"/>
          <w:vertAlign w:val="superscript"/>
        </w:rPr>
        <w:t>21</w:t>
      </w:r>
      <w:r w:rsidR="005E3367" w:rsidRPr="007C24E8">
        <w:tab/>
      </w:r>
      <w:r w:rsidR="005E3367" w:rsidRPr="007C24E8">
        <w:rPr>
          <w:sz w:val="18"/>
          <w:szCs w:val="18"/>
        </w:rPr>
        <w:t>Les lignes directrices multimodales (</w:t>
      </w:r>
      <w:proofErr w:type="spellStart"/>
      <w:r w:rsidR="005E3367" w:rsidRPr="007C24E8">
        <w:rPr>
          <w:i/>
          <w:iCs/>
          <w:sz w:val="18"/>
          <w:szCs w:val="18"/>
        </w:rPr>
        <w:t>Inland</w:t>
      </w:r>
      <w:proofErr w:type="spellEnd"/>
      <w:r w:rsidR="005E3367" w:rsidRPr="007C24E8">
        <w:rPr>
          <w:i/>
          <w:iCs/>
          <w:sz w:val="18"/>
          <w:szCs w:val="18"/>
        </w:rPr>
        <w:t xml:space="preserve"> TDG Risk Management Framework</w:t>
      </w:r>
      <w:r w:rsidR="005E3367" w:rsidRPr="007C24E8">
        <w:rPr>
          <w:sz w:val="18"/>
          <w:szCs w:val="18"/>
        </w:rPr>
        <w:t>) peuvent être consultées sur le site Internet de la Direction générale de la mobilité et des transports de la Commission européenne (</w:t>
      </w:r>
      <w:hyperlink r:id="rId23" w:history="1">
        <w:r w:rsidR="005E3367" w:rsidRPr="007C24E8">
          <w:rPr>
            <w:rStyle w:val="Hyperlink"/>
            <w:sz w:val="18"/>
            <w:szCs w:val="18"/>
          </w:rPr>
          <w:t>https</w:t>
        </w:r>
        <w:r w:rsidR="009B1F20" w:rsidRPr="007C24E8">
          <w:rPr>
            <w:rStyle w:val="Hyperlink"/>
            <w:sz w:val="18"/>
            <w:szCs w:val="18"/>
          </w:rPr>
          <w:t>:</w:t>
        </w:r>
        <w:r w:rsidR="00F218AE" w:rsidRPr="007C24E8">
          <w:rPr>
            <w:rStyle w:val="Hyperlink"/>
            <w:sz w:val="18"/>
            <w:szCs w:val="18"/>
          </w:rPr>
          <w:t>/</w:t>
        </w:r>
        <w:r w:rsidR="005E3367" w:rsidRPr="007C24E8">
          <w:rPr>
            <w:rStyle w:val="Hyperlink"/>
            <w:sz w:val="18"/>
            <w:szCs w:val="18"/>
          </w:rPr>
          <w:t>/ec.europa.eu/transport/themes/dangerous_good/risk_management_</w:t>
        </w:r>
        <w:r w:rsidRPr="007C24E8">
          <w:rPr>
            <w:rStyle w:val="Hyperlink"/>
            <w:sz w:val="18"/>
            <w:szCs w:val="18"/>
          </w:rPr>
          <w:t xml:space="preserve"> </w:t>
        </w:r>
        <w:r w:rsidR="005E3367" w:rsidRPr="007C24E8">
          <w:rPr>
            <w:rStyle w:val="Hyperlink"/>
            <w:sz w:val="18"/>
            <w:szCs w:val="18"/>
          </w:rPr>
          <w:t>framework_en</w:t>
        </w:r>
      </w:hyperlink>
      <w:r w:rsidR="005E3367" w:rsidRPr="007C24E8">
        <w:rPr>
          <w:sz w:val="18"/>
          <w:szCs w:val="18"/>
        </w:rPr>
        <w:t>) ou directement sur le site Web de l’Agence de l’Union européenne pour les chemins de fer (ERA) (</w:t>
      </w:r>
      <w:hyperlink r:id="rId24" w:history="1">
        <w:r w:rsidR="005E3367" w:rsidRPr="007C24E8">
          <w:rPr>
            <w:rStyle w:val="Hyperlink"/>
            <w:sz w:val="18"/>
            <w:szCs w:val="18"/>
          </w:rPr>
          <w:t>https</w:t>
        </w:r>
        <w:r w:rsidR="009B1F20" w:rsidRPr="007C24E8">
          <w:rPr>
            <w:rStyle w:val="Hyperlink"/>
            <w:sz w:val="18"/>
            <w:szCs w:val="18"/>
          </w:rPr>
          <w:t>:</w:t>
        </w:r>
        <w:r w:rsidR="00F218AE" w:rsidRPr="007C24E8">
          <w:rPr>
            <w:rStyle w:val="Hyperlink"/>
            <w:sz w:val="18"/>
            <w:szCs w:val="18"/>
          </w:rPr>
          <w:t>/</w:t>
        </w:r>
        <w:r w:rsidR="005E3367" w:rsidRPr="007C24E8">
          <w:rPr>
            <w:rStyle w:val="Hyperlink"/>
            <w:sz w:val="18"/>
            <w:szCs w:val="18"/>
          </w:rPr>
          <w:t>/www.era.europa.eu/activities/transport-dangerous-goods/inland-tdg_en</w:t>
        </w:r>
      </w:hyperlink>
      <w:r w:rsidR="005E3367" w:rsidRPr="007C24E8">
        <w:rPr>
          <w:sz w:val="18"/>
          <w:szCs w:val="18"/>
        </w:rPr>
        <w:t>).</w:t>
      </w:r>
      <w:r w:rsidRPr="007C24E8">
        <w:t> ».</w:t>
      </w:r>
    </w:p>
    <w:p w14:paraId="0B65F105" w14:textId="77777777" w:rsidR="005E3367" w:rsidRPr="007C24E8" w:rsidRDefault="005E3367" w:rsidP="000574CE">
      <w:pPr>
        <w:pStyle w:val="SingleTxtG"/>
        <w:keepNext/>
      </w:pPr>
      <w:r w:rsidRPr="007C24E8">
        <w:t>(ADR</w:t>
      </w:r>
      <w:r w:rsidR="004E3C2D" w:rsidRPr="007C24E8">
        <w:t> :</w:t>
      </w:r>
      <w:r w:rsidRPr="007C24E8">
        <w:t>)</w:t>
      </w:r>
    </w:p>
    <w:p w14:paraId="60DBF6A0" w14:textId="77777777" w:rsidR="005E3367" w:rsidRPr="007C24E8" w:rsidRDefault="005E3367" w:rsidP="005E3367">
      <w:pPr>
        <w:pStyle w:val="SingleTxtG"/>
        <w:ind w:left="2268" w:hanging="1134"/>
      </w:pPr>
      <w:r w:rsidRPr="007C24E8">
        <w:t>1.9.4</w:t>
      </w:r>
      <w:r w:rsidRPr="007C24E8">
        <w:tab/>
        <w:t xml:space="preserve">Après la référence à la note de bas de page 1, ajouter une référence une nouvelle note de bas de page 2 </w:t>
      </w:r>
      <w:bookmarkStart w:id="15" w:name="_Hlk55896174"/>
      <w:r w:rsidRPr="007C24E8">
        <w:t>ainsi conçue</w:t>
      </w:r>
      <w:bookmarkEnd w:id="15"/>
      <w:r w:rsidR="004E3C2D" w:rsidRPr="007C24E8">
        <w:t> :</w:t>
      </w:r>
    </w:p>
    <w:p w14:paraId="71913F99" w14:textId="77777777" w:rsidR="005E3367" w:rsidRPr="007C24E8" w:rsidRDefault="000574CE" w:rsidP="007C24E8">
      <w:pPr>
        <w:pStyle w:val="SingleTxtG"/>
        <w:spacing w:line="220" w:lineRule="atLeast"/>
      </w:pPr>
      <w:r w:rsidRPr="007C24E8">
        <w:t>« </w:t>
      </w:r>
      <w:r w:rsidR="005E3367" w:rsidRPr="007C24E8">
        <w:rPr>
          <w:sz w:val="18"/>
          <w:szCs w:val="18"/>
          <w:vertAlign w:val="superscript"/>
        </w:rPr>
        <w:t>2</w:t>
      </w:r>
      <w:r w:rsidR="005E3367" w:rsidRPr="007C24E8">
        <w:rPr>
          <w:sz w:val="18"/>
          <w:szCs w:val="18"/>
        </w:rPr>
        <w:tab/>
        <w:t>Les lignes directrices multimodales (</w:t>
      </w:r>
      <w:proofErr w:type="spellStart"/>
      <w:r w:rsidR="005E3367" w:rsidRPr="007C24E8">
        <w:rPr>
          <w:i/>
          <w:iCs/>
          <w:sz w:val="18"/>
          <w:szCs w:val="18"/>
        </w:rPr>
        <w:t>Inland</w:t>
      </w:r>
      <w:proofErr w:type="spellEnd"/>
      <w:r w:rsidR="005E3367" w:rsidRPr="007C24E8">
        <w:rPr>
          <w:i/>
          <w:iCs/>
          <w:sz w:val="18"/>
          <w:szCs w:val="18"/>
        </w:rPr>
        <w:t xml:space="preserve"> TDG Risk Management Framework</w:t>
      </w:r>
      <w:r w:rsidR="005E3367" w:rsidRPr="007C24E8">
        <w:rPr>
          <w:sz w:val="18"/>
          <w:szCs w:val="18"/>
        </w:rPr>
        <w:t>) peuvent être consultées sur le site Internet de la Direction générale de la mobilité et des transports de la Commission européenne (</w:t>
      </w:r>
      <w:hyperlink r:id="rId25" w:history="1">
        <w:r w:rsidR="005E3367" w:rsidRPr="007C24E8">
          <w:rPr>
            <w:rStyle w:val="Hyperlink"/>
            <w:sz w:val="18"/>
            <w:szCs w:val="18"/>
          </w:rPr>
          <w:t>https</w:t>
        </w:r>
        <w:r w:rsidR="009B1F20" w:rsidRPr="007C24E8">
          <w:rPr>
            <w:rStyle w:val="Hyperlink"/>
            <w:sz w:val="18"/>
            <w:szCs w:val="18"/>
          </w:rPr>
          <w:t>:</w:t>
        </w:r>
        <w:r w:rsidR="00F218AE" w:rsidRPr="007C24E8">
          <w:rPr>
            <w:rStyle w:val="Hyperlink"/>
            <w:sz w:val="18"/>
            <w:szCs w:val="18"/>
          </w:rPr>
          <w:t>/</w:t>
        </w:r>
        <w:r w:rsidR="005E3367" w:rsidRPr="007C24E8">
          <w:rPr>
            <w:rStyle w:val="Hyperlink"/>
            <w:sz w:val="18"/>
            <w:szCs w:val="18"/>
          </w:rPr>
          <w:t>/ec.europa.eu/transport/themes/dangerous_good/risk_management_</w:t>
        </w:r>
        <w:r w:rsidRPr="007C24E8">
          <w:rPr>
            <w:rStyle w:val="Hyperlink"/>
            <w:sz w:val="18"/>
            <w:szCs w:val="18"/>
          </w:rPr>
          <w:t xml:space="preserve"> </w:t>
        </w:r>
        <w:proofErr w:type="spellStart"/>
        <w:r w:rsidR="005E3367" w:rsidRPr="007C24E8">
          <w:rPr>
            <w:rStyle w:val="Hyperlink"/>
            <w:sz w:val="18"/>
            <w:szCs w:val="18"/>
          </w:rPr>
          <w:t>framework_en</w:t>
        </w:r>
        <w:proofErr w:type="spellEnd"/>
      </w:hyperlink>
      <w:r w:rsidR="005E3367" w:rsidRPr="007C24E8">
        <w:rPr>
          <w:sz w:val="18"/>
          <w:szCs w:val="18"/>
        </w:rPr>
        <w:t>).</w:t>
      </w:r>
      <w:r w:rsidRPr="007C24E8">
        <w:rPr>
          <w:sz w:val="18"/>
          <w:szCs w:val="18"/>
        </w:rPr>
        <w:t> ».</w:t>
      </w:r>
    </w:p>
    <w:p w14:paraId="6C41CADD" w14:textId="77777777" w:rsidR="005E3367" w:rsidRPr="007C24E8" w:rsidRDefault="005E3367" w:rsidP="000574CE">
      <w:pPr>
        <w:pStyle w:val="SingleTxtG"/>
        <w:keepNext/>
      </w:pPr>
      <w:r w:rsidRPr="007C24E8">
        <w:t>(ADN</w:t>
      </w:r>
      <w:r w:rsidR="004E3C2D" w:rsidRPr="007C24E8">
        <w:t> :</w:t>
      </w:r>
      <w:r w:rsidRPr="007C24E8">
        <w:t>)</w:t>
      </w:r>
    </w:p>
    <w:p w14:paraId="33106AE9" w14:textId="77777777" w:rsidR="005E3367" w:rsidRPr="007C24E8" w:rsidRDefault="005E3367" w:rsidP="005E3367">
      <w:pPr>
        <w:pStyle w:val="SingleTxtG"/>
        <w:ind w:left="2268" w:hanging="1134"/>
      </w:pPr>
      <w:r w:rsidRPr="007C24E8">
        <w:t>1.9.4</w:t>
      </w:r>
      <w:r w:rsidRPr="007C24E8">
        <w:tab/>
        <w:t>À la fin, ajouter une référence à la nouvelle note de bas de page 1 ainsi conçue</w:t>
      </w:r>
      <w:r w:rsidR="004E3C2D" w:rsidRPr="007C24E8">
        <w:t> :</w:t>
      </w:r>
    </w:p>
    <w:p w14:paraId="17E23268" w14:textId="77777777" w:rsidR="005E3367" w:rsidRPr="007C24E8" w:rsidRDefault="000574CE" w:rsidP="000574CE">
      <w:pPr>
        <w:pStyle w:val="SingleTxtG"/>
        <w:spacing w:line="220" w:lineRule="atLeast"/>
      </w:pPr>
      <w:r w:rsidRPr="007C24E8">
        <w:t>« </w:t>
      </w:r>
      <w:r w:rsidR="005E3367" w:rsidRPr="007C24E8">
        <w:rPr>
          <w:sz w:val="18"/>
          <w:szCs w:val="18"/>
          <w:vertAlign w:val="superscript"/>
        </w:rPr>
        <w:t>1</w:t>
      </w:r>
      <w:r w:rsidR="005E3367" w:rsidRPr="007C24E8">
        <w:rPr>
          <w:sz w:val="18"/>
          <w:szCs w:val="18"/>
        </w:rPr>
        <w:tab/>
        <w:t>Les lignes directrices multimodales (</w:t>
      </w:r>
      <w:proofErr w:type="spellStart"/>
      <w:r w:rsidR="005E3367" w:rsidRPr="007C24E8">
        <w:rPr>
          <w:i/>
          <w:iCs/>
          <w:sz w:val="18"/>
          <w:szCs w:val="18"/>
        </w:rPr>
        <w:t>Inland</w:t>
      </w:r>
      <w:proofErr w:type="spellEnd"/>
      <w:r w:rsidR="005E3367" w:rsidRPr="007C24E8">
        <w:rPr>
          <w:i/>
          <w:iCs/>
          <w:sz w:val="18"/>
          <w:szCs w:val="18"/>
        </w:rPr>
        <w:t xml:space="preserve"> TDG Risk Management Framework</w:t>
      </w:r>
      <w:r w:rsidR="005E3367" w:rsidRPr="007C24E8">
        <w:rPr>
          <w:sz w:val="18"/>
          <w:szCs w:val="18"/>
        </w:rPr>
        <w:t>) peuvent être consultées sur le site Internet de la Direction générale de la mobilité et des transports de la Commission européenne (</w:t>
      </w:r>
      <w:hyperlink r:id="rId26" w:history="1">
        <w:r w:rsidR="005E3367" w:rsidRPr="007C24E8">
          <w:rPr>
            <w:rStyle w:val="Hyperlink"/>
            <w:sz w:val="18"/>
            <w:szCs w:val="18"/>
          </w:rPr>
          <w:t>https</w:t>
        </w:r>
        <w:r w:rsidR="009B1F20" w:rsidRPr="007C24E8">
          <w:rPr>
            <w:rStyle w:val="Hyperlink"/>
            <w:sz w:val="18"/>
            <w:szCs w:val="18"/>
          </w:rPr>
          <w:t>:</w:t>
        </w:r>
        <w:r w:rsidR="00F218AE" w:rsidRPr="007C24E8">
          <w:rPr>
            <w:rStyle w:val="Hyperlink"/>
            <w:sz w:val="18"/>
            <w:szCs w:val="18"/>
          </w:rPr>
          <w:t>/</w:t>
        </w:r>
        <w:r w:rsidR="005E3367" w:rsidRPr="007C24E8">
          <w:rPr>
            <w:rStyle w:val="Hyperlink"/>
            <w:sz w:val="18"/>
            <w:szCs w:val="18"/>
          </w:rPr>
          <w:t>/ec.europa.eu/transport/themes/dangerous_good/risk_management</w:t>
        </w:r>
        <w:r w:rsidR="007C24E8">
          <w:rPr>
            <w:rStyle w:val="Hyperlink"/>
            <w:sz w:val="18"/>
            <w:szCs w:val="18"/>
          </w:rPr>
          <w:t xml:space="preserve"> </w:t>
        </w:r>
        <w:r w:rsidR="005E3367" w:rsidRPr="007C24E8">
          <w:rPr>
            <w:rStyle w:val="Hyperlink"/>
            <w:sz w:val="18"/>
            <w:szCs w:val="18"/>
          </w:rPr>
          <w:t>_</w:t>
        </w:r>
        <w:proofErr w:type="spellStart"/>
        <w:r w:rsidR="005E3367" w:rsidRPr="007C24E8">
          <w:rPr>
            <w:rStyle w:val="Hyperlink"/>
            <w:sz w:val="18"/>
            <w:szCs w:val="18"/>
          </w:rPr>
          <w:t>framework_en</w:t>
        </w:r>
        <w:proofErr w:type="spellEnd"/>
      </w:hyperlink>
      <w:r w:rsidR="005E3367" w:rsidRPr="007C24E8">
        <w:rPr>
          <w:sz w:val="18"/>
          <w:szCs w:val="18"/>
        </w:rPr>
        <w:t>).</w:t>
      </w:r>
      <w:r w:rsidRPr="007C24E8">
        <w:t> ».</w:t>
      </w:r>
    </w:p>
    <w:p w14:paraId="5BB47760"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INF.62, tel que modifié)</w:t>
      </w:r>
    </w:p>
    <w:p w14:paraId="35549589" w14:textId="77777777" w:rsidR="005E3367" w:rsidRPr="007C24E8" w:rsidRDefault="005E3367" w:rsidP="000574CE">
      <w:pPr>
        <w:pStyle w:val="H23G"/>
      </w:pPr>
      <w:r w:rsidRPr="007C24E8">
        <w:tab/>
      </w:r>
      <w:r w:rsidRPr="007C24E8">
        <w:tab/>
        <w:t>Chapitre 2.2</w:t>
      </w:r>
    </w:p>
    <w:p w14:paraId="08F985AF" w14:textId="77777777" w:rsidR="005E3367" w:rsidRPr="007C24E8" w:rsidRDefault="005E3367" w:rsidP="005E3367">
      <w:pPr>
        <w:pStyle w:val="SingleTxtG"/>
        <w:ind w:left="2268" w:hanging="1134"/>
      </w:pPr>
      <w:r w:rsidRPr="007C24E8">
        <w:t>2.2.2.2.2</w:t>
      </w:r>
      <w:r w:rsidRPr="007C24E8">
        <w:tab/>
        <w:t>Au cinquième tiret, insérer « 1043, » après « 1001, » et ajouter la phrase suivante à la fin</w:t>
      </w:r>
      <w:r w:rsidR="004E3C2D" w:rsidRPr="007C24E8">
        <w:t> :</w:t>
      </w:r>
      <w:r w:rsidRPr="007C24E8">
        <w:t xml:space="preserve"> « Pour le numéro </w:t>
      </w:r>
      <w:r w:rsidR="007C24E8">
        <w:t>ONU </w:t>
      </w:r>
      <w:r w:rsidRPr="007C24E8">
        <w:t>1043, voir la disposition spéciale 642.</w:t>
      </w:r>
      <w:r w:rsidR="000574CE" w:rsidRPr="007C24E8">
        <w:t> ».</w:t>
      </w:r>
    </w:p>
    <w:p w14:paraId="678A470A"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ECE/TRANS/WP.15/AC.1/2020/36)</w:t>
      </w:r>
    </w:p>
    <w:p w14:paraId="3ED43AE0" w14:textId="77777777" w:rsidR="005E3367" w:rsidRPr="007C24E8" w:rsidRDefault="005E3367" w:rsidP="000574CE">
      <w:pPr>
        <w:pStyle w:val="H23G"/>
      </w:pPr>
      <w:r w:rsidRPr="007C24E8">
        <w:tab/>
      </w:r>
      <w:r w:rsidRPr="007C24E8">
        <w:tab/>
        <w:t>Chapitre 3.2, tableau A</w:t>
      </w:r>
    </w:p>
    <w:p w14:paraId="6EE380F5" w14:textId="77777777" w:rsidR="005E3367" w:rsidRPr="007C24E8" w:rsidRDefault="005E3367" w:rsidP="000574CE">
      <w:pPr>
        <w:pStyle w:val="SingleTxtG"/>
        <w:keepNext/>
        <w:spacing w:before="120"/>
      </w:pPr>
      <w:r w:rsidRPr="007C24E8">
        <w:t>(RID</w:t>
      </w:r>
      <w:r w:rsidR="004E3C2D" w:rsidRPr="007C24E8">
        <w:t> :</w:t>
      </w:r>
      <w:r w:rsidRPr="007C24E8">
        <w:t>)</w:t>
      </w:r>
    </w:p>
    <w:p w14:paraId="28D73230" w14:textId="77777777" w:rsidR="005E3367" w:rsidRPr="007C24E8" w:rsidRDefault="007C24E8" w:rsidP="005E3367">
      <w:pPr>
        <w:pStyle w:val="SingleTxtG"/>
        <w:ind w:left="2268" w:hanging="1134"/>
      </w:pPr>
      <w:r>
        <w:t>ONU </w:t>
      </w:r>
      <w:r w:rsidR="005E3367" w:rsidRPr="007C24E8">
        <w:t>1043</w:t>
      </w:r>
      <w:r w:rsidR="005E3367" w:rsidRPr="007C24E8">
        <w:tab/>
      </w:r>
      <w:bookmarkStart w:id="16" w:name="_Hlk55897099"/>
      <w:r w:rsidR="005E3367" w:rsidRPr="007C24E8">
        <w:t xml:space="preserve">Dans la colonne </w:t>
      </w:r>
      <w:bookmarkEnd w:id="16"/>
      <w:r w:rsidR="005E3367" w:rsidRPr="007C24E8">
        <w:t xml:space="preserve">(3b), insérer </w:t>
      </w:r>
      <w:r w:rsidR="000574CE" w:rsidRPr="007C24E8">
        <w:t>« </w:t>
      </w:r>
      <w:r w:rsidR="005E3367" w:rsidRPr="007C24E8">
        <w:t>4A</w:t>
      </w:r>
      <w:r w:rsidR="000574CE" w:rsidRPr="007C24E8">
        <w:t> »</w:t>
      </w:r>
      <w:r w:rsidR="005E3367" w:rsidRPr="007C24E8">
        <w:t>.</w:t>
      </w:r>
    </w:p>
    <w:p w14:paraId="62AD2697"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ECE/TRANS/WP.15/AC.1/2020/36, première option, </w:t>
      </w:r>
      <w:r w:rsidR="009B1F20" w:rsidRPr="007C24E8">
        <w:rPr>
          <w:i/>
          <w:iCs/>
        </w:rPr>
        <w:t xml:space="preserve">paragraphe </w:t>
      </w:r>
      <w:r w:rsidRPr="007C24E8">
        <w:rPr>
          <w:i/>
          <w:iCs/>
        </w:rPr>
        <w:t>16)</w:t>
      </w:r>
    </w:p>
    <w:p w14:paraId="27AE4FD1" w14:textId="77777777" w:rsidR="005E3367" w:rsidRPr="007C24E8" w:rsidRDefault="005E3367" w:rsidP="000574CE">
      <w:pPr>
        <w:pStyle w:val="SingleTxtG"/>
        <w:keepNext/>
        <w:spacing w:before="120"/>
      </w:pPr>
      <w:r w:rsidRPr="007C24E8">
        <w:t>(ADN</w:t>
      </w:r>
      <w:r w:rsidR="004E3C2D" w:rsidRPr="007C24E8">
        <w:t> :</w:t>
      </w:r>
      <w:r w:rsidRPr="007C24E8">
        <w:t>)</w:t>
      </w:r>
    </w:p>
    <w:p w14:paraId="6538BA0C" w14:textId="77777777" w:rsidR="005E3367" w:rsidRPr="007C24E8" w:rsidRDefault="005E3367" w:rsidP="005E3367">
      <w:pPr>
        <w:pStyle w:val="SingleTxtG"/>
        <w:ind w:left="2268" w:hanging="1134"/>
      </w:pPr>
      <w:r w:rsidRPr="007C24E8">
        <w:t>[</w:t>
      </w:r>
      <w:r w:rsidR="007C24E8">
        <w:t>ONU </w:t>
      </w:r>
      <w:r w:rsidRPr="007C24E8">
        <w:t>1043</w:t>
      </w:r>
      <w:r w:rsidRPr="007C24E8">
        <w:tab/>
        <w:t xml:space="preserve">Dans la colonne (6), insérer </w:t>
      </w:r>
      <w:r w:rsidR="000574CE" w:rsidRPr="007C24E8">
        <w:t>« </w:t>
      </w:r>
      <w:r w:rsidRPr="007C24E8">
        <w:t>642</w:t>
      </w:r>
      <w:r w:rsidR="000574CE" w:rsidRPr="007C24E8">
        <w:t> »</w:t>
      </w:r>
      <w:r w:rsidRPr="007C24E8">
        <w:t>.]</w:t>
      </w:r>
    </w:p>
    <w:p w14:paraId="4C46563F"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ECE/TRANS/WP.15/AC.1/2020/36)</w:t>
      </w:r>
    </w:p>
    <w:p w14:paraId="41677A57" w14:textId="77777777" w:rsidR="005E3367" w:rsidRPr="007C24E8" w:rsidRDefault="007C24E8" w:rsidP="005E3367">
      <w:pPr>
        <w:pStyle w:val="SingleTxtG"/>
        <w:ind w:left="2268" w:hanging="1134"/>
      </w:pPr>
      <w:r>
        <w:t>ONU </w:t>
      </w:r>
      <w:r w:rsidR="005E3367" w:rsidRPr="007C24E8">
        <w:t>1345</w:t>
      </w:r>
      <w:r w:rsidR="005E3367" w:rsidRPr="007C24E8">
        <w:tab/>
      </w:r>
      <w:r w:rsidR="005E3367" w:rsidRPr="007C24E8">
        <w:tab/>
        <w:t xml:space="preserve">Dans la colonne (2), ajouter </w:t>
      </w:r>
      <w:r w:rsidR="000574CE" w:rsidRPr="007C24E8">
        <w:t>« </w:t>
      </w:r>
      <w:r w:rsidR="005E3367" w:rsidRPr="007C24E8">
        <w:t>, ne dépasse pas 840</w:t>
      </w:r>
      <w:r>
        <w:t> </w:t>
      </w:r>
      <w:r w:rsidR="005E3367" w:rsidRPr="007C24E8">
        <w:t>microns et avec une teneur en caoutchouc supérieure à 45 %.</w:t>
      </w:r>
      <w:r w:rsidR="000574CE" w:rsidRPr="007C24E8">
        <w:t> »</w:t>
      </w:r>
      <w:r w:rsidR="005E3367" w:rsidRPr="007C24E8">
        <w:t>.</w:t>
      </w:r>
    </w:p>
    <w:p w14:paraId="39CD3213"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ECE/TRANS/WP.15/AC.1/2020/37, </w:t>
      </w:r>
      <w:r w:rsidR="009B1F20" w:rsidRPr="007C24E8">
        <w:rPr>
          <w:i/>
          <w:iCs/>
        </w:rPr>
        <w:t xml:space="preserve">proposition </w:t>
      </w:r>
      <w:r w:rsidRPr="007C24E8">
        <w:rPr>
          <w:i/>
          <w:iCs/>
        </w:rPr>
        <w:t>1)</w:t>
      </w:r>
    </w:p>
    <w:p w14:paraId="1006CDE9" w14:textId="77777777" w:rsidR="005E3367" w:rsidRPr="007C24E8" w:rsidRDefault="007C24E8" w:rsidP="005E3367">
      <w:pPr>
        <w:pStyle w:val="SingleTxtG"/>
        <w:ind w:left="2268" w:hanging="1134"/>
      </w:pPr>
      <w:r>
        <w:t>ONU </w:t>
      </w:r>
      <w:r w:rsidR="005E3367" w:rsidRPr="007C24E8">
        <w:t>1872</w:t>
      </w:r>
      <w:r w:rsidR="005E3367" w:rsidRPr="007C24E8">
        <w:tab/>
      </w:r>
      <w:r w:rsidR="005E3367" w:rsidRPr="007C24E8">
        <w:tab/>
        <w:t xml:space="preserve">Dans la colonne (3b), </w:t>
      </w:r>
      <w:bookmarkStart w:id="17" w:name="_Hlk55897381"/>
      <w:r w:rsidR="005E3367" w:rsidRPr="007C24E8">
        <w:t>remplacer</w:t>
      </w:r>
      <w:bookmarkEnd w:id="17"/>
      <w:r w:rsidR="005E3367" w:rsidRPr="007C24E8">
        <w:t xml:space="preserve"> </w:t>
      </w:r>
      <w:r w:rsidR="000574CE" w:rsidRPr="007C24E8">
        <w:t>« </w:t>
      </w:r>
      <w:r w:rsidR="005E3367" w:rsidRPr="007C24E8">
        <w:t>OT2</w:t>
      </w:r>
      <w:r w:rsidR="000574CE" w:rsidRPr="007C24E8">
        <w:t> »</w:t>
      </w:r>
      <w:r w:rsidR="005E3367" w:rsidRPr="007C24E8">
        <w:t xml:space="preserve"> par </w:t>
      </w:r>
      <w:r w:rsidR="000574CE" w:rsidRPr="007C24E8">
        <w:t>« </w:t>
      </w:r>
      <w:r w:rsidR="005E3367" w:rsidRPr="007C24E8">
        <w:t>O2</w:t>
      </w:r>
      <w:r w:rsidR="000574CE" w:rsidRPr="007C24E8">
        <w:t> »</w:t>
      </w:r>
      <w:r w:rsidR="005E3367" w:rsidRPr="007C24E8">
        <w:t xml:space="preserve">. Dans la colonne (5), </w:t>
      </w:r>
      <w:bookmarkStart w:id="18" w:name="_Hlk55897438"/>
      <w:r w:rsidR="005E3367" w:rsidRPr="007C24E8">
        <w:t>supprimer</w:t>
      </w:r>
      <w:bookmarkEnd w:id="18"/>
      <w:r w:rsidR="005E3367" w:rsidRPr="007C24E8">
        <w:t xml:space="preserve"> </w:t>
      </w:r>
      <w:r w:rsidR="000574CE" w:rsidRPr="007C24E8">
        <w:t>« </w:t>
      </w:r>
      <w:r w:rsidR="005E3367" w:rsidRPr="007C24E8">
        <w:t>+ 6.1</w:t>
      </w:r>
      <w:r w:rsidR="000574CE" w:rsidRPr="007C24E8">
        <w:t> »</w:t>
      </w:r>
      <w:r w:rsidR="005E3367" w:rsidRPr="007C24E8">
        <w:t>.</w:t>
      </w:r>
    </w:p>
    <w:p w14:paraId="7016104D" w14:textId="77777777" w:rsidR="005E3367" w:rsidRPr="007C24E8" w:rsidRDefault="005E3367" w:rsidP="005E3367">
      <w:pPr>
        <w:pStyle w:val="SingleTxtG"/>
        <w:spacing w:before="120"/>
        <w:ind w:left="2268"/>
        <w:rPr>
          <w:spacing w:val="-2"/>
        </w:rPr>
      </w:pPr>
      <w:r w:rsidRPr="007C24E8">
        <w:rPr>
          <w:spacing w:val="-2"/>
        </w:rPr>
        <w:t>(RID/ADR</w:t>
      </w:r>
      <w:r w:rsidR="004E3C2D" w:rsidRPr="007C24E8">
        <w:rPr>
          <w:spacing w:val="-2"/>
        </w:rPr>
        <w:t> :</w:t>
      </w:r>
      <w:r w:rsidRPr="007C24E8">
        <w:rPr>
          <w:spacing w:val="-2"/>
        </w:rPr>
        <w:t xml:space="preserve">) Dans la colonne (12), remplacer </w:t>
      </w:r>
      <w:r w:rsidR="000574CE" w:rsidRPr="007C24E8">
        <w:rPr>
          <w:spacing w:val="-2"/>
        </w:rPr>
        <w:t>« </w:t>
      </w:r>
      <w:r w:rsidRPr="007C24E8">
        <w:rPr>
          <w:spacing w:val="-2"/>
        </w:rPr>
        <w:t>SGAN</w:t>
      </w:r>
      <w:r w:rsidR="000574CE" w:rsidRPr="007C24E8">
        <w:rPr>
          <w:spacing w:val="-2"/>
        </w:rPr>
        <w:t> »</w:t>
      </w:r>
      <w:r w:rsidRPr="007C24E8">
        <w:rPr>
          <w:spacing w:val="-2"/>
        </w:rPr>
        <w:t xml:space="preserve"> par </w:t>
      </w:r>
      <w:r w:rsidR="000574CE" w:rsidRPr="007C24E8">
        <w:rPr>
          <w:spacing w:val="-2"/>
        </w:rPr>
        <w:t>« </w:t>
      </w:r>
      <w:r w:rsidRPr="007C24E8">
        <w:rPr>
          <w:spacing w:val="-2"/>
        </w:rPr>
        <w:t>SGAV</w:t>
      </w:r>
      <w:r w:rsidR="000574CE" w:rsidRPr="007C24E8">
        <w:rPr>
          <w:spacing w:val="-2"/>
        </w:rPr>
        <w:t> »</w:t>
      </w:r>
      <w:r w:rsidRPr="007C24E8">
        <w:rPr>
          <w:spacing w:val="-2"/>
        </w:rPr>
        <w:t xml:space="preserve">. Dans la colonne (17), insérer </w:t>
      </w:r>
      <w:r w:rsidR="000574CE" w:rsidRPr="007C24E8">
        <w:rPr>
          <w:spacing w:val="-2"/>
        </w:rPr>
        <w:t>« </w:t>
      </w:r>
      <w:r w:rsidRPr="007C24E8">
        <w:rPr>
          <w:spacing w:val="-2"/>
        </w:rPr>
        <w:t>VC1 VC2 AP6 AP7</w:t>
      </w:r>
      <w:r w:rsidR="000574CE" w:rsidRPr="007C24E8">
        <w:rPr>
          <w:spacing w:val="-2"/>
        </w:rPr>
        <w:t> »</w:t>
      </w:r>
      <w:r w:rsidRPr="007C24E8">
        <w:rPr>
          <w:spacing w:val="-2"/>
        </w:rPr>
        <w:t xml:space="preserve">. Dans la colonne (18), supprimer </w:t>
      </w:r>
      <w:r w:rsidR="000574CE" w:rsidRPr="007C24E8">
        <w:rPr>
          <w:spacing w:val="-2"/>
        </w:rPr>
        <w:t>« </w:t>
      </w:r>
      <w:r w:rsidRPr="007C24E8">
        <w:rPr>
          <w:spacing w:val="-2"/>
        </w:rPr>
        <w:t>CW28/CV28</w:t>
      </w:r>
      <w:r w:rsidR="000574CE" w:rsidRPr="007C24E8">
        <w:rPr>
          <w:spacing w:val="-2"/>
        </w:rPr>
        <w:t> »</w:t>
      </w:r>
      <w:r w:rsidRPr="007C24E8">
        <w:rPr>
          <w:spacing w:val="-2"/>
        </w:rPr>
        <w:t xml:space="preserve">. Dans la colonne (20), remplacer </w:t>
      </w:r>
      <w:r w:rsidR="000574CE" w:rsidRPr="007C24E8">
        <w:rPr>
          <w:spacing w:val="-2"/>
        </w:rPr>
        <w:t>« </w:t>
      </w:r>
      <w:r w:rsidRPr="007C24E8">
        <w:rPr>
          <w:spacing w:val="-2"/>
        </w:rPr>
        <w:t>56</w:t>
      </w:r>
      <w:r w:rsidR="000574CE" w:rsidRPr="007C24E8">
        <w:rPr>
          <w:spacing w:val="-2"/>
        </w:rPr>
        <w:t> »</w:t>
      </w:r>
      <w:r w:rsidRPr="007C24E8">
        <w:rPr>
          <w:spacing w:val="-2"/>
        </w:rPr>
        <w:t xml:space="preserve"> </w:t>
      </w:r>
      <w:r w:rsidR="000574CE" w:rsidRPr="007C24E8">
        <w:rPr>
          <w:spacing w:val="-2"/>
        </w:rPr>
        <w:t>p</w:t>
      </w:r>
      <w:r w:rsidRPr="007C24E8">
        <w:rPr>
          <w:spacing w:val="-2"/>
        </w:rPr>
        <w:t xml:space="preserve">ar </w:t>
      </w:r>
      <w:r w:rsidR="000574CE" w:rsidRPr="007C24E8">
        <w:rPr>
          <w:spacing w:val="-2"/>
        </w:rPr>
        <w:t>« </w:t>
      </w:r>
      <w:r w:rsidRPr="007C24E8">
        <w:rPr>
          <w:spacing w:val="-2"/>
        </w:rPr>
        <w:t>50</w:t>
      </w:r>
      <w:r w:rsidR="000574CE" w:rsidRPr="007C24E8">
        <w:rPr>
          <w:spacing w:val="-2"/>
        </w:rPr>
        <w:t> »</w:t>
      </w:r>
      <w:r w:rsidRPr="007C24E8">
        <w:rPr>
          <w:spacing w:val="-2"/>
        </w:rPr>
        <w:t>.</w:t>
      </w:r>
    </w:p>
    <w:p w14:paraId="197C3DB4"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ECE/TRANS/WP.15/AC.1/2020/53)</w:t>
      </w:r>
    </w:p>
    <w:p w14:paraId="4E57F33D" w14:textId="77777777" w:rsidR="005E3367" w:rsidRPr="007C24E8" w:rsidRDefault="007C24E8" w:rsidP="005E3367">
      <w:pPr>
        <w:pStyle w:val="SingleTxtG"/>
        <w:ind w:left="2268" w:hanging="1134"/>
      </w:pPr>
      <w:r>
        <w:t>ONU </w:t>
      </w:r>
      <w:r w:rsidR="005E3367" w:rsidRPr="007C24E8">
        <w:t>2015</w:t>
      </w:r>
      <w:r w:rsidR="005E3367" w:rsidRPr="007C24E8">
        <w:tab/>
        <w:t xml:space="preserve">Première rubrique, dans la colonne (2), ajouter avant le texte existant </w:t>
      </w:r>
      <w:r w:rsidR="00110257" w:rsidRPr="007C24E8">
        <w:t>« </w:t>
      </w:r>
      <w:r w:rsidR="005E3367" w:rsidRPr="007C24E8">
        <w:t>PEROXYDE D’HYDROGÈNE STABILISÉ o</w:t>
      </w:r>
      <w:r w:rsidR="00D945A2">
        <w:t>u</w:t>
      </w:r>
      <w:r w:rsidR="00110257" w:rsidRPr="007C24E8">
        <w:t> »</w:t>
      </w:r>
      <w:r w:rsidR="005E3367" w:rsidRPr="007C24E8">
        <w:t>.</w:t>
      </w:r>
    </w:p>
    <w:p w14:paraId="1F1B44A0"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ECE/TRANS/WP.15/AC.1/2020/39)</w:t>
      </w:r>
    </w:p>
    <w:p w14:paraId="74248351" w14:textId="77777777" w:rsidR="005E3367" w:rsidRPr="007C24E8" w:rsidRDefault="005E3367" w:rsidP="005E3367">
      <w:pPr>
        <w:pStyle w:val="SingleTxtG"/>
        <w:ind w:left="2268" w:hanging="1134"/>
      </w:pPr>
      <w:r w:rsidRPr="007C24E8">
        <w:t>[</w:t>
      </w:r>
      <w:r w:rsidR="007C24E8">
        <w:t>ONU </w:t>
      </w:r>
      <w:r w:rsidRPr="007C24E8">
        <w:t>3509</w:t>
      </w:r>
      <w:r w:rsidRPr="007C24E8">
        <w:tab/>
        <w:t xml:space="preserve">Dans la colonne (17), ajouter </w:t>
      </w:r>
      <w:r w:rsidR="00110257" w:rsidRPr="007C24E8">
        <w:t>« </w:t>
      </w:r>
      <w:r w:rsidRPr="007C24E8">
        <w:t>VC1</w:t>
      </w:r>
      <w:r w:rsidR="00110257" w:rsidRPr="007C24E8">
        <w:t> »</w:t>
      </w:r>
      <w:r w:rsidRPr="007C24E8">
        <w:t>.]</w:t>
      </w:r>
    </w:p>
    <w:p w14:paraId="37CEA86C"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ECE/TRANS/WP.15/AC.1/2020/62)</w:t>
      </w:r>
    </w:p>
    <w:p w14:paraId="0E200397" w14:textId="77777777" w:rsidR="005E3367" w:rsidRPr="007C24E8" w:rsidRDefault="007C24E8" w:rsidP="005E3367">
      <w:pPr>
        <w:pStyle w:val="SingleTxtG"/>
        <w:ind w:left="2268" w:hanging="1134"/>
      </w:pPr>
      <w:r>
        <w:t>ONU </w:t>
      </w:r>
      <w:r w:rsidR="005E3367" w:rsidRPr="007C24E8">
        <w:t>3536</w:t>
      </w:r>
      <w:r w:rsidR="005E3367" w:rsidRPr="007C24E8">
        <w:tab/>
      </w:r>
      <w:r w:rsidR="005E3367" w:rsidRPr="007C24E8">
        <w:tab/>
        <w:t xml:space="preserve">Dans la colonne (15), dans la partie supérieure de la cellule, remplacer </w:t>
      </w:r>
      <w:r w:rsidR="00110257" w:rsidRPr="007C24E8">
        <w:t>« - »</w:t>
      </w:r>
      <w:r w:rsidR="005E3367" w:rsidRPr="007C24E8">
        <w:t xml:space="preserve"> par </w:t>
      </w:r>
      <w:r w:rsidR="00110257" w:rsidRPr="007C24E8">
        <w:t>« </w:t>
      </w:r>
      <w:r w:rsidR="005E3367" w:rsidRPr="007C24E8">
        <w:t>2</w:t>
      </w:r>
      <w:r w:rsidR="00110257" w:rsidRPr="007C24E8">
        <w:t> »</w:t>
      </w:r>
      <w:r w:rsidR="005E3367" w:rsidRPr="007C24E8">
        <w:t>.</w:t>
      </w:r>
    </w:p>
    <w:p w14:paraId="7D366ED9"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ECE/TRANS/WP.15/AC.1/2020/66, </w:t>
      </w:r>
      <w:r w:rsidR="009B1F20" w:rsidRPr="007C24E8">
        <w:rPr>
          <w:i/>
          <w:iCs/>
        </w:rPr>
        <w:t xml:space="preserve">proposition </w:t>
      </w:r>
      <w:r w:rsidRPr="007C24E8">
        <w:rPr>
          <w:i/>
          <w:iCs/>
        </w:rPr>
        <w:t>2)</w:t>
      </w:r>
    </w:p>
    <w:p w14:paraId="2C478779" w14:textId="77777777" w:rsidR="005E3367" w:rsidRPr="007C24E8" w:rsidRDefault="005E3367" w:rsidP="00110257">
      <w:pPr>
        <w:pStyle w:val="H23G"/>
      </w:pPr>
      <w:r w:rsidRPr="007C24E8">
        <w:tab/>
      </w:r>
      <w:r w:rsidRPr="007C24E8">
        <w:tab/>
        <w:t>Chapitre 3.2, tableau B</w:t>
      </w:r>
    </w:p>
    <w:p w14:paraId="4F25048C" w14:textId="77777777" w:rsidR="005E3367" w:rsidRPr="007C24E8" w:rsidRDefault="005E3367" w:rsidP="005E3367">
      <w:pPr>
        <w:pStyle w:val="SingleTxtG"/>
      </w:pPr>
      <w:r w:rsidRPr="007C24E8">
        <w:t xml:space="preserve">Pour </w:t>
      </w:r>
      <w:r w:rsidR="00110257" w:rsidRPr="007C24E8">
        <w:t>« </w:t>
      </w:r>
      <w:r w:rsidRPr="007C24E8">
        <w:t>CHUTES DE CAOUTCHOUC, sous forme de poudre ou de grains</w:t>
      </w:r>
      <w:r w:rsidR="00110257" w:rsidRPr="007C24E8">
        <w:t> »</w:t>
      </w:r>
      <w:r w:rsidRPr="007C24E8">
        <w:t xml:space="preserve">, ajouter dans la colonne (1) </w:t>
      </w:r>
      <w:r w:rsidR="00110257" w:rsidRPr="007C24E8">
        <w:t>« </w:t>
      </w:r>
      <w:r w:rsidRPr="007C24E8">
        <w:t>, ne dépasse pas 840 microns et avec une teneur en caoutchouc supérieure à 45 %.</w:t>
      </w:r>
      <w:r w:rsidR="00110257" w:rsidRPr="007C24E8">
        <w:t> ».</w:t>
      </w:r>
    </w:p>
    <w:p w14:paraId="5A2C55A9"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ECE/TRANS/WP.15/AC.1/2020/37, </w:t>
      </w:r>
      <w:r w:rsidR="009B1F20" w:rsidRPr="007C24E8">
        <w:rPr>
          <w:i/>
          <w:iCs/>
        </w:rPr>
        <w:t xml:space="preserve">proposition </w:t>
      </w:r>
      <w:r w:rsidRPr="007C24E8">
        <w:rPr>
          <w:i/>
          <w:iCs/>
        </w:rPr>
        <w:t>1)</w:t>
      </w:r>
    </w:p>
    <w:p w14:paraId="71DF1653" w14:textId="77777777" w:rsidR="005E3367" w:rsidRPr="007C24E8" w:rsidRDefault="005E3367" w:rsidP="00110257">
      <w:pPr>
        <w:keepNext/>
        <w:spacing w:before="120" w:after="120"/>
        <w:ind w:left="1134"/>
      </w:pPr>
      <w:r w:rsidRPr="007C24E8">
        <w:t>(RID</w:t>
      </w:r>
      <w:r w:rsidR="004E3C2D" w:rsidRPr="007C24E8">
        <w:t> :</w:t>
      </w:r>
      <w:r w:rsidRPr="007C24E8">
        <w:t>)</w:t>
      </w:r>
    </w:p>
    <w:p w14:paraId="16685781" w14:textId="77777777" w:rsidR="005E3367" w:rsidRPr="007C24E8" w:rsidRDefault="005E3367" w:rsidP="00110257">
      <w:pPr>
        <w:pStyle w:val="SingleTxtG"/>
        <w:keepNext/>
      </w:pPr>
      <w:r w:rsidRPr="007C24E8">
        <w:t>Ajouter la nouvelle rubrique suivante dans l’ordre alphabétique</w:t>
      </w:r>
      <w:r w:rsidR="004E3C2D" w:rsidRPr="007C24E8">
        <w:t> :</w:t>
      </w:r>
    </w:p>
    <w:p w14:paraId="3BF1B253" w14:textId="77777777" w:rsidR="005E3367" w:rsidRPr="007C24E8" w:rsidRDefault="00110257" w:rsidP="00110257">
      <w:pPr>
        <w:keepNext/>
        <w:spacing w:before="120" w:after="120"/>
        <w:ind w:left="1134"/>
      </w:pPr>
      <w:r w:rsidRPr="007C24E8">
        <w:t>« </w:t>
      </w:r>
    </w:p>
    <w:tbl>
      <w:tblPr>
        <w:tblStyle w:val="TableGrid"/>
        <w:tblW w:w="8505" w:type="dxa"/>
        <w:tblInd w:w="1134" w:type="dxa"/>
        <w:tblLook w:val="04A0" w:firstRow="1" w:lastRow="0" w:firstColumn="1" w:lastColumn="0" w:noHBand="0" w:noVBand="1"/>
      </w:tblPr>
      <w:tblGrid>
        <w:gridCol w:w="4692"/>
        <w:gridCol w:w="1028"/>
        <w:gridCol w:w="1322"/>
        <w:gridCol w:w="1463"/>
      </w:tblGrid>
      <w:tr w:rsidR="005E3367" w:rsidRPr="007C24E8" w14:paraId="338BCAA2" w14:textId="77777777" w:rsidTr="00110257">
        <w:tc>
          <w:tcPr>
            <w:tcW w:w="4531" w:type="dxa"/>
          </w:tcPr>
          <w:p w14:paraId="4252F86A" w14:textId="77777777" w:rsidR="005E3367" w:rsidRPr="007C24E8" w:rsidRDefault="005E3367" w:rsidP="00110257">
            <w:pPr>
              <w:keepNext/>
              <w:tabs>
                <w:tab w:val="left" w:pos="1418"/>
                <w:tab w:val="left" w:pos="1843"/>
              </w:tabs>
              <w:spacing w:before="60" w:after="60" w:line="220" w:lineRule="atLeast"/>
              <w:ind w:left="57" w:right="57"/>
            </w:pPr>
            <w:r w:rsidRPr="007C24E8">
              <w:t>Dénomination/description des marchandises</w:t>
            </w:r>
          </w:p>
        </w:tc>
        <w:tc>
          <w:tcPr>
            <w:tcW w:w="992" w:type="dxa"/>
          </w:tcPr>
          <w:p w14:paraId="0410C152" w14:textId="77777777" w:rsidR="005E3367" w:rsidRPr="007C24E8" w:rsidRDefault="00110257" w:rsidP="00110257">
            <w:pPr>
              <w:keepNext/>
              <w:tabs>
                <w:tab w:val="left" w:pos="1418"/>
                <w:tab w:val="left" w:pos="1843"/>
              </w:tabs>
              <w:spacing w:before="60" w:after="60" w:line="220" w:lineRule="atLeast"/>
              <w:ind w:left="57" w:right="57"/>
            </w:pPr>
            <w:r w:rsidRPr="007C24E8">
              <w:rPr>
                <w:rFonts w:eastAsia="MS Mincho"/>
              </w:rPr>
              <w:t>N</w:t>
            </w:r>
            <w:r w:rsidRPr="007C24E8">
              <w:rPr>
                <w:rFonts w:eastAsia="MS Mincho"/>
                <w:vertAlign w:val="superscript"/>
              </w:rPr>
              <w:t>o</w:t>
            </w:r>
            <w:r w:rsidR="005E3367" w:rsidRPr="007C24E8">
              <w:t xml:space="preserve"> ONU</w:t>
            </w:r>
          </w:p>
        </w:tc>
        <w:tc>
          <w:tcPr>
            <w:tcW w:w="1276" w:type="dxa"/>
          </w:tcPr>
          <w:p w14:paraId="11D50CDB" w14:textId="77777777" w:rsidR="005E3367" w:rsidRPr="007C24E8" w:rsidRDefault="005E3367" w:rsidP="00110257">
            <w:pPr>
              <w:keepNext/>
              <w:tabs>
                <w:tab w:val="left" w:pos="1418"/>
                <w:tab w:val="left" w:pos="1843"/>
              </w:tabs>
              <w:spacing w:before="60" w:after="60" w:line="220" w:lineRule="atLeast"/>
              <w:ind w:left="57" w:right="57"/>
            </w:pPr>
            <w:r w:rsidRPr="007C24E8">
              <w:t>Note</w:t>
            </w:r>
          </w:p>
        </w:tc>
        <w:tc>
          <w:tcPr>
            <w:tcW w:w="1412" w:type="dxa"/>
          </w:tcPr>
          <w:p w14:paraId="355AEB86" w14:textId="77777777" w:rsidR="005E3367" w:rsidRPr="007C24E8" w:rsidRDefault="005E3367" w:rsidP="00110257">
            <w:pPr>
              <w:keepNext/>
              <w:tabs>
                <w:tab w:val="left" w:pos="1418"/>
                <w:tab w:val="left" w:pos="1843"/>
              </w:tabs>
              <w:spacing w:before="60" w:after="60" w:line="220" w:lineRule="atLeast"/>
              <w:ind w:left="57" w:right="57"/>
            </w:pPr>
            <w:r w:rsidRPr="007C24E8">
              <w:t>(RID seulement</w:t>
            </w:r>
            <w:r w:rsidR="004E3C2D" w:rsidRPr="007C24E8">
              <w:t> :</w:t>
            </w:r>
            <w:r w:rsidRPr="007C24E8">
              <w:t>)</w:t>
            </w:r>
          </w:p>
          <w:p w14:paraId="7C0A55D5" w14:textId="77777777" w:rsidR="005E3367" w:rsidRPr="007C24E8" w:rsidRDefault="005E3367" w:rsidP="00110257">
            <w:pPr>
              <w:keepNext/>
              <w:tabs>
                <w:tab w:val="left" w:pos="1418"/>
                <w:tab w:val="left" w:pos="1843"/>
              </w:tabs>
              <w:spacing w:before="60" w:after="60" w:line="220" w:lineRule="atLeast"/>
              <w:ind w:left="57" w:right="57"/>
            </w:pPr>
            <w:r w:rsidRPr="007C24E8">
              <w:t>Code NHM</w:t>
            </w:r>
          </w:p>
        </w:tc>
      </w:tr>
      <w:tr w:rsidR="005E3367" w:rsidRPr="007C24E8" w14:paraId="4E89D2BF" w14:textId="77777777" w:rsidTr="00110257">
        <w:tc>
          <w:tcPr>
            <w:tcW w:w="4531" w:type="dxa"/>
          </w:tcPr>
          <w:p w14:paraId="14E9853E" w14:textId="77777777" w:rsidR="005E3367" w:rsidRPr="007C24E8" w:rsidRDefault="005E3367" w:rsidP="00110257">
            <w:pPr>
              <w:tabs>
                <w:tab w:val="left" w:pos="1418"/>
                <w:tab w:val="left" w:pos="1843"/>
              </w:tabs>
              <w:spacing w:before="60" w:after="60" w:line="220" w:lineRule="atLeast"/>
              <w:ind w:left="57" w:right="57"/>
            </w:pPr>
            <w:r w:rsidRPr="007C24E8">
              <w:t>PEROXYDE D’HYDROGÈNE STABILISÉ</w:t>
            </w:r>
          </w:p>
        </w:tc>
        <w:tc>
          <w:tcPr>
            <w:tcW w:w="992" w:type="dxa"/>
          </w:tcPr>
          <w:p w14:paraId="5DA94D93" w14:textId="77777777" w:rsidR="005E3367" w:rsidRPr="007C24E8" w:rsidRDefault="005E3367" w:rsidP="00110257">
            <w:pPr>
              <w:tabs>
                <w:tab w:val="left" w:pos="1418"/>
                <w:tab w:val="left" w:pos="1843"/>
              </w:tabs>
              <w:spacing w:before="60" w:after="60" w:line="220" w:lineRule="atLeast"/>
              <w:ind w:left="57" w:right="57"/>
            </w:pPr>
            <w:r w:rsidRPr="007C24E8">
              <w:t>2015</w:t>
            </w:r>
          </w:p>
        </w:tc>
        <w:tc>
          <w:tcPr>
            <w:tcW w:w="1276" w:type="dxa"/>
          </w:tcPr>
          <w:p w14:paraId="4311E721" w14:textId="77777777" w:rsidR="005E3367" w:rsidRPr="007C24E8" w:rsidRDefault="005E3367" w:rsidP="00110257">
            <w:pPr>
              <w:tabs>
                <w:tab w:val="left" w:pos="1418"/>
                <w:tab w:val="left" w:pos="1843"/>
              </w:tabs>
              <w:spacing w:before="60" w:after="60" w:line="220" w:lineRule="atLeast"/>
              <w:ind w:left="57" w:right="57"/>
            </w:pPr>
          </w:p>
        </w:tc>
        <w:tc>
          <w:tcPr>
            <w:tcW w:w="1412" w:type="dxa"/>
          </w:tcPr>
          <w:p w14:paraId="20DCB7F4" w14:textId="77777777" w:rsidR="005E3367" w:rsidRPr="007C24E8" w:rsidRDefault="005E3367" w:rsidP="00110257">
            <w:pPr>
              <w:tabs>
                <w:tab w:val="left" w:pos="1418"/>
                <w:tab w:val="left" w:pos="1843"/>
              </w:tabs>
              <w:spacing w:before="60" w:after="60" w:line="220" w:lineRule="atLeast"/>
              <w:ind w:left="57" w:right="57"/>
            </w:pPr>
            <w:r w:rsidRPr="007C24E8">
              <w:t>284700</w:t>
            </w:r>
          </w:p>
        </w:tc>
      </w:tr>
    </w:tbl>
    <w:p w14:paraId="1866D1B1" w14:textId="77777777" w:rsidR="005E3367" w:rsidRPr="007C24E8" w:rsidRDefault="00110257" w:rsidP="005E3367">
      <w:pPr>
        <w:spacing w:before="120" w:after="120"/>
        <w:ind w:left="1134"/>
        <w:jc w:val="right"/>
      </w:pPr>
      <w:r w:rsidRPr="007C24E8">
        <w:t>».</w:t>
      </w:r>
    </w:p>
    <w:p w14:paraId="3B8720C8"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ECE/TRANS/WP.15/AC.1/2020/39)</w:t>
      </w:r>
    </w:p>
    <w:p w14:paraId="4A017C50" w14:textId="77777777" w:rsidR="005E3367" w:rsidRPr="007C24E8" w:rsidRDefault="005E3367" w:rsidP="00110257">
      <w:pPr>
        <w:keepNext/>
        <w:keepLines/>
        <w:spacing w:before="120" w:after="120"/>
        <w:ind w:left="1134"/>
      </w:pPr>
      <w:r w:rsidRPr="007C24E8">
        <w:t>(ADR</w:t>
      </w:r>
      <w:r w:rsidR="004E3C2D" w:rsidRPr="007C24E8">
        <w:t> :</w:t>
      </w:r>
      <w:r w:rsidRPr="007C24E8">
        <w:t>)</w:t>
      </w:r>
    </w:p>
    <w:p w14:paraId="360AD2DE" w14:textId="77777777" w:rsidR="005E3367" w:rsidRPr="007C24E8" w:rsidRDefault="005E3367" w:rsidP="00110257">
      <w:pPr>
        <w:pStyle w:val="SingleTxtG"/>
        <w:keepNext/>
        <w:keepLines/>
      </w:pPr>
      <w:bookmarkStart w:id="19" w:name="_Hlk55900059"/>
      <w:r w:rsidRPr="007C24E8">
        <w:t>Ajouter la nouvelle rubrique suivante dans l’ordre alphabétique</w:t>
      </w:r>
      <w:r w:rsidR="004E3C2D" w:rsidRPr="007C24E8">
        <w:t> :</w:t>
      </w:r>
    </w:p>
    <w:bookmarkEnd w:id="19"/>
    <w:p w14:paraId="58486544" w14:textId="77777777" w:rsidR="005E3367" w:rsidRPr="007C24E8" w:rsidRDefault="00110257" w:rsidP="00110257">
      <w:pPr>
        <w:keepNext/>
        <w:spacing w:before="120" w:after="120"/>
        <w:ind w:left="1134"/>
      </w:pPr>
      <w:r w:rsidRPr="007C24E8">
        <w:t>« </w:t>
      </w:r>
    </w:p>
    <w:tbl>
      <w:tblPr>
        <w:tblStyle w:val="TableGrid"/>
        <w:tblW w:w="8505" w:type="dxa"/>
        <w:tblInd w:w="1134" w:type="dxa"/>
        <w:tblLook w:val="04A0" w:firstRow="1" w:lastRow="0" w:firstColumn="1" w:lastColumn="0" w:noHBand="0" w:noVBand="1"/>
      </w:tblPr>
      <w:tblGrid>
        <w:gridCol w:w="4692"/>
        <w:gridCol w:w="1028"/>
        <w:gridCol w:w="1322"/>
        <w:gridCol w:w="1463"/>
      </w:tblGrid>
      <w:tr w:rsidR="005E3367" w:rsidRPr="007C24E8" w14:paraId="3A78F367" w14:textId="77777777" w:rsidTr="00110257">
        <w:tc>
          <w:tcPr>
            <w:tcW w:w="4531" w:type="dxa"/>
          </w:tcPr>
          <w:p w14:paraId="6C61BAA4" w14:textId="77777777" w:rsidR="005E3367" w:rsidRPr="007C24E8" w:rsidRDefault="005E3367" w:rsidP="00110257">
            <w:pPr>
              <w:tabs>
                <w:tab w:val="left" w:pos="1418"/>
                <w:tab w:val="left" w:pos="1843"/>
              </w:tabs>
              <w:spacing w:before="60" w:after="60" w:line="220" w:lineRule="atLeast"/>
              <w:ind w:left="57" w:right="57"/>
            </w:pPr>
            <w:r w:rsidRPr="007C24E8">
              <w:t>Dénomination/description des marchandises</w:t>
            </w:r>
          </w:p>
        </w:tc>
        <w:tc>
          <w:tcPr>
            <w:tcW w:w="992" w:type="dxa"/>
          </w:tcPr>
          <w:p w14:paraId="7C4216B7" w14:textId="77777777" w:rsidR="005E3367" w:rsidRPr="007C24E8" w:rsidRDefault="005E3367" w:rsidP="00110257">
            <w:pPr>
              <w:tabs>
                <w:tab w:val="left" w:pos="1418"/>
                <w:tab w:val="left" w:pos="1843"/>
              </w:tabs>
              <w:spacing w:before="60" w:after="60" w:line="220" w:lineRule="atLeast"/>
              <w:ind w:left="57" w:right="57"/>
            </w:pPr>
            <w:r w:rsidRPr="007C24E8">
              <w:t>N° ONU</w:t>
            </w:r>
          </w:p>
        </w:tc>
        <w:tc>
          <w:tcPr>
            <w:tcW w:w="1276" w:type="dxa"/>
          </w:tcPr>
          <w:p w14:paraId="0E6E757A" w14:textId="77777777" w:rsidR="005E3367" w:rsidRPr="007C24E8" w:rsidRDefault="005E3367" w:rsidP="00110257">
            <w:pPr>
              <w:tabs>
                <w:tab w:val="left" w:pos="1418"/>
                <w:tab w:val="left" w:pos="1843"/>
              </w:tabs>
              <w:spacing w:before="60" w:after="60" w:line="220" w:lineRule="atLeast"/>
              <w:ind w:left="57" w:right="57"/>
            </w:pPr>
            <w:r w:rsidRPr="007C24E8">
              <w:t>Classe</w:t>
            </w:r>
          </w:p>
        </w:tc>
        <w:tc>
          <w:tcPr>
            <w:tcW w:w="1412" w:type="dxa"/>
          </w:tcPr>
          <w:p w14:paraId="3E9D7AB3" w14:textId="77777777" w:rsidR="005E3367" w:rsidRPr="007C24E8" w:rsidRDefault="005E3367" w:rsidP="00110257">
            <w:pPr>
              <w:tabs>
                <w:tab w:val="left" w:pos="1418"/>
                <w:tab w:val="left" w:pos="1843"/>
              </w:tabs>
              <w:spacing w:before="60" w:after="60" w:line="220" w:lineRule="atLeast"/>
              <w:ind w:left="57" w:right="57"/>
            </w:pPr>
            <w:r w:rsidRPr="007C24E8">
              <w:t>Remarques</w:t>
            </w:r>
          </w:p>
        </w:tc>
      </w:tr>
      <w:tr w:rsidR="005E3367" w:rsidRPr="007C24E8" w14:paraId="2E50F3D9" w14:textId="77777777" w:rsidTr="00110257">
        <w:tc>
          <w:tcPr>
            <w:tcW w:w="4531" w:type="dxa"/>
          </w:tcPr>
          <w:p w14:paraId="4D1E901B" w14:textId="77777777" w:rsidR="005E3367" w:rsidRPr="007C24E8" w:rsidRDefault="005E3367" w:rsidP="00110257">
            <w:pPr>
              <w:tabs>
                <w:tab w:val="left" w:pos="1418"/>
                <w:tab w:val="left" w:pos="1843"/>
              </w:tabs>
              <w:spacing w:before="60" w:after="60" w:line="220" w:lineRule="atLeast"/>
              <w:ind w:left="57" w:right="57"/>
            </w:pPr>
            <w:r w:rsidRPr="007C24E8">
              <w:t>PEROXYDE D’HYDROGÈNE STABILISÉ</w:t>
            </w:r>
          </w:p>
        </w:tc>
        <w:tc>
          <w:tcPr>
            <w:tcW w:w="992" w:type="dxa"/>
          </w:tcPr>
          <w:p w14:paraId="288B45E9" w14:textId="77777777" w:rsidR="005E3367" w:rsidRPr="007C24E8" w:rsidRDefault="005E3367" w:rsidP="00110257">
            <w:pPr>
              <w:tabs>
                <w:tab w:val="left" w:pos="1418"/>
                <w:tab w:val="left" w:pos="1843"/>
              </w:tabs>
              <w:spacing w:before="60" w:after="60" w:line="220" w:lineRule="atLeast"/>
              <w:ind w:left="57" w:right="57"/>
            </w:pPr>
            <w:r w:rsidRPr="007C24E8">
              <w:t>2015</w:t>
            </w:r>
          </w:p>
        </w:tc>
        <w:tc>
          <w:tcPr>
            <w:tcW w:w="1276" w:type="dxa"/>
          </w:tcPr>
          <w:p w14:paraId="0205B6EB" w14:textId="77777777" w:rsidR="005E3367" w:rsidRPr="007C24E8" w:rsidRDefault="005E3367" w:rsidP="00110257">
            <w:pPr>
              <w:tabs>
                <w:tab w:val="left" w:pos="1418"/>
                <w:tab w:val="left" w:pos="1843"/>
              </w:tabs>
              <w:spacing w:before="60" w:after="60" w:line="220" w:lineRule="atLeast"/>
              <w:ind w:left="57" w:right="57"/>
            </w:pPr>
            <w:r w:rsidRPr="007C24E8">
              <w:t>5.1</w:t>
            </w:r>
          </w:p>
        </w:tc>
        <w:tc>
          <w:tcPr>
            <w:tcW w:w="1412" w:type="dxa"/>
          </w:tcPr>
          <w:p w14:paraId="3046FC7C" w14:textId="77777777" w:rsidR="005E3367" w:rsidRPr="007C24E8" w:rsidRDefault="005E3367" w:rsidP="00110257">
            <w:pPr>
              <w:tabs>
                <w:tab w:val="left" w:pos="1418"/>
                <w:tab w:val="left" w:pos="1843"/>
              </w:tabs>
              <w:spacing w:before="60" w:after="60" w:line="220" w:lineRule="atLeast"/>
              <w:ind w:left="57" w:right="57"/>
            </w:pPr>
          </w:p>
        </w:tc>
      </w:tr>
    </w:tbl>
    <w:p w14:paraId="72A78B4B" w14:textId="77777777" w:rsidR="005E3367" w:rsidRPr="007C24E8" w:rsidRDefault="00110257" w:rsidP="005E3367">
      <w:pPr>
        <w:spacing w:before="120" w:after="120"/>
        <w:ind w:left="1134"/>
        <w:jc w:val="right"/>
      </w:pPr>
      <w:r w:rsidRPr="007C24E8">
        <w:t>».</w:t>
      </w:r>
    </w:p>
    <w:p w14:paraId="2097B6AE"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ECE/TRANS/WP.15/AC.1/2020/39)</w:t>
      </w:r>
    </w:p>
    <w:p w14:paraId="7748038E" w14:textId="77777777" w:rsidR="005E3367" w:rsidRPr="007C24E8" w:rsidRDefault="005E3367" w:rsidP="00110257">
      <w:pPr>
        <w:pStyle w:val="H23G"/>
      </w:pPr>
      <w:r w:rsidRPr="007C24E8">
        <w:tab/>
      </w:r>
      <w:r w:rsidRPr="007C24E8">
        <w:tab/>
        <w:t>Chapitre 3.3</w:t>
      </w:r>
    </w:p>
    <w:p w14:paraId="20BD5054" w14:textId="77777777" w:rsidR="005E3367" w:rsidRPr="007C24E8" w:rsidRDefault="005E3367" w:rsidP="00110257">
      <w:pPr>
        <w:pStyle w:val="SingleTxtG"/>
        <w:keepNext/>
      </w:pPr>
      <w:r w:rsidRPr="007C24E8">
        <w:t>(ADR</w:t>
      </w:r>
      <w:r w:rsidR="004E3C2D" w:rsidRPr="007C24E8">
        <w:t> :</w:t>
      </w:r>
      <w:r w:rsidRPr="007C24E8">
        <w:t>)</w:t>
      </w:r>
    </w:p>
    <w:p w14:paraId="19BF762B" w14:textId="77777777" w:rsidR="005E3367" w:rsidRPr="007C24E8" w:rsidRDefault="005E3367" w:rsidP="005E3367">
      <w:pPr>
        <w:pStyle w:val="SingleTxtG"/>
        <w:rPr>
          <w:spacing w:val="-2"/>
        </w:rPr>
      </w:pPr>
      <w:r w:rsidRPr="007C24E8">
        <w:rPr>
          <w:spacing w:val="-2"/>
        </w:rPr>
        <w:t>DS 389</w:t>
      </w:r>
      <w:r w:rsidRPr="007C24E8">
        <w:rPr>
          <w:spacing w:val="-2"/>
        </w:rPr>
        <w:tab/>
        <w:t xml:space="preserve">Au début de la dernière phrase, ajouter </w:t>
      </w:r>
      <w:r w:rsidR="00110257" w:rsidRPr="007C24E8">
        <w:rPr>
          <w:spacing w:val="-2"/>
        </w:rPr>
        <w:t>« </w:t>
      </w:r>
      <w:r w:rsidRPr="007C24E8">
        <w:rPr>
          <w:spacing w:val="-2"/>
        </w:rPr>
        <w:t>Sauf dans les cas prévus au 1.1.3.6,</w:t>
      </w:r>
      <w:r w:rsidR="00110257" w:rsidRPr="007C24E8">
        <w:rPr>
          <w:spacing w:val="-2"/>
        </w:rPr>
        <w:t> »</w:t>
      </w:r>
      <w:r w:rsidRPr="007C24E8">
        <w:rPr>
          <w:spacing w:val="-2"/>
        </w:rPr>
        <w:t>.</w:t>
      </w:r>
    </w:p>
    <w:p w14:paraId="61250651"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ECE/TRANS/WP.15/AC.1/2020/66, </w:t>
      </w:r>
      <w:r w:rsidR="009B1F20" w:rsidRPr="007C24E8">
        <w:rPr>
          <w:i/>
          <w:iCs/>
        </w:rPr>
        <w:t xml:space="preserve">proposition </w:t>
      </w:r>
      <w:r w:rsidRPr="007C24E8">
        <w:rPr>
          <w:i/>
          <w:iCs/>
        </w:rPr>
        <w:t>3)</w:t>
      </w:r>
    </w:p>
    <w:p w14:paraId="64704231" w14:textId="77777777" w:rsidR="005E3367" w:rsidRPr="007C24E8" w:rsidRDefault="005E3367" w:rsidP="005E3367">
      <w:pPr>
        <w:pStyle w:val="SingleTxtG"/>
      </w:pPr>
      <w:r w:rsidRPr="007C24E8">
        <w:t>DS 591</w:t>
      </w:r>
      <w:r w:rsidRPr="007C24E8">
        <w:tab/>
        <w:t xml:space="preserve">Après </w:t>
      </w:r>
      <w:r w:rsidR="00110257" w:rsidRPr="007C24E8">
        <w:t>« </w:t>
      </w:r>
      <w:r w:rsidRPr="007C24E8">
        <w:t>aux prescriptions</w:t>
      </w:r>
      <w:r w:rsidR="00110257" w:rsidRPr="007C24E8">
        <w:t> »</w:t>
      </w:r>
      <w:r w:rsidRPr="007C24E8">
        <w:t xml:space="preserve">, insert </w:t>
      </w:r>
      <w:r w:rsidR="00110257" w:rsidRPr="007C24E8">
        <w:t>« </w:t>
      </w:r>
      <w:r w:rsidRPr="007C24E8">
        <w:t>de la classe 8</w:t>
      </w:r>
      <w:r w:rsidR="00110257" w:rsidRPr="007C24E8">
        <w:t> »</w:t>
      </w:r>
      <w:r w:rsidRPr="007C24E8">
        <w:t>.</w:t>
      </w:r>
    </w:p>
    <w:p w14:paraId="41A839CD"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w:t>
      </w:r>
      <w:r w:rsidR="00D945A2">
        <w:rPr>
          <w:i/>
          <w:iCs/>
        </w:rPr>
        <w:t>T</w:t>
      </w:r>
      <w:r w:rsidRPr="007C24E8">
        <w:rPr>
          <w:i/>
          <w:iCs/>
        </w:rPr>
        <w:t>RANS/WP.15/AC.1/2020/5)</w:t>
      </w:r>
    </w:p>
    <w:p w14:paraId="6DBE4BCE" w14:textId="77777777" w:rsidR="005E3367" w:rsidRPr="007C24E8" w:rsidRDefault="005E3367" w:rsidP="00110257">
      <w:pPr>
        <w:keepNext/>
        <w:spacing w:before="120" w:after="120"/>
        <w:ind w:left="2836" w:hanging="1702"/>
      </w:pPr>
      <w:r w:rsidRPr="007C24E8">
        <w:t>(RID/ADR</w:t>
      </w:r>
      <w:r w:rsidR="004E3C2D" w:rsidRPr="007C24E8">
        <w:t> :</w:t>
      </w:r>
      <w:r w:rsidRPr="007C24E8">
        <w:t>)</w:t>
      </w:r>
    </w:p>
    <w:p w14:paraId="386F11FA" w14:textId="77777777" w:rsidR="005E3367" w:rsidRPr="007C24E8" w:rsidRDefault="005E3367" w:rsidP="005E3367">
      <w:pPr>
        <w:pStyle w:val="SingleTxtG"/>
      </w:pPr>
      <w:r w:rsidRPr="007C24E8">
        <w:t>DS 642</w:t>
      </w:r>
      <w:r w:rsidRPr="007C24E8">
        <w:tab/>
        <w:t>Ajouter la phrase suivante à la fin</w:t>
      </w:r>
      <w:r w:rsidR="004E3C2D" w:rsidRPr="007C24E8">
        <w:t> :</w:t>
      </w:r>
    </w:p>
    <w:p w14:paraId="18116C47" w14:textId="77777777" w:rsidR="005E3367" w:rsidRPr="007C24E8" w:rsidRDefault="00110257" w:rsidP="005E3367">
      <w:pPr>
        <w:pStyle w:val="SingleTxtG"/>
      </w:pPr>
      <w:r w:rsidRPr="007C24E8">
        <w:t>« </w:t>
      </w:r>
      <w:r w:rsidR="005E3367" w:rsidRPr="007C24E8">
        <w:t xml:space="preserve">Dans les autres cas, pour le transport de l’ammoniac en solution, voir les numéros </w:t>
      </w:r>
      <w:r w:rsidR="007C24E8">
        <w:t>ONU </w:t>
      </w:r>
      <w:r w:rsidR="005E3367" w:rsidRPr="007C24E8">
        <w:t>2073, 2672 et 3318.</w:t>
      </w:r>
      <w:r w:rsidRPr="007C24E8">
        <w:t> ».</w:t>
      </w:r>
    </w:p>
    <w:p w14:paraId="6F73AC11" w14:textId="77777777" w:rsidR="005E3367" w:rsidRPr="007C24E8" w:rsidRDefault="005E3367" w:rsidP="005E3367">
      <w:pPr>
        <w:spacing w:before="120" w:after="120"/>
        <w:ind w:left="1134"/>
        <w:rPr>
          <w:i/>
          <w:iCs/>
        </w:rPr>
      </w:pPr>
      <w:r w:rsidRPr="007C24E8">
        <w:rPr>
          <w:i/>
          <w:iCs/>
        </w:rPr>
        <w:t>(Document de référence</w:t>
      </w:r>
      <w:r w:rsidR="004E3C2D" w:rsidRPr="007C24E8">
        <w:rPr>
          <w:iCs/>
        </w:rPr>
        <w:t> :</w:t>
      </w:r>
      <w:r w:rsidRPr="007C24E8">
        <w:rPr>
          <w:i/>
          <w:iCs/>
        </w:rPr>
        <w:t xml:space="preserve"> ECE/TRANS/WP.15/AC.1/2020/36)</w:t>
      </w:r>
    </w:p>
    <w:p w14:paraId="439D04EE" w14:textId="77777777" w:rsidR="005E3367" w:rsidRPr="007C24E8" w:rsidRDefault="005E3367" w:rsidP="005E3367">
      <w:pPr>
        <w:pStyle w:val="SingleTxtG"/>
      </w:pPr>
      <w:r w:rsidRPr="007C24E8">
        <w:t>DS 663</w:t>
      </w:r>
      <w:r w:rsidRPr="007C24E8">
        <w:tab/>
        <w:t xml:space="preserve">Modifier le premier </w:t>
      </w:r>
      <w:r w:rsidR="009B1F20" w:rsidRPr="007C24E8">
        <w:t xml:space="preserve">paragraphe </w:t>
      </w:r>
      <w:r w:rsidRPr="007C24E8">
        <w:t xml:space="preserve">sous </w:t>
      </w:r>
      <w:r w:rsidR="00110257" w:rsidRPr="007C24E8">
        <w:t>« </w:t>
      </w:r>
      <w:r w:rsidRPr="007C24E8">
        <w:rPr>
          <w:b/>
          <w:bCs/>
        </w:rPr>
        <w:t xml:space="preserve">Dispositions </w:t>
      </w:r>
      <w:r w:rsidRPr="00D945A2">
        <w:rPr>
          <w:b/>
          <w:bCs/>
        </w:rPr>
        <w:t>générales</w:t>
      </w:r>
      <w:r w:rsidR="004E3C2D" w:rsidRPr="00D945A2">
        <w:rPr>
          <w:b/>
          <w:bCs/>
        </w:rPr>
        <w:t> :</w:t>
      </w:r>
      <w:r w:rsidR="00110257" w:rsidRPr="007C24E8">
        <w:t> »</w:t>
      </w:r>
      <w:r w:rsidRPr="007C24E8">
        <w:t xml:space="preserve"> comme suit</w:t>
      </w:r>
      <w:r w:rsidR="004E3C2D" w:rsidRPr="007C24E8">
        <w:t> :</w:t>
      </w:r>
    </w:p>
    <w:p w14:paraId="79D308EE" w14:textId="77777777" w:rsidR="005E3367" w:rsidRPr="007C24E8" w:rsidRDefault="00110257" w:rsidP="005E3367">
      <w:pPr>
        <w:pStyle w:val="SingleTxtG"/>
        <w:rPr>
          <w:spacing w:val="-1"/>
        </w:rPr>
      </w:pPr>
      <w:r w:rsidRPr="007C24E8">
        <w:rPr>
          <w:spacing w:val="-1"/>
        </w:rPr>
        <w:t>« </w:t>
      </w:r>
      <w:r w:rsidR="005E3367" w:rsidRPr="007C24E8">
        <w:rPr>
          <w:spacing w:val="-1"/>
        </w:rPr>
        <w:t>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dans le même emballage extérieur que d’autres emballages mis au rebut, vides, non nettoyés, souillés de résidus qui présentent un danger d’une autre classe.</w:t>
      </w:r>
      <w:r w:rsidRPr="007C24E8">
        <w:rPr>
          <w:spacing w:val="-1"/>
        </w:rPr>
        <w:t> »</w:t>
      </w:r>
      <w:r w:rsidR="005E3367" w:rsidRPr="007C24E8">
        <w:rPr>
          <w:spacing w:val="-1"/>
        </w:rPr>
        <w:t>.</w:t>
      </w:r>
    </w:p>
    <w:p w14:paraId="300A96EF"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document ECE/TRANS/WP.15/AC.1/2020/60, tel que modifié)</w:t>
      </w:r>
    </w:p>
    <w:p w14:paraId="214D2E0F" w14:textId="77777777" w:rsidR="005E3367" w:rsidRPr="007C24E8" w:rsidDel="00D418D4" w:rsidRDefault="005E3367" w:rsidP="00110257">
      <w:pPr>
        <w:keepNext/>
        <w:spacing w:before="120" w:after="120"/>
        <w:ind w:left="2836" w:hanging="1702"/>
      </w:pPr>
      <w:r w:rsidRPr="007C24E8" w:rsidDel="00D418D4">
        <w:t>[(ADN</w:t>
      </w:r>
      <w:r w:rsidR="004E3C2D" w:rsidRPr="007C24E8">
        <w:t> :</w:t>
      </w:r>
      <w:r w:rsidRPr="007C24E8" w:rsidDel="00D418D4">
        <w:t>)</w:t>
      </w:r>
    </w:p>
    <w:p w14:paraId="28ECCA1F" w14:textId="77777777" w:rsidR="005E3367" w:rsidRPr="007C24E8" w:rsidDel="00D418D4" w:rsidRDefault="005E3367" w:rsidP="005E3367">
      <w:pPr>
        <w:pStyle w:val="SingleTxtG"/>
      </w:pPr>
      <w:r w:rsidRPr="007C24E8">
        <w:t>DS</w:t>
      </w:r>
      <w:r w:rsidRPr="007C24E8" w:rsidDel="00D418D4">
        <w:t> 642</w:t>
      </w:r>
      <w:r w:rsidRPr="007C24E8" w:rsidDel="00D418D4">
        <w:tab/>
      </w:r>
      <w:r w:rsidRPr="007C24E8">
        <w:t>Insérer la nouvelle disposition spéciale suivante</w:t>
      </w:r>
      <w:r w:rsidR="004E3C2D" w:rsidRPr="007C24E8">
        <w:t> :</w:t>
      </w:r>
    </w:p>
    <w:p w14:paraId="1F12C47B" w14:textId="77777777" w:rsidR="005E3367" w:rsidRPr="007C24E8" w:rsidDel="00D418D4" w:rsidRDefault="00110257" w:rsidP="005E3367">
      <w:pPr>
        <w:pStyle w:val="SingleTxtG"/>
      </w:pPr>
      <w:r w:rsidRPr="007C24E8">
        <w:t>« </w:t>
      </w:r>
      <w:r w:rsidR="005E3367" w:rsidRPr="007C24E8" w:rsidDel="00D418D4">
        <w:t>642</w:t>
      </w:r>
      <w:r w:rsidR="005E3367" w:rsidRPr="007C24E8" w:rsidDel="00D418D4">
        <w:tab/>
      </w:r>
      <w:r w:rsidR="005E3367" w:rsidRPr="007C24E8">
        <w:t xml:space="preserve">Sauf si c’est autorisé en vertu du </w:t>
      </w:r>
      <w:r w:rsidR="009B1F20" w:rsidRPr="007C24E8">
        <w:t xml:space="preserve">paragraphe </w:t>
      </w:r>
      <w:r w:rsidR="005E3367" w:rsidRPr="007C24E8">
        <w:t>1.1.4.2, cette rubrique du Règlement type de l’</w:t>
      </w:r>
      <w:r w:rsidR="007C24E8">
        <w:t>ONU</w:t>
      </w:r>
      <w:r w:rsidR="00D945A2">
        <w:t xml:space="preserve"> </w:t>
      </w:r>
      <w:r w:rsidR="005E3367" w:rsidRPr="007C24E8">
        <w:t xml:space="preserve">ne doit pas être utilisée pour le transport d’engrais en solution contenant de l’ammoniac non combiné. Dans les autres cas, pour le transport de l’ammoniac en solution, voir les numéros </w:t>
      </w:r>
      <w:r w:rsidR="007C24E8">
        <w:t>ONU </w:t>
      </w:r>
      <w:r w:rsidR="005E3367" w:rsidRPr="007C24E8">
        <w:t>2073, 2672 et 3318.</w:t>
      </w:r>
      <w:r w:rsidRPr="007C24E8">
        <w:t> ».</w:t>
      </w:r>
      <w:r w:rsidR="005E3367" w:rsidRPr="007C24E8" w:rsidDel="00D418D4">
        <w:t>]</w:t>
      </w:r>
    </w:p>
    <w:p w14:paraId="2E086585" w14:textId="77777777" w:rsidR="005E3367" w:rsidRPr="007C24E8" w:rsidDel="00D418D4" w:rsidRDefault="005E3367" w:rsidP="005E3367">
      <w:pPr>
        <w:spacing w:before="120" w:after="120"/>
        <w:ind w:left="1134"/>
        <w:rPr>
          <w:i/>
          <w:iCs/>
        </w:rPr>
      </w:pPr>
      <w:r w:rsidRPr="007C24E8" w:rsidDel="00D418D4">
        <w:rPr>
          <w:i/>
          <w:iCs/>
        </w:rPr>
        <w:t>(</w:t>
      </w:r>
      <w:r w:rsidRPr="007C24E8">
        <w:rPr>
          <w:i/>
          <w:iCs/>
        </w:rPr>
        <w:t>Document de référence</w:t>
      </w:r>
      <w:r w:rsidR="004E3C2D" w:rsidRPr="007C24E8">
        <w:rPr>
          <w:iCs/>
        </w:rPr>
        <w:t> :</w:t>
      </w:r>
      <w:r w:rsidRPr="007C24E8" w:rsidDel="00D418D4">
        <w:rPr>
          <w:i/>
          <w:iCs/>
        </w:rPr>
        <w:t xml:space="preserve"> ECE/TRANS/WP.15/AC.1/2020/36)</w:t>
      </w:r>
    </w:p>
    <w:p w14:paraId="132B7A0F" w14:textId="77777777" w:rsidR="005E3367" w:rsidRPr="007C24E8" w:rsidRDefault="005E3367" w:rsidP="00110257">
      <w:pPr>
        <w:pStyle w:val="H23G"/>
      </w:pPr>
      <w:r w:rsidRPr="007C24E8">
        <w:tab/>
      </w:r>
      <w:r w:rsidRPr="007C24E8">
        <w:tab/>
        <w:t>Chapitre 4.1</w:t>
      </w:r>
    </w:p>
    <w:p w14:paraId="05F643A8" w14:textId="77777777" w:rsidR="005E3367" w:rsidRPr="007C24E8" w:rsidRDefault="005E3367" w:rsidP="00D945A2">
      <w:pPr>
        <w:pStyle w:val="SingleTxtG"/>
        <w:spacing w:after="240"/>
        <w:ind w:left="2835" w:hanging="1701"/>
      </w:pPr>
      <w:r w:rsidRPr="007C24E8">
        <w:t>4.1.4.1, P200 (13)</w:t>
      </w:r>
      <w:r w:rsidRPr="007C24E8">
        <w:tab/>
        <w:t xml:space="preserve">Sous 2.4, remplacer </w:t>
      </w:r>
      <w:r w:rsidR="00110257" w:rsidRPr="007C24E8">
        <w:t>« </w:t>
      </w:r>
      <w:r w:rsidRPr="007C24E8">
        <w:t>EN ISO 11114-1</w:t>
      </w:r>
      <w:r w:rsidR="004E3C2D" w:rsidRPr="007C24E8">
        <w:t>:</w:t>
      </w:r>
      <w:r w:rsidRPr="007C24E8">
        <w:t>2012</w:t>
      </w:r>
      <w:r w:rsidR="00110257" w:rsidRPr="007C24E8">
        <w:t> »</w:t>
      </w:r>
      <w:r w:rsidRPr="007C24E8">
        <w:t xml:space="preserve"> par </w:t>
      </w:r>
      <w:r w:rsidR="00110257" w:rsidRPr="007C24E8">
        <w:t>« </w:t>
      </w:r>
      <w:r w:rsidRPr="007C24E8">
        <w:t>EN ISO 11114</w:t>
      </w:r>
      <w:r w:rsidR="00110257" w:rsidRPr="007C24E8">
        <w:noBreakHyphen/>
      </w:r>
      <w:r w:rsidRPr="007C24E8">
        <w:t>1</w:t>
      </w:r>
      <w:r w:rsidR="004E3C2D" w:rsidRPr="007C24E8">
        <w:t>:</w:t>
      </w:r>
      <w:r w:rsidRPr="007C24E8">
        <w:t>2020</w:t>
      </w:r>
      <w:r w:rsidR="00110257" w:rsidRPr="007C24E8">
        <w:t> »</w:t>
      </w:r>
      <w:r w:rsidRPr="007C24E8">
        <w:t>.</w:t>
      </w:r>
    </w:p>
    <w:p w14:paraId="538E2BF8"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INF.53/Rev.2, amendement corollaire)</w:t>
      </w:r>
    </w:p>
    <w:p w14:paraId="10399BD1" w14:textId="77777777" w:rsidR="005E3367" w:rsidRPr="007C24E8" w:rsidRDefault="005E3367" w:rsidP="005E3367">
      <w:pPr>
        <w:pStyle w:val="SingleTxtG"/>
      </w:pPr>
      <w:r w:rsidRPr="007C24E8">
        <w:t>4.1.6.15</w:t>
      </w:r>
      <w:r w:rsidRPr="007C24E8">
        <w:tab/>
        <w:t>Modifier comme suit</w:t>
      </w:r>
      <w:r w:rsidR="004E3C2D" w:rsidRPr="007C24E8">
        <w:t> :</w:t>
      </w:r>
    </w:p>
    <w:p w14:paraId="0D1B68C9" w14:textId="77777777" w:rsidR="00D945A2" w:rsidRDefault="00110257" w:rsidP="005E3367">
      <w:pPr>
        <w:pStyle w:val="SingleTxtG"/>
      </w:pPr>
      <w:r w:rsidRPr="007C24E8">
        <w:t>« </w:t>
      </w:r>
      <w:r w:rsidR="005E3367" w:rsidRPr="007C24E8">
        <w:t>4.1.6.15</w:t>
      </w:r>
      <w:r w:rsidR="005E3367" w:rsidRPr="007C24E8">
        <w:tab/>
        <w:t xml:space="preserve">Pour les récipients à pression </w:t>
      </w:r>
      <w:r w:rsidRPr="007C24E8">
        <w:t>“</w:t>
      </w:r>
      <w:r w:rsidR="005E3367" w:rsidRPr="007C24E8">
        <w:t>UN</w:t>
      </w:r>
      <w:r w:rsidRPr="007C24E8">
        <w:t>”</w:t>
      </w:r>
      <w:r w:rsidR="005E3367" w:rsidRPr="007C24E8">
        <w:t xml:space="preserve">, les normes ISO et EN ISO énumérées au tableau 1, à l’exception des normes EN ISO 14245 et EN ISO 15995, doivent être appliquées. Pour savoir quelle norme doit être utilisée au moment de la fabrication de l’équipement, voir le </w:t>
      </w:r>
      <w:r w:rsidR="009B1F20" w:rsidRPr="007C24E8">
        <w:t xml:space="preserve">paragraphe </w:t>
      </w:r>
      <w:r w:rsidR="005E3367" w:rsidRPr="007C24E8">
        <w:t>6.2.2.3.</w:t>
      </w:r>
    </w:p>
    <w:p w14:paraId="6F8FA1E9" w14:textId="77777777" w:rsidR="005E3367" w:rsidRPr="007C24E8" w:rsidRDefault="005E3367" w:rsidP="005E3367">
      <w:pPr>
        <w:pStyle w:val="SingleTxtG"/>
      </w:pPr>
      <w:r w:rsidRPr="007C24E8">
        <w:t xml:space="preserve">Pour les autres récipients à pression, les dispositions de la section 4.1.6 sont réputées satisfaites si les normes appropriées du tableau 1 sont appliquées. Pour savoir quelles normes doivent être utilisées pour la fabrication des robinets munis d’une protection intégrée, voir le </w:t>
      </w:r>
      <w:r w:rsidR="009B1F20" w:rsidRPr="007C24E8">
        <w:t xml:space="preserve">paragraphe </w:t>
      </w:r>
      <w:r w:rsidRPr="007C24E8">
        <w:t>6.2.4.1. Pour toute information sur l’applicabilité des normes pour la fabrication des chapeaux fermés et des chapeaux ouverts de protection des robinets, voir le tableau 2.</w:t>
      </w:r>
    </w:p>
    <w:p w14:paraId="74435F01" w14:textId="77777777" w:rsidR="005E3367" w:rsidRPr="007C24E8" w:rsidRDefault="005E3367" w:rsidP="00D945A2">
      <w:pPr>
        <w:pStyle w:val="SingleTxtG"/>
        <w:keepNext/>
      </w:pPr>
      <w:r w:rsidRPr="007C24E8">
        <w:t>Tableau 1</w:t>
      </w:r>
      <w:r w:rsidR="004E3C2D" w:rsidRPr="007C24E8">
        <w:t> :</w:t>
      </w:r>
      <w:r w:rsidRPr="007C24E8">
        <w:t xml:space="preserve"> Normes pour les récipients à pression </w:t>
      </w:r>
      <w:r w:rsidR="00110257" w:rsidRPr="007C24E8">
        <w:t>“</w:t>
      </w:r>
      <w:r w:rsidRPr="007C24E8">
        <w:t>UN</w:t>
      </w:r>
      <w:r w:rsidR="00110257" w:rsidRPr="007C24E8">
        <w:t>”</w:t>
      </w:r>
      <w:r w:rsidRPr="007C24E8">
        <w:t xml:space="preserve"> et </w:t>
      </w:r>
      <w:r w:rsidR="00110257" w:rsidRPr="007C24E8">
        <w:t>“</w:t>
      </w:r>
      <w:r w:rsidRPr="007C24E8">
        <w:t>non UN</w:t>
      </w:r>
      <w:r w:rsidR="00110257" w:rsidRPr="007C24E8">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40"/>
        <w:gridCol w:w="4452"/>
      </w:tblGrid>
      <w:tr w:rsidR="005E3367" w:rsidRPr="007C24E8" w14:paraId="4D33DA69" w14:textId="77777777" w:rsidTr="00110257">
        <w:tc>
          <w:tcPr>
            <w:tcW w:w="1384" w:type="dxa"/>
            <w:shd w:val="clear" w:color="auto" w:fill="auto"/>
            <w:tcMar>
              <w:left w:w="0" w:type="dxa"/>
              <w:right w:w="0" w:type="dxa"/>
            </w:tcMar>
            <w:vAlign w:val="center"/>
          </w:tcPr>
          <w:p w14:paraId="57A090D7" w14:textId="77777777" w:rsidR="005E3367" w:rsidRPr="007C24E8" w:rsidRDefault="009B1F20" w:rsidP="00110257">
            <w:pPr>
              <w:spacing w:before="60" w:after="60"/>
              <w:ind w:left="57" w:right="57"/>
              <w:rPr>
                <w:b/>
              </w:rPr>
            </w:pPr>
            <w:r w:rsidRPr="007C24E8">
              <w:rPr>
                <w:b/>
              </w:rPr>
              <w:t xml:space="preserve">Paragraphes </w:t>
            </w:r>
            <w:r w:rsidR="005E3367" w:rsidRPr="007C24E8">
              <w:rPr>
                <w:b/>
              </w:rPr>
              <w:t xml:space="preserve">applicables </w:t>
            </w:r>
          </w:p>
        </w:tc>
        <w:tc>
          <w:tcPr>
            <w:tcW w:w="2585" w:type="dxa"/>
            <w:shd w:val="clear" w:color="auto" w:fill="auto"/>
            <w:tcMar>
              <w:left w:w="0" w:type="dxa"/>
              <w:right w:w="0" w:type="dxa"/>
            </w:tcMar>
            <w:vAlign w:val="center"/>
          </w:tcPr>
          <w:p w14:paraId="45E15C1A" w14:textId="77777777" w:rsidR="005E3367" w:rsidRPr="007C24E8" w:rsidRDefault="005E3367" w:rsidP="00110257">
            <w:pPr>
              <w:spacing w:before="60" w:after="60"/>
              <w:ind w:left="57" w:right="57"/>
            </w:pPr>
            <w:r w:rsidRPr="007C24E8">
              <w:rPr>
                <w:b/>
                <w:bCs/>
              </w:rPr>
              <w:t>Référence</w:t>
            </w:r>
          </w:p>
        </w:tc>
        <w:tc>
          <w:tcPr>
            <w:tcW w:w="4360" w:type="dxa"/>
            <w:shd w:val="clear" w:color="auto" w:fill="auto"/>
            <w:tcMar>
              <w:left w:w="0" w:type="dxa"/>
              <w:right w:w="0" w:type="dxa"/>
            </w:tcMar>
            <w:vAlign w:val="center"/>
          </w:tcPr>
          <w:p w14:paraId="71971CAC" w14:textId="77777777" w:rsidR="005E3367" w:rsidRPr="007C24E8" w:rsidRDefault="005E3367" w:rsidP="00110257">
            <w:pPr>
              <w:spacing w:before="60" w:after="60"/>
              <w:ind w:left="57" w:right="57"/>
              <w:rPr>
                <w:b/>
                <w:u w:val="single"/>
              </w:rPr>
            </w:pPr>
            <w:r w:rsidRPr="007C24E8">
              <w:rPr>
                <w:b/>
                <w:bCs/>
              </w:rPr>
              <w:t>Titre du document</w:t>
            </w:r>
          </w:p>
        </w:tc>
      </w:tr>
      <w:tr w:rsidR="005E3367" w:rsidRPr="007C24E8" w14:paraId="5C1DFD08" w14:textId="77777777" w:rsidTr="00110257">
        <w:tc>
          <w:tcPr>
            <w:tcW w:w="1384" w:type="dxa"/>
            <w:vMerge w:val="restart"/>
            <w:shd w:val="clear" w:color="auto" w:fill="auto"/>
            <w:tcMar>
              <w:left w:w="0" w:type="dxa"/>
              <w:right w:w="0" w:type="dxa"/>
            </w:tcMar>
          </w:tcPr>
          <w:p w14:paraId="594EC596" w14:textId="77777777" w:rsidR="005E3367" w:rsidRPr="007C24E8" w:rsidRDefault="005E3367" w:rsidP="00110257">
            <w:pPr>
              <w:spacing w:before="60" w:after="60"/>
              <w:ind w:left="57" w:right="57"/>
            </w:pPr>
            <w:r w:rsidRPr="007C24E8">
              <w:t>4.1.6.2</w:t>
            </w:r>
          </w:p>
        </w:tc>
        <w:tc>
          <w:tcPr>
            <w:tcW w:w="2585" w:type="dxa"/>
            <w:shd w:val="clear" w:color="auto" w:fill="auto"/>
            <w:tcMar>
              <w:left w:w="0" w:type="dxa"/>
              <w:right w:w="0" w:type="dxa"/>
            </w:tcMar>
          </w:tcPr>
          <w:p w14:paraId="3DFEE45C" w14:textId="77777777" w:rsidR="005E3367" w:rsidRPr="007C24E8" w:rsidRDefault="005E3367" w:rsidP="00110257">
            <w:pPr>
              <w:spacing w:before="60" w:after="60"/>
              <w:ind w:left="57" w:right="57"/>
            </w:pPr>
            <w:r w:rsidRPr="007C24E8">
              <w:t>EN ISO 11114-1</w:t>
            </w:r>
            <w:r w:rsidR="004E3C2D" w:rsidRPr="007C24E8">
              <w:t>:</w:t>
            </w:r>
            <w:r w:rsidRPr="007C24E8">
              <w:t>2020</w:t>
            </w:r>
          </w:p>
        </w:tc>
        <w:tc>
          <w:tcPr>
            <w:tcW w:w="4360" w:type="dxa"/>
            <w:shd w:val="clear" w:color="auto" w:fill="auto"/>
            <w:tcMar>
              <w:left w:w="0" w:type="dxa"/>
              <w:right w:w="0" w:type="dxa"/>
            </w:tcMar>
          </w:tcPr>
          <w:p w14:paraId="768B613B" w14:textId="77777777" w:rsidR="005E3367" w:rsidRPr="007C24E8" w:rsidRDefault="005E3367" w:rsidP="00110257">
            <w:pPr>
              <w:spacing w:before="60" w:after="60"/>
              <w:ind w:left="57" w:right="57"/>
              <w:rPr>
                <w:u w:val="single"/>
              </w:rPr>
            </w:pPr>
            <w:r w:rsidRPr="007C24E8">
              <w:t>Bouteilles à gaz − Compatibilité des matériaux des bouteilles et des robinets avec les contenus gazeux − Partie 1</w:t>
            </w:r>
            <w:r w:rsidR="004E3C2D" w:rsidRPr="007C24E8">
              <w:t> :</w:t>
            </w:r>
            <w:r w:rsidRPr="007C24E8">
              <w:t xml:space="preserve"> Matériaux métalliques </w:t>
            </w:r>
          </w:p>
        </w:tc>
      </w:tr>
      <w:tr w:rsidR="005E3367" w:rsidRPr="007C24E8" w14:paraId="7527BB89" w14:textId="77777777" w:rsidTr="00110257">
        <w:tc>
          <w:tcPr>
            <w:tcW w:w="1384" w:type="dxa"/>
            <w:vMerge/>
            <w:shd w:val="clear" w:color="auto" w:fill="auto"/>
            <w:tcMar>
              <w:left w:w="0" w:type="dxa"/>
              <w:right w:w="0" w:type="dxa"/>
            </w:tcMar>
          </w:tcPr>
          <w:p w14:paraId="05810BA1" w14:textId="77777777" w:rsidR="005E3367" w:rsidRPr="007C24E8" w:rsidRDefault="005E3367" w:rsidP="00110257">
            <w:pPr>
              <w:spacing w:before="60" w:after="60"/>
              <w:ind w:left="57" w:right="57"/>
            </w:pPr>
          </w:p>
        </w:tc>
        <w:tc>
          <w:tcPr>
            <w:tcW w:w="2585" w:type="dxa"/>
            <w:shd w:val="clear" w:color="auto" w:fill="auto"/>
            <w:tcMar>
              <w:left w:w="0" w:type="dxa"/>
              <w:right w:w="0" w:type="dxa"/>
            </w:tcMar>
          </w:tcPr>
          <w:p w14:paraId="42A7CC4C" w14:textId="77777777" w:rsidR="005E3367" w:rsidRPr="007C24E8" w:rsidRDefault="005E3367" w:rsidP="00110257">
            <w:pPr>
              <w:spacing w:before="60" w:after="60"/>
              <w:ind w:left="57" w:right="57"/>
            </w:pPr>
            <w:r w:rsidRPr="007C24E8">
              <w:t>EN ISO 11114-2</w:t>
            </w:r>
            <w:r w:rsidR="004E3C2D" w:rsidRPr="007C24E8">
              <w:t>:</w:t>
            </w:r>
            <w:r w:rsidRPr="007C24E8">
              <w:t>2013</w:t>
            </w:r>
          </w:p>
        </w:tc>
        <w:tc>
          <w:tcPr>
            <w:tcW w:w="4360" w:type="dxa"/>
            <w:shd w:val="clear" w:color="auto" w:fill="auto"/>
            <w:tcMar>
              <w:left w:w="0" w:type="dxa"/>
              <w:right w:w="0" w:type="dxa"/>
            </w:tcMar>
          </w:tcPr>
          <w:p w14:paraId="3A554AEA" w14:textId="77777777" w:rsidR="005E3367" w:rsidRPr="007C24E8" w:rsidRDefault="005E3367" w:rsidP="00110257">
            <w:pPr>
              <w:spacing w:before="60" w:after="60"/>
              <w:ind w:left="57" w:right="57"/>
              <w:rPr>
                <w:u w:val="single"/>
              </w:rPr>
            </w:pPr>
            <w:r w:rsidRPr="007C24E8">
              <w:t>Bouteilles à gaz − Compatibilité des matériaux des bouteilles et des robinets avec les contenus gazeux − Partie 2</w:t>
            </w:r>
            <w:r w:rsidR="004E3C2D" w:rsidRPr="007C24E8">
              <w:t> :</w:t>
            </w:r>
            <w:r w:rsidRPr="007C24E8">
              <w:t xml:space="preserve"> Matériaux non métalliques</w:t>
            </w:r>
          </w:p>
        </w:tc>
      </w:tr>
      <w:tr w:rsidR="005E3367" w:rsidRPr="007C24E8" w14:paraId="1C01EE83" w14:textId="77777777" w:rsidTr="00110257">
        <w:tc>
          <w:tcPr>
            <w:tcW w:w="1384" w:type="dxa"/>
            <w:shd w:val="clear" w:color="auto" w:fill="auto"/>
            <w:tcMar>
              <w:left w:w="0" w:type="dxa"/>
              <w:right w:w="0" w:type="dxa"/>
            </w:tcMar>
          </w:tcPr>
          <w:p w14:paraId="10527062" w14:textId="77777777" w:rsidR="005E3367" w:rsidRPr="007C24E8" w:rsidRDefault="005E3367" w:rsidP="00110257">
            <w:pPr>
              <w:spacing w:before="60" w:after="60"/>
              <w:ind w:left="57" w:right="57"/>
            </w:pPr>
            <w:r w:rsidRPr="007C24E8">
              <w:t>4.1.6.4</w:t>
            </w:r>
          </w:p>
        </w:tc>
        <w:tc>
          <w:tcPr>
            <w:tcW w:w="2585" w:type="dxa"/>
            <w:shd w:val="clear" w:color="auto" w:fill="auto"/>
            <w:tcMar>
              <w:left w:w="0" w:type="dxa"/>
              <w:right w:w="0" w:type="dxa"/>
            </w:tcMar>
          </w:tcPr>
          <w:p w14:paraId="45AE0B96" w14:textId="77777777" w:rsidR="005E3367" w:rsidRPr="007C24E8" w:rsidRDefault="005E3367" w:rsidP="00110257">
            <w:pPr>
              <w:spacing w:before="60" w:after="60"/>
              <w:ind w:left="57" w:right="57"/>
            </w:pPr>
            <w:r w:rsidRPr="007C24E8">
              <w:t>ISO 11621</w:t>
            </w:r>
            <w:r w:rsidR="004E3C2D" w:rsidRPr="007C24E8">
              <w:t>:</w:t>
            </w:r>
            <w:r w:rsidRPr="007C24E8">
              <w:t xml:space="preserve">1997 </w:t>
            </w:r>
            <w:r w:rsidRPr="007C24E8">
              <w:br/>
              <w:t>ou EN ISO 11621</w:t>
            </w:r>
            <w:r w:rsidR="004E3C2D" w:rsidRPr="007C24E8">
              <w:t>:</w:t>
            </w:r>
            <w:r w:rsidRPr="007C24E8">
              <w:t>2005</w:t>
            </w:r>
          </w:p>
        </w:tc>
        <w:tc>
          <w:tcPr>
            <w:tcW w:w="4360" w:type="dxa"/>
            <w:shd w:val="clear" w:color="auto" w:fill="auto"/>
            <w:tcMar>
              <w:left w:w="0" w:type="dxa"/>
              <w:right w:w="0" w:type="dxa"/>
            </w:tcMar>
          </w:tcPr>
          <w:p w14:paraId="40FF44DF" w14:textId="77777777" w:rsidR="005E3367" w:rsidRPr="007C24E8" w:rsidRDefault="005E3367" w:rsidP="00110257">
            <w:pPr>
              <w:spacing w:before="60" w:after="60"/>
              <w:ind w:left="57" w:right="57"/>
              <w:rPr>
                <w:u w:val="single"/>
              </w:rPr>
            </w:pPr>
            <w:r w:rsidRPr="007C24E8">
              <w:t>Bouteilles à gaz − Mode opératoire pour le changement de service de gaz</w:t>
            </w:r>
          </w:p>
        </w:tc>
      </w:tr>
      <w:tr w:rsidR="005E3367" w:rsidRPr="007C24E8" w14:paraId="2A4AC018" w14:textId="77777777" w:rsidTr="00110257">
        <w:tc>
          <w:tcPr>
            <w:tcW w:w="1384" w:type="dxa"/>
            <w:vMerge w:val="restart"/>
            <w:shd w:val="clear" w:color="auto" w:fill="auto"/>
            <w:tcMar>
              <w:left w:w="0" w:type="dxa"/>
              <w:right w:w="0" w:type="dxa"/>
            </w:tcMar>
          </w:tcPr>
          <w:p w14:paraId="1127E6B8" w14:textId="77777777" w:rsidR="005E3367" w:rsidRPr="007C24E8" w:rsidRDefault="005E3367" w:rsidP="00110257">
            <w:pPr>
              <w:spacing w:before="60" w:after="60"/>
              <w:ind w:left="57" w:right="57"/>
            </w:pPr>
            <w:r w:rsidRPr="007C24E8">
              <w:t>4.1.6.8 Robinets munis</w:t>
            </w:r>
            <w:r w:rsidR="00D945A2">
              <w:t> </w:t>
            </w:r>
            <w:r w:rsidRPr="007C24E8">
              <w:t>d’une protection intégrée</w:t>
            </w:r>
          </w:p>
        </w:tc>
        <w:tc>
          <w:tcPr>
            <w:tcW w:w="2585" w:type="dxa"/>
            <w:shd w:val="clear" w:color="auto" w:fill="auto"/>
            <w:tcMar>
              <w:left w:w="0" w:type="dxa"/>
              <w:right w:w="0" w:type="dxa"/>
            </w:tcMar>
          </w:tcPr>
          <w:p w14:paraId="42CACD20" w14:textId="77777777" w:rsidR="005E3367" w:rsidRPr="007C24E8" w:rsidRDefault="005E3367" w:rsidP="00110257">
            <w:pPr>
              <w:spacing w:before="60" w:after="60"/>
              <w:ind w:left="57" w:right="57"/>
            </w:pPr>
            <w:r w:rsidRPr="007C24E8">
              <w:t>Clause 4.6.2 de EN ISO 10297</w:t>
            </w:r>
            <w:r w:rsidR="004E3C2D" w:rsidRPr="007C24E8">
              <w:t>:</w:t>
            </w:r>
            <w:r w:rsidRPr="007C24E8">
              <w:t>2006 ou</w:t>
            </w:r>
          </w:p>
          <w:p w14:paraId="792C2BDF" w14:textId="77777777" w:rsidR="005E3367" w:rsidRPr="007C24E8" w:rsidRDefault="005E3367" w:rsidP="00110257">
            <w:pPr>
              <w:spacing w:before="60" w:after="60"/>
              <w:ind w:left="57" w:right="57"/>
            </w:pPr>
            <w:r w:rsidRPr="007C24E8">
              <w:t>clause 5.5.2 de EN ISO10297</w:t>
            </w:r>
            <w:r w:rsidR="00110257" w:rsidRPr="007C24E8">
              <w:t>:20</w:t>
            </w:r>
            <w:r w:rsidRPr="007C24E8">
              <w:t>14 ou</w:t>
            </w:r>
          </w:p>
          <w:p w14:paraId="2E9C15C1" w14:textId="77777777" w:rsidR="005E3367" w:rsidRPr="007C24E8" w:rsidRDefault="005E3367" w:rsidP="00110257">
            <w:pPr>
              <w:spacing w:before="60" w:after="60"/>
              <w:ind w:left="57" w:right="57"/>
            </w:pPr>
            <w:r w:rsidRPr="007C24E8">
              <w:t>clause 5.5.2 de EN ISO 10297</w:t>
            </w:r>
            <w:r w:rsidR="00110257" w:rsidRPr="007C24E8">
              <w:t>:20</w:t>
            </w:r>
            <w:r w:rsidRPr="007C24E8">
              <w:t>14 + A1</w:t>
            </w:r>
            <w:r w:rsidR="00110257" w:rsidRPr="007C24E8">
              <w:t>:20</w:t>
            </w:r>
            <w:r w:rsidRPr="007C24E8">
              <w:t>17</w:t>
            </w:r>
          </w:p>
        </w:tc>
        <w:tc>
          <w:tcPr>
            <w:tcW w:w="4360" w:type="dxa"/>
            <w:shd w:val="clear" w:color="auto" w:fill="auto"/>
            <w:tcMar>
              <w:left w:w="0" w:type="dxa"/>
              <w:right w:w="0" w:type="dxa"/>
            </w:tcMar>
          </w:tcPr>
          <w:p w14:paraId="34FB5DD0" w14:textId="77777777" w:rsidR="005E3367" w:rsidRPr="007C24E8" w:rsidRDefault="005E3367" w:rsidP="00110257">
            <w:pPr>
              <w:spacing w:before="60" w:after="60"/>
              <w:ind w:left="57" w:right="57"/>
              <w:rPr>
                <w:u w:val="single"/>
              </w:rPr>
            </w:pPr>
            <w:r w:rsidRPr="007C24E8">
              <w:t>Bouteilles à gaz − Robinets de bouteilles − Spécifications et essais de</w:t>
            </w:r>
            <w:r w:rsidR="00110257" w:rsidRPr="007C24E8">
              <w:t xml:space="preserve"> </w:t>
            </w:r>
            <w:r w:rsidRPr="007C24E8">
              <w:t>type</w:t>
            </w:r>
          </w:p>
        </w:tc>
      </w:tr>
      <w:tr w:rsidR="005E3367" w:rsidRPr="007C24E8" w14:paraId="76D1924F" w14:textId="77777777" w:rsidTr="00110257">
        <w:tc>
          <w:tcPr>
            <w:tcW w:w="1384" w:type="dxa"/>
            <w:vMerge/>
            <w:shd w:val="clear" w:color="auto" w:fill="auto"/>
            <w:tcMar>
              <w:left w:w="0" w:type="dxa"/>
              <w:right w:w="0" w:type="dxa"/>
            </w:tcMar>
          </w:tcPr>
          <w:p w14:paraId="10B80FCB" w14:textId="77777777" w:rsidR="005E3367" w:rsidRPr="007C24E8" w:rsidRDefault="005E3367" w:rsidP="00110257">
            <w:pPr>
              <w:spacing w:before="60" w:after="60"/>
              <w:ind w:left="57" w:right="57"/>
            </w:pPr>
          </w:p>
        </w:tc>
        <w:tc>
          <w:tcPr>
            <w:tcW w:w="2585" w:type="dxa"/>
            <w:shd w:val="clear" w:color="auto" w:fill="auto"/>
            <w:tcMar>
              <w:left w:w="0" w:type="dxa"/>
              <w:right w:w="0" w:type="dxa"/>
            </w:tcMar>
          </w:tcPr>
          <w:p w14:paraId="0042A5A2" w14:textId="77777777" w:rsidR="005E3367" w:rsidRPr="007C24E8" w:rsidRDefault="005E3367" w:rsidP="00110257">
            <w:pPr>
              <w:spacing w:before="60" w:after="60"/>
              <w:ind w:left="57" w:right="57"/>
            </w:pPr>
            <w:r w:rsidRPr="007C24E8">
              <w:t>Clause 5.3.8 of EN 13152</w:t>
            </w:r>
            <w:r w:rsidR="00110257" w:rsidRPr="007C24E8">
              <w:t>:20</w:t>
            </w:r>
            <w:r w:rsidRPr="007C24E8">
              <w:t>01 + A1</w:t>
            </w:r>
            <w:r w:rsidR="00110257" w:rsidRPr="007C24E8">
              <w:t>:20</w:t>
            </w:r>
            <w:r w:rsidRPr="007C24E8">
              <w:t>03</w:t>
            </w:r>
          </w:p>
        </w:tc>
        <w:tc>
          <w:tcPr>
            <w:tcW w:w="4360" w:type="dxa"/>
            <w:shd w:val="clear" w:color="auto" w:fill="auto"/>
            <w:tcMar>
              <w:left w:w="0" w:type="dxa"/>
              <w:right w:w="0" w:type="dxa"/>
            </w:tcMar>
          </w:tcPr>
          <w:p w14:paraId="17D8E4E3" w14:textId="77777777" w:rsidR="005E3367" w:rsidRPr="007C24E8" w:rsidRDefault="005E3367" w:rsidP="00110257">
            <w:pPr>
              <w:spacing w:before="60" w:after="60"/>
              <w:ind w:left="57" w:right="57"/>
              <w:rPr>
                <w:u w:val="single"/>
              </w:rPr>
            </w:pPr>
            <w:r w:rsidRPr="007C24E8">
              <w:t>Spécifications et essais pour valves de bouteilles de gaz de pétrole liquéfié (GPL) − Fermeture automatique</w:t>
            </w:r>
          </w:p>
        </w:tc>
      </w:tr>
      <w:tr w:rsidR="005E3367" w:rsidRPr="007C24E8" w14:paraId="26B7B52C" w14:textId="77777777" w:rsidTr="00110257">
        <w:tc>
          <w:tcPr>
            <w:tcW w:w="1384" w:type="dxa"/>
            <w:vMerge/>
            <w:shd w:val="clear" w:color="auto" w:fill="auto"/>
            <w:tcMar>
              <w:left w:w="0" w:type="dxa"/>
              <w:right w:w="0" w:type="dxa"/>
            </w:tcMar>
          </w:tcPr>
          <w:p w14:paraId="60E6D199" w14:textId="77777777" w:rsidR="005E3367" w:rsidRPr="007C24E8" w:rsidRDefault="005E3367" w:rsidP="00110257">
            <w:pPr>
              <w:spacing w:before="60" w:after="60"/>
              <w:ind w:left="57" w:right="57"/>
            </w:pPr>
          </w:p>
        </w:tc>
        <w:tc>
          <w:tcPr>
            <w:tcW w:w="2585" w:type="dxa"/>
            <w:shd w:val="clear" w:color="auto" w:fill="auto"/>
            <w:tcMar>
              <w:left w:w="0" w:type="dxa"/>
              <w:right w:w="0" w:type="dxa"/>
            </w:tcMar>
          </w:tcPr>
          <w:p w14:paraId="1203B207" w14:textId="77777777" w:rsidR="005E3367" w:rsidRPr="007C24E8" w:rsidRDefault="005E3367" w:rsidP="00110257">
            <w:pPr>
              <w:spacing w:before="60" w:after="60"/>
              <w:ind w:left="57" w:right="57"/>
            </w:pPr>
            <w:r w:rsidRPr="007C24E8">
              <w:t>Clause 5.3.7 de EN 13153</w:t>
            </w:r>
            <w:r w:rsidR="00110257" w:rsidRPr="007C24E8">
              <w:t>:20</w:t>
            </w:r>
            <w:r w:rsidRPr="007C24E8">
              <w:t>01 + A1</w:t>
            </w:r>
            <w:r w:rsidR="00110257" w:rsidRPr="007C24E8">
              <w:t>:20</w:t>
            </w:r>
            <w:r w:rsidRPr="007C24E8">
              <w:t>03</w:t>
            </w:r>
          </w:p>
        </w:tc>
        <w:tc>
          <w:tcPr>
            <w:tcW w:w="4360" w:type="dxa"/>
            <w:shd w:val="clear" w:color="auto" w:fill="auto"/>
            <w:tcMar>
              <w:left w:w="0" w:type="dxa"/>
              <w:right w:w="0" w:type="dxa"/>
            </w:tcMar>
          </w:tcPr>
          <w:p w14:paraId="32D1690C" w14:textId="77777777" w:rsidR="005E3367" w:rsidRPr="007C24E8" w:rsidRDefault="005E3367" w:rsidP="00110257">
            <w:pPr>
              <w:spacing w:before="60" w:after="60"/>
              <w:ind w:left="57" w:right="57"/>
              <w:rPr>
                <w:u w:val="single"/>
              </w:rPr>
            </w:pPr>
            <w:r w:rsidRPr="007C24E8">
              <w:t>Spécifications et essais pour valves de bouteilles de gaz de pétrole liquéfié (GPL) − Fermeture manuelle</w:t>
            </w:r>
          </w:p>
        </w:tc>
      </w:tr>
      <w:tr w:rsidR="005E3367" w:rsidRPr="007C24E8" w14:paraId="5A4E41B8" w14:textId="77777777" w:rsidTr="00110257">
        <w:tc>
          <w:tcPr>
            <w:tcW w:w="1384" w:type="dxa"/>
            <w:vMerge/>
            <w:shd w:val="clear" w:color="auto" w:fill="auto"/>
            <w:tcMar>
              <w:left w:w="0" w:type="dxa"/>
              <w:right w:w="0" w:type="dxa"/>
            </w:tcMar>
          </w:tcPr>
          <w:p w14:paraId="70AE1B38" w14:textId="77777777" w:rsidR="005E3367" w:rsidRPr="007C24E8" w:rsidRDefault="005E3367" w:rsidP="00110257">
            <w:pPr>
              <w:spacing w:before="60" w:after="60"/>
              <w:ind w:left="57" w:right="57"/>
            </w:pPr>
          </w:p>
        </w:tc>
        <w:tc>
          <w:tcPr>
            <w:tcW w:w="2585" w:type="dxa"/>
            <w:shd w:val="clear" w:color="auto" w:fill="auto"/>
            <w:tcMar>
              <w:left w:w="0" w:type="dxa"/>
              <w:right w:w="0" w:type="dxa"/>
            </w:tcMar>
          </w:tcPr>
          <w:p w14:paraId="6257230F" w14:textId="77777777" w:rsidR="005E3367" w:rsidRPr="007C24E8" w:rsidRDefault="005E3367" w:rsidP="00110257">
            <w:pPr>
              <w:spacing w:before="60" w:after="60"/>
              <w:ind w:left="57" w:right="57"/>
            </w:pPr>
            <w:r w:rsidRPr="007C24E8">
              <w:t>Clause 5.9 de EN ISO 14245</w:t>
            </w:r>
            <w:r w:rsidR="00110257" w:rsidRPr="007C24E8">
              <w:t>:20</w:t>
            </w:r>
            <w:r w:rsidRPr="007C24E8">
              <w:t xml:space="preserve">10 </w:t>
            </w:r>
            <w:r w:rsidRPr="007C24E8">
              <w:rPr>
                <w:bCs/>
              </w:rPr>
              <w:t>ou clause 5 9 de EN ISO 14245</w:t>
            </w:r>
            <w:r w:rsidR="00110257" w:rsidRPr="007C24E8">
              <w:rPr>
                <w:bCs/>
              </w:rPr>
              <w:t>:20</w:t>
            </w:r>
            <w:r w:rsidRPr="007C24E8">
              <w:rPr>
                <w:bCs/>
              </w:rPr>
              <w:t>19</w:t>
            </w:r>
          </w:p>
        </w:tc>
        <w:tc>
          <w:tcPr>
            <w:tcW w:w="4360" w:type="dxa"/>
            <w:shd w:val="clear" w:color="auto" w:fill="auto"/>
            <w:tcMar>
              <w:left w:w="0" w:type="dxa"/>
              <w:right w:w="0" w:type="dxa"/>
            </w:tcMar>
          </w:tcPr>
          <w:p w14:paraId="43E8F00F" w14:textId="77777777" w:rsidR="005E3367" w:rsidRPr="007C24E8" w:rsidRDefault="005E3367" w:rsidP="00110257">
            <w:pPr>
              <w:spacing w:before="60" w:after="60"/>
              <w:ind w:left="57" w:right="57"/>
              <w:rPr>
                <w:u w:val="single"/>
              </w:rPr>
            </w:pPr>
            <w:r w:rsidRPr="007C24E8">
              <w:t>Bouteilles à gaz − Spécifications et essais pour valves de bouteilles de GPL − Fermeture automatique</w:t>
            </w:r>
          </w:p>
        </w:tc>
      </w:tr>
      <w:tr w:rsidR="005E3367" w:rsidRPr="007C24E8" w14:paraId="7A85F1D7" w14:textId="77777777" w:rsidTr="00110257">
        <w:tc>
          <w:tcPr>
            <w:tcW w:w="1384" w:type="dxa"/>
            <w:vMerge/>
            <w:shd w:val="clear" w:color="auto" w:fill="auto"/>
            <w:tcMar>
              <w:left w:w="0" w:type="dxa"/>
              <w:right w:w="0" w:type="dxa"/>
            </w:tcMar>
          </w:tcPr>
          <w:p w14:paraId="073C1A9F" w14:textId="77777777" w:rsidR="005E3367" w:rsidRPr="007C24E8" w:rsidRDefault="005E3367" w:rsidP="00110257">
            <w:pPr>
              <w:spacing w:before="60" w:after="60"/>
              <w:ind w:left="57" w:right="57"/>
            </w:pPr>
          </w:p>
        </w:tc>
        <w:tc>
          <w:tcPr>
            <w:tcW w:w="2585" w:type="dxa"/>
            <w:shd w:val="clear" w:color="auto" w:fill="auto"/>
            <w:tcMar>
              <w:left w:w="0" w:type="dxa"/>
              <w:right w:w="0" w:type="dxa"/>
            </w:tcMar>
          </w:tcPr>
          <w:p w14:paraId="27D5F305" w14:textId="77777777" w:rsidR="005E3367" w:rsidRPr="007C24E8" w:rsidRDefault="005E3367" w:rsidP="00110257">
            <w:pPr>
              <w:spacing w:before="60" w:after="60"/>
              <w:ind w:left="57" w:right="57"/>
            </w:pPr>
            <w:r w:rsidRPr="007C24E8">
              <w:t>Clause 5.10 de EN ISO 15995</w:t>
            </w:r>
            <w:r w:rsidR="00110257" w:rsidRPr="007C24E8">
              <w:t>:20</w:t>
            </w:r>
            <w:r w:rsidRPr="007C24E8">
              <w:t xml:space="preserve">10 </w:t>
            </w:r>
            <w:r w:rsidRPr="007C24E8">
              <w:rPr>
                <w:bCs/>
              </w:rPr>
              <w:t xml:space="preserve">ou </w:t>
            </w:r>
            <w:r w:rsidRPr="007C24E8">
              <w:t xml:space="preserve">clause </w:t>
            </w:r>
            <w:r w:rsidRPr="007C24E8">
              <w:rPr>
                <w:bCs/>
              </w:rPr>
              <w:t>5.10 de EN ISO 15995</w:t>
            </w:r>
            <w:r w:rsidR="00110257" w:rsidRPr="007C24E8">
              <w:rPr>
                <w:bCs/>
              </w:rPr>
              <w:t>:20</w:t>
            </w:r>
            <w:r w:rsidRPr="007C24E8">
              <w:rPr>
                <w:bCs/>
              </w:rPr>
              <w:t>19</w:t>
            </w:r>
          </w:p>
        </w:tc>
        <w:tc>
          <w:tcPr>
            <w:tcW w:w="4360" w:type="dxa"/>
            <w:shd w:val="clear" w:color="auto" w:fill="auto"/>
            <w:tcMar>
              <w:left w:w="0" w:type="dxa"/>
              <w:right w:w="0" w:type="dxa"/>
            </w:tcMar>
          </w:tcPr>
          <w:p w14:paraId="55D8D591" w14:textId="77777777" w:rsidR="005E3367" w:rsidRPr="007C24E8" w:rsidRDefault="005E3367" w:rsidP="00110257">
            <w:pPr>
              <w:spacing w:before="60" w:after="60"/>
              <w:ind w:left="57" w:right="57"/>
              <w:rPr>
                <w:u w:val="single"/>
              </w:rPr>
            </w:pPr>
            <w:r w:rsidRPr="007C24E8">
              <w:t>Bouteilles à gaz − Spécifications et essais pour valves de bouteilles de GPL − Fermeture manuelle</w:t>
            </w:r>
          </w:p>
        </w:tc>
      </w:tr>
      <w:tr w:rsidR="005E3367" w:rsidRPr="007C24E8" w14:paraId="0979EC26" w14:textId="77777777" w:rsidTr="00110257">
        <w:tc>
          <w:tcPr>
            <w:tcW w:w="1384" w:type="dxa"/>
            <w:vMerge/>
            <w:shd w:val="clear" w:color="auto" w:fill="auto"/>
            <w:tcMar>
              <w:left w:w="0" w:type="dxa"/>
              <w:right w:w="0" w:type="dxa"/>
            </w:tcMar>
          </w:tcPr>
          <w:p w14:paraId="7F9BC0F5" w14:textId="77777777" w:rsidR="005E3367" w:rsidRPr="007C24E8" w:rsidRDefault="005E3367" w:rsidP="00110257">
            <w:pPr>
              <w:spacing w:before="60" w:after="60"/>
              <w:ind w:left="57" w:right="57"/>
            </w:pPr>
          </w:p>
        </w:tc>
        <w:tc>
          <w:tcPr>
            <w:tcW w:w="2585" w:type="dxa"/>
            <w:shd w:val="clear" w:color="auto" w:fill="auto"/>
            <w:tcMar>
              <w:left w:w="0" w:type="dxa"/>
              <w:right w:w="0" w:type="dxa"/>
            </w:tcMar>
          </w:tcPr>
          <w:p w14:paraId="154680F3" w14:textId="77777777" w:rsidR="005E3367" w:rsidRPr="007C24E8" w:rsidRDefault="005E3367" w:rsidP="00110257">
            <w:pPr>
              <w:spacing w:before="60" w:after="60"/>
              <w:ind w:left="57" w:right="57"/>
            </w:pPr>
            <w:r w:rsidRPr="007C24E8">
              <w:t>Clause 5.4.2 de EN ISO 17879</w:t>
            </w:r>
            <w:r w:rsidR="00110257" w:rsidRPr="007C24E8">
              <w:t>:20</w:t>
            </w:r>
            <w:r w:rsidRPr="007C24E8">
              <w:t>17</w:t>
            </w:r>
          </w:p>
        </w:tc>
        <w:tc>
          <w:tcPr>
            <w:tcW w:w="4360" w:type="dxa"/>
            <w:shd w:val="clear" w:color="auto" w:fill="auto"/>
            <w:tcMar>
              <w:left w:w="0" w:type="dxa"/>
              <w:right w:w="0" w:type="dxa"/>
            </w:tcMar>
          </w:tcPr>
          <w:p w14:paraId="4CCDAD30" w14:textId="77777777" w:rsidR="005E3367" w:rsidRPr="007C24E8" w:rsidRDefault="005E3367" w:rsidP="00110257">
            <w:pPr>
              <w:spacing w:before="60" w:after="60"/>
              <w:ind w:left="57" w:right="57"/>
              <w:rPr>
                <w:u w:val="single"/>
              </w:rPr>
            </w:pPr>
            <w:r w:rsidRPr="007C24E8">
              <w:t xml:space="preserve">Bouteilles à gaz − Robinets de bouteilles équipés </w:t>
            </w:r>
            <w:proofErr w:type="spellStart"/>
            <w:r w:rsidRPr="007C24E8">
              <w:t>declapets</w:t>
            </w:r>
            <w:proofErr w:type="spellEnd"/>
            <w:r w:rsidRPr="007C24E8">
              <w:t xml:space="preserve"> auto-obturants − Spécifications et essais de</w:t>
            </w:r>
            <w:r w:rsidR="00110257" w:rsidRPr="007C24E8">
              <w:t> </w:t>
            </w:r>
            <w:r w:rsidRPr="007C24E8">
              <w:t>type</w:t>
            </w:r>
          </w:p>
        </w:tc>
      </w:tr>
      <w:tr w:rsidR="005E3367" w:rsidRPr="007C24E8" w14:paraId="74089368" w14:textId="77777777" w:rsidTr="00110257">
        <w:trPr>
          <w:cantSplit/>
        </w:trPr>
        <w:tc>
          <w:tcPr>
            <w:tcW w:w="1384" w:type="dxa"/>
            <w:vMerge w:val="restart"/>
            <w:shd w:val="clear" w:color="auto" w:fill="auto"/>
            <w:tcMar>
              <w:left w:w="0" w:type="dxa"/>
              <w:right w:w="0" w:type="dxa"/>
            </w:tcMar>
          </w:tcPr>
          <w:p w14:paraId="25651BE3" w14:textId="77777777" w:rsidR="005E3367" w:rsidRPr="007C24E8" w:rsidRDefault="005E3367" w:rsidP="00110257">
            <w:pPr>
              <w:spacing w:before="60" w:after="60"/>
              <w:ind w:left="57" w:right="57"/>
            </w:pPr>
            <w:r w:rsidRPr="007C24E8">
              <w:t>4.1.6.8 b) et c)</w:t>
            </w:r>
          </w:p>
        </w:tc>
        <w:tc>
          <w:tcPr>
            <w:tcW w:w="2585" w:type="dxa"/>
            <w:shd w:val="clear" w:color="auto" w:fill="auto"/>
            <w:tcMar>
              <w:left w:w="0" w:type="dxa"/>
              <w:right w:w="0" w:type="dxa"/>
            </w:tcMar>
          </w:tcPr>
          <w:p w14:paraId="32EBA224" w14:textId="77777777" w:rsidR="005E3367" w:rsidRPr="007C24E8" w:rsidRDefault="005E3367" w:rsidP="00110257">
            <w:pPr>
              <w:spacing w:before="60" w:after="60"/>
              <w:ind w:left="57" w:right="57"/>
            </w:pPr>
            <w:r w:rsidRPr="007C24E8">
              <w:t>ISO 11117</w:t>
            </w:r>
            <w:r w:rsidR="004E3C2D" w:rsidRPr="007C24E8">
              <w:t>:</w:t>
            </w:r>
            <w:r w:rsidRPr="007C24E8">
              <w:t>1998 ou EN ISO 11117</w:t>
            </w:r>
            <w:r w:rsidR="00110257" w:rsidRPr="007C24E8">
              <w:t>:20</w:t>
            </w:r>
            <w:r w:rsidRPr="007C24E8">
              <w:t>08 + Cor 1</w:t>
            </w:r>
            <w:r w:rsidR="00110257" w:rsidRPr="007C24E8">
              <w:t>:20</w:t>
            </w:r>
            <w:r w:rsidRPr="007C24E8">
              <w:t xml:space="preserve">09 </w:t>
            </w:r>
            <w:r w:rsidRPr="007C24E8">
              <w:rPr>
                <w:bCs/>
              </w:rPr>
              <w:t>ou EN ISO 11117</w:t>
            </w:r>
            <w:r w:rsidR="00110257" w:rsidRPr="007C24E8">
              <w:rPr>
                <w:bCs/>
              </w:rPr>
              <w:t>:20</w:t>
            </w:r>
            <w:r w:rsidRPr="007C24E8">
              <w:rPr>
                <w:bCs/>
              </w:rPr>
              <w:t>19</w:t>
            </w:r>
          </w:p>
        </w:tc>
        <w:tc>
          <w:tcPr>
            <w:tcW w:w="4360" w:type="dxa"/>
            <w:shd w:val="clear" w:color="auto" w:fill="auto"/>
            <w:tcMar>
              <w:left w:w="0" w:type="dxa"/>
              <w:right w:w="0" w:type="dxa"/>
            </w:tcMar>
          </w:tcPr>
          <w:p w14:paraId="14B80E48" w14:textId="77777777" w:rsidR="005E3367" w:rsidRPr="007C24E8" w:rsidRDefault="005E3367" w:rsidP="00110257">
            <w:pPr>
              <w:spacing w:before="60" w:after="60"/>
              <w:ind w:left="57" w:right="57"/>
              <w:rPr>
                <w:u w:val="single"/>
              </w:rPr>
            </w:pPr>
            <w:r w:rsidRPr="007C24E8">
              <w:t>Bouteilles à gaz − Chapeaux fermés et chapeaux ouverts de protection des robinets − Conception, construction et essais</w:t>
            </w:r>
          </w:p>
        </w:tc>
      </w:tr>
      <w:tr w:rsidR="005E3367" w:rsidRPr="007C24E8" w14:paraId="1E5EE7BE" w14:textId="77777777" w:rsidTr="00110257">
        <w:tc>
          <w:tcPr>
            <w:tcW w:w="1384" w:type="dxa"/>
            <w:vMerge/>
            <w:tcBorders>
              <w:bottom w:val="single" w:sz="4" w:space="0" w:color="auto"/>
            </w:tcBorders>
            <w:shd w:val="clear" w:color="auto" w:fill="auto"/>
            <w:tcMar>
              <w:left w:w="0" w:type="dxa"/>
              <w:right w:w="0" w:type="dxa"/>
            </w:tcMar>
          </w:tcPr>
          <w:p w14:paraId="080BDFEA" w14:textId="77777777" w:rsidR="005E3367" w:rsidRPr="007C24E8" w:rsidRDefault="005E3367" w:rsidP="00110257">
            <w:pPr>
              <w:spacing w:before="60" w:after="60"/>
              <w:ind w:left="57" w:right="57"/>
            </w:pPr>
          </w:p>
        </w:tc>
        <w:tc>
          <w:tcPr>
            <w:tcW w:w="2585" w:type="dxa"/>
            <w:tcBorders>
              <w:bottom w:val="single" w:sz="4" w:space="0" w:color="auto"/>
            </w:tcBorders>
            <w:shd w:val="clear" w:color="auto" w:fill="auto"/>
            <w:tcMar>
              <w:left w:w="0" w:type="dxa"/>
              <w:right w:w="0" w:type="dxa"/>
            </w:tcMar>
          </w:tcPr>
          <w:p w14:paraId="4A99D379" w14:textId="77777777" w:rsidR="005E3367" w:rsidRPr="007C24E8" w:rsidRDefault="005E3367" w:rsidP="00110257">
            <w:pPr>
              <w:spacing w:before="60" w:after="60"/>
              <w:ind w:left="57" w:right="57"/>
            </w:pPr>
            <w:r w:rsidRPr="007C24E8">
              <w:t>EN 962</w:t>
            </w:r>
            <w:r w:rsidR="004E3C2D" w:rsidRPr="007C24E8">
              <w:t>:</w:t>
            </w:r>
            <w:r w:rsidRPr="007C24E8">
              <w:t>1996 +A2</w:t>
            </w:r>
            <w:r w:rsidR="00110257" w:rsidRPr="007C24E8">
              <w:t>:20</w:t>
            </w:r>
            <w:r w:rsidRPr="007C24E8">
              <w:t>00</w:t>
            </w:r>
          </w:p>
        </w:tc>
        <w:tc>
          <w:tcPr>
            <w:tcW w:w="4360" w:type="dxa"/>
            <w:tcBorders>
              <w:bottom w:val="single" w:sz="4" w:space="0" w:color="auto"/>
            </w:tcBorders>
            <w:shd w:val="clear" w:color="auto" w:fill="auto"/>
            <w:tcMar>
              <w:left w:w="0" w:type="dxa"/>
              <w:right w:w="0" w:type="dxa"/>
            </w:tcMar>
          </w:tcPr>
          <w:p w14:paraId="0A529D08" w14:textId="77777777" w:rsidR="005E3367" w:rsidRPr="007C24E8" w:rsidRDefault="005E3367" w:rsidP="00110257">
            <w:pPr>
              <w:spacing w:before="60" w:after="60"/>
              <w:ind w:left="57" w:right="57"/>
              <w:rPr>
                <w:u w:val="single"/>
              </w:rPr>
            </w:pPr>
            <w:r w:rsidRPr="007C24E8">
              <w:t>Bouteilles à gaz transportables − Chapeaux fermés et chapeaux ouverts de protection des robinets de bouteilles à gaz industriels et médicaux − Conception, construction et essais</w:t>
            </w:r>
          </w:p>
        </w:tc>
      </w:tr>
      <w:tr w:rsidR="005E3367" w:rsidRPr="007C24E8" w14:paraId="47505C11" w14:textId="77777777" w:rsidTr="00110257">
        <w:tc>
          <w:tcPr>
            <w:tcW w:w="1384" w:type="dxa"/>
            <w:vMerge/>
            <w:tcBorders>
              <w:bottom w:val="single" w:sz="4" w:space="0" w:color="auto"/>
            </w:tcBorders>
            <w:shd w:val="clear" w:color="auto" w:fill="auto"/>
            <w:tcMar>
              <w:left w:w="0" w:type="dxa"/>
              <w:right w:w="0" w:type="dxa"/>
            </w:tcMar>
          </w:tcPr>
          <w:p w14:paraId="39ED2177" w14:textId="77777777" w:rsidR="005E3367" w:rsidRPr="007C24E8" w:rsidRDefault="005E3367" w:rsidP="00110257">
            <w:pPr>
              <w:spacing w:before="60" w:after="60"/>
              <w:ind w:left="57" w:right="57"/>
            </w:pPr>
          </w:p>
        </w:tc>
        <w:tc>
          <w:tcPr>
            <w:tcW w:w="2585" w:type="dxa"/>
            <w:tcBorders>
              <w:bottom w:val="single" w:sz="4" w:space="0" w:color="auto"/>
            </w:tcBorders>
            <w:shd w:val="clear" w:color="auto" w:fill="auto"/>
            <w:tcMar>
              <w:left w:w="0" w:type="dxa"/>
              <w:right w:w="0" w:type="dxa"/>
            </w:tcMar>
          </w:tcPr>
          <w:p w14:paraId="5929A9F8" w14:textId="77777777" w:rsidR="005E3367" w:rsidRPr="007C24E8" w:rsidRDefault="005E3367" w:rsidP="00110257">
            <w:pPr>
              <w:spacing w:before="60" w:after="60"/>
              <w:ind w:left="57" w:right="57"/>
            </w:pPr>
            <w:r w:rsidRPr="007C24E8">
              <w:t>ISO 16111</w:t>
            </w:r>
            <w:r w:rsidR="00110257" w:rsidRPr="007C24E8">
              <w:t>:20</w:t>
            </w:r>
            <w:r w:rsidRPr="007C24E8">
              <w:t>08</w:t>
            </w:r>
          </w:p>
        </w:tc>
        <w:tc>
          <w:tcPr>
            <w:tcW w:w="4360" w:type="dxa"/>
            <w:tcBorders>
              <w:bottom w:val="single" w:sz="4" w:space="0" w:color="auto"/>
            </w:tcBorders>
            <w:shd w:val="clear" w:color="auto" w:fill="auto"/>
            <w:tcMar>
              <w:left w:w="0" w:type="dxa"/>
              <w:right w:w="0" w:type="dxa"/>
            </w:tcMar>
          </w:tcPr>
          <w:p w14:paraId="2E6A83D5" w14:textId="77777777" w:rsidR="005E3367" w:rsidRPr="007C24E8" w:rsidRDefault="005E3367" w:rsidP="00110257">
            <w:pPr>
              <w:spacing w:before="60" w:after="60"/>
              <w:ind w:left="57" w:right="57"/>
              <w:rPr>
                <w:u w:val="single"/>
              </w:rPr>
            </w:pPr>
            <w:r w:rsidRPr="007C24E8">
              <w:t>Appareils de stockage de gaz transportables − Hydrogène absorbé dans un hydrure métallique réversible</w:t>
            </w:r>
          </w:p>
        </w:tc>
      </w:tr>
    </w:tbl>
    <w:p w14:paraId="70E8E246" w14:textId="77777777" w:rsidR="005E3367" w:rsidRPr="007C24E8" w:rsidRDefault="005E3367" w:rsidP="00110257">
      <w:pPr>
        <w:pStyle w:val="SingleTxtG"/>
        <w:spacing w:before="120"/>
      </w:pPr>
      <w:r w:rsidRPr="007C24E8">
        <w:t>Tableau 2</w:t>
      </w:r>
      <w:r w:rsidR="004E3C2D" w:rsidRPr="007C24E8">
        <w:t> :</w:t>
      </w:r>
      <w:r w:rsidRPr="007C24E8">
        <w:t xml:space="preserve"> Périodes d’applicabilité des normes pour les chapeaux fermés et les chapeaux ouverts de protection des robinets montés sur des récipients à pression non UN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055"/>
        <w:gridCol w:w="1592"/>
      </w:tblGrid>
      <w:tr w:rsidR="005E3367" w:rsidRPr="007C24E8" w14:paraId="2A0458EE" w14:textId="77777777" w:rsidTr="004A6A39">
        <w:tc>
          <w:tcPr>
            <w:tcW w:w="1820" w:type="dxa"/>
            <w:shd w:val="clear" w:color="auto" w:fill="auto"/>
            <w:tcMar>
              <w:left w:w="0" w:type="dxa"/>
              <w:right w:w="0" w:type="dxa"/>
            </w:tcMar>
          </w:tcPr>
          <w:p w14:paraId="313D7910" w14:textId="77777777" w:rsidR="005E3367" w:rsidRPr="007C24E8" w:rsidRDefault="005E3367" w:rsidP="004A6A39">
            <w:pPr>
              <w:tabs>
                <w:tab w:val="left" w:pos="1418"/>
                <w:tab w:val="left" w:pos="1843"/>
              </w:tabs>
              <w:spacing w:before="60" w:after="60"/>
              <w:ind w:left="57" w:right="57"/>
            </w:pPr>
            <w:r w:rsidRPr="007C24E8">
              <w:t>ISO 11117</w:t>
            </w:r>
            <w:r w:rsidR="004E3C2D" w:rsidRPr="007C24E8">
              <w:t>:</w:t>
            </w:r>
            <w:r w:rsidRPr="007C24E8">
              <w:t>1998</w:t>
            </w:r>
          </w:p>
        </w:tc>
        <w:tc>
          <w:tcPr>
            <w:tcW w:w="4950" w:type="dxa"/>
            <w:shd w:val="clear" w:color="auto" w:fill="auto"/>
            <w:tcMar>
              <w:left w:w="0" w:type="dxa"/>
              <w:right w:w="0" w:type="dxa"/>
            </w:tcMar>
          </w:tcPr>
          <w:p w14:paraId="1E5A285E" w14:textId="77777777" w:rsidR="005E3367" w:rsidRPr="007C24E8" w:rsidRDefault="005E3367" w:rsidP="004A6A39">
            <w:pPr>
              <w:tabs>
                <w:tab w:val="left" w:pos="1418"/>
                <w:tab w:val="left" w:pos="1843"/>
              </w:tabs>
              <w:spacing w:before="60" w:after="60"/>
              <w:ind w:left="57" w:right="57"/>
            </w:pPr>
            <w:r w:rsidRPr="007C24E8">
              <w:t>Bouteilles à gaz − Chapeaux fermés et chapeaux ouverts de protection des robinets de bouteilles à gaz industriels et médicaux − Conception, construction et</w:t>
            </w:r>
            <w:r w:rsidR="000E51D6">
              <w:t xml:space="preserve"> </w:t>
            </w:r>
            <w:r w:rsidRPr="007C24E8">
              <w:t>essais</w:t>
            </w:r>
          </w:p>
        </w:tc>
        <w:tc>
          <w:tcPr>
            <w:tcW w:w="1559" w:type="dxa"/>
            <w:shd w:val="clear" w:color="auto" w:fill="auto"/>
            <w:tcMar>
              <w:left w:w="0" w:type="dxa"/>
              <w:right w:w="0" w:type="dxa"/>
            </w:tcMar>
          </w:tcPr>
          <w:p w14:paraId="03CB518E" w14:textId="77777777" w:rsidR="005E3367" w:rsidRPr="007C24E8" w:rsidRDefault="005E3367" w:rsidP="004A6A39">
            <w:pPr>
              <w:tabs>
                <w:tab w:val="left" w:pos="1418"/>
                <w:tab w:val="left" w:pos="1843"/>
              </w:tabs>
              <w:spacing w:before="60" w:after="60"/>
              <w:ind w:left="57" w:right="57"/>
            </w:pPr>
            <w:r w:rsidRPr="007C24E8">
              <w:t>Jusqu’au 31 décembre 2014</w:t>
            </w:r>
          </w:p>
        </w:tc>
      </w:tr>
      <w:tr w:rsidR="005E3367" w:rsidRPr="007C24E8" w14:paraId="02E1C33A" w14:textId="77777777" w:rsidTr="004A6A39">
        <w:tc>
          <w:tcPr>
            <w:tcW w:w="1820" w:type="dxa"/>
            <w:shd w:val="clear" w:color="auto" w:fill="auto"/>
            <w:tcMar>
              <w:left w:w="0" w:type="dxa"/>
              <w:right w:w="0" w:type="dxa"/>
            </w:tcMar>
          </w:tcPr>
          <w:p w14:paraId="03D4599D" w14:textId="77777777" w:rsidR="005E3367" w:rsidRPr="007C24E8" w:rsidRDefault="005E3367" w:rsidP="004A6A39">
            <w:pPr>
              <w:tabs>
                <w:tab w:val="left" w:pos="1418"/>
                <w:tab w:val="left" w:pos="1843"/>
              </w:tabs>
              <w:spacing w:before="60" w:after="60"/>
              <w:ind w:left="57" w:right="57"/>
            </w:pPr>
            <w:r w:rsidRPr="007C24E8">
              <w:t>EN ISO 11117</w:t>
            </w:r>
            <w:r w:rsidR="004E3C2D" w:rsidRPr="007C24E8">
              <w:t>:</w:t>
            </w:r>
            <w:r w:rsidRPr="007C24E8">
              <w:t>2008 + Cor 1</w:t>
            </w:r>
            <w:r w:rsidR="00110257" w:rsidRPr="007C24E8">
              <w:t>:20</w:t>
            </w:r>
            <w:r w:rsidRPr="007C24E8">
              <w:t>09</w:t>
            </w:r>
          </w:p>
        </w:tc>
        <w:tc>
          <w:tcPr>
            <w:tcW w:w="4950" w:type="dxa"/>
            <w:shd w:val="clear" w:color="auto" w:fill="auto"/>
            <w:tcMar>
              <w:left w:w="0" w:type="dxa"/>
              <w:right w:w="0" w:type="dxa"/>
            </w:tcMar>
          </w:tcPr>
          <w:p w14:paraId="047E8387" w14:textId="77777777" w:rsidR="005E3367" w:rsidRPr="007C24E8" w:rsidRDefault="005E3367" w:rsidP="004A6A39">
            <w:pPr>
              <w:tabs>
                <w:tab w:val="left" w:pos="1418"/>
                <w:tab w:val="left" w:pos="1843"/>
              </w:tabs>
              <w:spacing w:before="60" w:after="60"/>
              <w:ind w:left="57" w:right="57"/>
            </w:pPr>
            <w:r w:rsidRPr="007C24E8">
              <w:t>Bouteilles à gaz − Chapeaux fermés et chapeaux ouverts de protection des robinets − Conception, construction et essais</w:t>
            </w:r>
          </w:p>
        </w:tc>
        <w:tc>
          <w:tcPr>
            <w:tcW w:w="1559" w:type="dxa"/>
            <w:shd w:val="clear" w:color="auto" w:fill="auto"/>
            <w:tcMar>
              <w:left w:w="0" w:type="dxa"/>
              <w:right w:w="0" w:type="dxa"/>
            </w:tcMar>
          </w:tcPr>
          <w:p w14:paraId="04887AF5" w14:textId="77777777" w:rsidR="005E3367" w:rsidRPr="007C24E8" w:rsidRDefault="005E3367" w:rsidP="004A6A39">
            <w:pPr>
              <w:tabs>
                <w:tab w:val="left" w:pos="1418"/>
                <w:tab w:val="left" w:pos="1843"/>
              </w:tabs>
              <w:spacing w:before="60" w:after="60"/>
              <w:ind w:left="57" w:right="57"/>
            </w:pPr>
            <w:r w:rsidRPr="007C24E8">
              <w:t>Jusqu’au 31 décembre 2024</w:t>
            </w:r>
          </w:p>
        </w:tc>
      </w:tr>
      <w:tr w:rsidR="005E3367" w:rsidRPr="007C24E8" w14:paraId="7A52DB9E" w14:textId="77777777" w:rsidTr="004A6A39">
        <w:tc>
          <w:tcPr>
            <w:tcW w:w="1820" w:type="dxa"/>
            <w:shd w:val="clear" w:color="auto" w:fill="auto"/>
            <w:tcMar>
              <w:left w:w="0" w:type="dxa"/>
              <w:right w:w="0" w:type="dxa"/>
            </w:tcMar>
          </w:tcPr>
          <w:p w14:paraId="2A0B40B8" w14:textId="77777777" w:rsidR="005E3367" w:rsidRPr="007C24E8" w:rsidRDefault="005E3367" w:rsidP="004A6A39">
            <w:pPr>
              <w:tabs>
                <w:tab w:val="left" w:pos="1418"/>
                <w:tab w:val="left" w:pos="1843"/>
              </w:tabs>
              <w:spacing w:before="60" w:after="60"/>
              <w:ind w:left="57" w:right="57"/>
              <w:rPr>
                <w:bCs/>
              </w:rPr>
            </w:pPr>
            <w:r w:rsidRPr="007C24E8">
              <w:rPr>
                <w:bCs/>
              </w:rPr>
              <w:t>EN ISO 11117</w:t>
            </w:r>
            <w:r w:rsidR="00110257" w:rsidRPr="007C24E8">
              <w:rPr>
                <w:bCs/>
              </w:rPr>
              <w:t>:20</w:t>
            </w:r>
            <w:r w:rsidRPr="007C24E8">
              <w:rPr>
                <w:bCs/>
              </w:rPr>
              <w:t>19</w:t>
            </w:r>
          </w:p>
        </w:tc>
        <w:tc>
          <w:tcPr>
            <w:tcW w:w="4950" w:type="dxa"/>
            <w:shd w:val="clear" w:color="auto" w:fill="auto"/>
            <w:tcMar>
              <w:left w:w="0" w:type="dxa"/>
              <w:right w:w="0" w:type="dxa"/>
            </w:tcMar>
          </w:tcPr>
          <w:p w14:paraId="0CBE929D" w14:textId="77777777" w:rsidR="005E3367" w:rsidRPr="007C24E8" w:rsidRDefault="005E3367" w:rsidP="004A6A39">
            <w:pPr>
              <w:tabs>
                <w:tab w:val="left" w:pos="1418"/>
                <w:tab w:val="left" w:pos="1843"/>
              </w:tabs>
              <w:spacing w:before="60" w:after="60"/>
              <w:ind w:left="57" w:right="57"/>
              <w:rPr>
                <w:bCs/>
              </w:rPr>
            </w:pPr>
            <w:r w:rsidRPr="007C24E8">
              <w:rPr>
                <w:bCs/>
              </w:rPr>
              <w:t>Bouteilles à gaz − Chapeaux fermés et chapeaux ouverts de protection − Conception, construction et essais</w:t>
            </w:r>
          </w:p>
        </w:tc>
        <w:tc>
          <w:tcPr>
            <w:tcW w:w="1559" w:type="dxa"/>
            <w:shd w:val="clear" w:color="auto" w:fill="auto"/>
            <w:tcMar>
              <w:left w:w="0" w:type="dxa"/>
              <w:right w:w="0" w:type="dxa"/>
            </w:tcMar>
          </w:tcPr>
          <w:p w14:paraId="060B4B42" w14:textId="77777777" w:rsidR="005E3367" w:rsidRPr="007C24E8" w:rsidRDefault="005E3367" w:rsidP="004A6A39">
            <w:pPr>
              <w:tabs>
                <w:tab w:val="left" w:pos="1418"/>
                <w:tab w:val="left" w:pos="1843"/>
              </w:tabs>
              <w:spacing w:before="60" w:after="60"/>
              <w:ind w:left="57" w:right="57"/>
              <w:rPr>
                <w:bCs/>
              </w:rPr>
            </w:pPr>
            <w:r w:rsidRPr="007C24E8">
              <w:rPr>
                <w:bCs/>
              </w:rPr>
              <w:t>Jusqu’à nouvel ordre</w:t>
            </w:r>
          </w:p>
        </w:tc>
      </w:tr>
      <w:tr w:rsidR="005E3367" w:rsidRPr="007C24E8" w14:paraId="725E85C0" w14:textId="77777777" w:rsidTr="004A6A39">
        <w:tc>
          <w:tcPr>
            <w:tcW w:w="1820" w:type="dxa"/>
            <w:shd w:val="clear" w:color="auto" w:fill="auto"/>
            <w:tcMar>
              <w:left w:w="0" w:type="dxa"/>
              <w:right w:w="0" w:type="dxa"/>
            </w:tcMar>
          </w:tcPr>
          <w:p w14:paraId="57C048E3" w14:textId="77777777" w:rsidR="005E3367" w:rsidRPr="007C24E8" w:rsidRDefault="005E3367" w:rsidP="004A6A39">
            <w:pPr>
              <w:tabs>
                <w:tab w:val="left" w:pos="1418"/>
                <w:tab w:val="left" w:pos="1843"/>
              </w:tabs>
              <w:spacing w:before="60" w:after="60"/>
              <w:ind w:left="57" w:right="57"/>
            </w:pPr>
            <w:r w:rsidRPr="007C24E8">
              <w:t>EN 962</w:t>
            </w:r>
            <w:r w:rsidR="004E3C2D" w:rsidRPr="007C24E8">
              <w:t>:</w:t>
            </w:r>
            <w:r w:rsidRPr="007C24E8">
              <w:t>1996 +A2</w:t>
            </w:r>
            <w:r w:rsidR="00110257" w:rsidRPr="007C24E8">
              <w:t>:20</w:t>
            </w:r>
            <w:r w:rsidRPr="007C24E8">
              <w:t>00</w:t>
            </w:r>
          </w:p>
        </w:tc>
        <w:tc>
          <w:tcPr>
            <w:tcW w:w="4950" w:type="dxa"/>
            <w:shd w:val="clear" w:color="auto" w:fill="auto"/>
            <w:tcMar>
              <w:left w:w="0" w:type="dxa"/>
              <w:right w:w="0" w:type="dxa"/>
            </w:tcMar>
          </w:tcPr>
          <w:p w14:paraId="06B91C7D" w14:textId="77777777" w:rsidR="005E3367" w:rsidRPr="000E51D6" w:rsidRDefault="005E3367" w:rsidP="004A6A39">
            <w:pPr>
              <w:tabs>
                <w:tab w:val="left" w:pos="1418"/>
                <w:tab w:val="left" w:pos="1843"/>
              </w:tabs>
              <w:spacing w:before="60" w:after="60"/>
              <w:ind w:left="57" w:right="57"/>
              <w:rPr>
                <w:spacing w:val="-2"/>
              </w:rPr>
            </w:pPr>
            <w:r w:rsidRPr="000E51D6">
              <w:rPr>
                <w:spacing w:val="-2"/>
              </w:rPr>
              <w:t>Bouteilles à gaz transportables − Chapeaux fermés et chapeaux ouverts de protection des robinets de bouteilles à gaz industriels et médicaux − Conception, construction et essais</w:t>
            </w:r>
          </w:p>
        </w:tc>
        <w:tc>
          <w:tcPr>
            <w:tcW w:w="1559" w:type="dxa"/>
            <w:shd w:val="clear" w:color="auto" w:fill="auto"/>
            <w:tcMar>
              <w:left w:w="0" w:type="dxa"/>
              <w:right w:w="0" w:type="dxa"/>
            </w:tcMar>
          </w:tcPr>
          <w:p w14:paraId="068689BB" w14:textId="77777777" w:rsidR="005E3367" w:rsidRPr="007C24E8" w:rsidRDefault="005E3367" w:rsidP="004A6A39">
            <w:pPr>
              <w:tabs>
                <w:tab w:val="left" w:pos="1418"/>
                <w:tab w:val="left" w:pos="1843"/>
              </w:tabs>
              <w:spacing w:before="60" w:after="60"/>
              <w:ind w:left="57" w:right="57"/>
            </w:pPr>
            <w:r w:rsidRPr="007C24E8">
              <w:t>Jusqu’au 31 décembre 2014</w:t>
            </w:r>
          </w:p>
        </w:tc>
      </w:tr>
    </w:tbl>
    <w:p w14:paraId="2F3E0725" w14:textId="77777777" w:rsidR="005E3367" w:rsidRPr="007C24E8" w:rsidRDefault="005E3367" w:rsidP="005E3367">
      <w:pPr>
        <w:spacing w:before="120" w:after="120"/>
        <w:ind w:left="1134"/>
        <w:rPr>
          <w:i/>
          <w:iCs/>
        </w:rPr>
      </w:pPr>
      <w:r w:rsidRPr="007C24E8">
        <w:rPr>
          <w:i/>
          <w:iCs/>
        </w:rPr>
        <w:t>(Document</w:t>
      </w:r>
      <w:r w:rsidR="005A12ED">
        <w:rPr>
          <w:i/>
          <w:iCs/>
        </w:rPr>
        <w:t>s</w:t>
      </w:r>
      <w:r w:rsidRPr="007C24E8">
        <w:rPr>
          <w:i/>
          <w:iCs/>
        </w:rPr>
        <w:t xml:space="preserve"> de référence</w:t>
      </w:r>
      <w:r w:rsidR="004E3C2D" w:rsidRPr="007C24E8">
        <w:rPr>
          <w:iCs/>
        </w:rPr>
        <w:t> :</w:t>
      </w:r>
      <w:r w:rsidRPr="007C24E8">
        <w:rPr>
          <w:i/>
          <w:iCs/>
        </w:rPr>
        <w:t xml:space="preserve"> ECE/TRANS/WP.15/AC.1/2020/46</w:t>
      </w:r>
      <w:r w:rsidR="000E51D6">
        <w:rPr>
          <w:i/>
          <w:iCs/>
        </w:rPr>
        <w:t>,</w:t>
      </w:r>
      <w:r w:rsidRPr="007C24E8">
        <w:rPr>
          <w:i/>
          <w:iCs/>
        </w:rPr>
        <w:t xml:space="preserve"> tel que modifié</w:t>
      </w:r>
      <w:r w:rsidR="000E51D6">
        <w:rPr>
          <w:i/>
          <w:iCs/>
        </w:rPr>
        <w:t>,</w:t>
      </w:r>
      <w:r w:rsidRPr="007C24E8">
        <w:rPr>
          <w:i/>
          <w:iCs/>
        </w:rPr>
        <w:t xml:space="preserve"> et document </w:t>
      </w:r>
      <w:r w:rsidR="009B1F20" w:rsidRPr="007C24E8">
        <w:rPr>
          <w:i/>
          <w:iCs/>
        </w:rPr>
        <w:t xml:space="preserve">informel </w:t>
      </w:r>
      <w:r w:rsidRPr="007C24E8">
        <w:rPr>
          <w:i/>
          <w:iCs/>
        </w:rPr>
        <w:t>INF.53/Rev.2)</w:t>
      </w:r>
    </w:p>
    <w:p w14:paraId="79A4DB99" w14:textId="77777777" w:rsidR="005E3367" w:rsidRPr="007C24E8" w:rsidRDefault="005E3367" w:rsidP="004A6A39">
      <w:pPr>
        <w:pStyle w:val="H23G"/>
      </w:pPr>
      <w:r w:rsidRPr="007C24E8">
        <w:tab/>
      </w:r>
      <w:r w:rsidRPr="007C24E8">
        <w:tab/>
        <w:t>Chapitre 4.3</w:t>
      </w:r>
    </w:p>
    <w:p w14:paraId="44896F86" w14:textId="77777777" w:rsidR="005E3367" w:rsidRPr="007C24E8" w:rsidRDefault="005E3367" w:rsidP="004A6A39">
      <w:pPr>
        <w:pStyle w:val="SingleTxtG"/>
        <w:keepLines/>
      </w:pPr>
      <w:r w:rsidRPr="007C24E8">
        <w:t>(ADR</w:t>
      </w:r>
      <w:r w:rsidR="004E3C2D" w:rsidRPr="007C24E8">
        <w:t> :</w:t>
      </w:r>
      <w:r w:rsidRPr="007C24E8">
        <w:t>)</w:t>
      </w:r>
    </w:p>
    <w:p w14:paraId="678833BB" w14:textId="77777777" w:rsidR="005E3367" w:rsidRPr="007C24E8" w:rsidRDefault="005E3367" w:rsidP="005E3367">
      <w:pPr>
        <w:pStyle w:val="SingleTxtG"/>
        <w:keepNext/>
        <w:keepLines/>
      </w:pPr>
      <w:r w:rsidRPr="007C24E8">
        <w:t>4.3.3.3.2</w:t>
      </w:r>
      <w:r w:rsidRPr="007C24E8">
        <w:tab/>
        <w:t xml:space="preserve">Supprimer et ajouter </w:t>
      </w:r>
      <w:r w:rsidR="004A6A39" w:rsidRPr="007C24E8">
        <w:t>« </w:t>
      </w:r>
      <w:r w:rsidRPr="007C24E8">
        <w:t>4.3.3.3.2 (Supprimé)</w:t>
      </w:r>
      <w:r w:rsidR="004A6A39" w:rsidRPr="007C24E8">
        <w:t> »</w:t>
      </w:r>
      <w:r w:rsidRPr="007C24E8">
        <w:t>.</w:t>
      </w:r>
    </w:p>
    <w:p w14:paraId="6F3574C8" w14:textId="77777777" w:rsidR="005E3367" w:rsidRPr="007C24E8" w:rsidRDefault="005E3367" w:rsidP="004A6A39">
      <w:pPr>
        <w:pStyle w:val="SingleTxtG"/>
        <w:keepNext/>
      </w:pPr>
      <w:r w:rsidRPr="007C24E8">
        <w:t>(RID</w:t>
      </w:r>
      <w:r w:rsidR="004E3C2D" w:rsidRPr="007C24E8">
        <w:t> :</w:t>
      </w:r>
      <w:r w:rsidRPr="007C24E8">
        <w:t>)</w:t>
      </w:r>
    </w:p>
    <w:p w14:paraId="70CE136A" w14:textId="77777777" w:rsidR="005E3367" w:rsidRPr="007C24E8" w:rsidRDefault="005E3367" w:rsidP="005E3367">
      <w:pPr>
        <w:pStyle w:val="SingleTxtG"/>
        <w:ind w:left="2268" w:hanging="1134"/>
      </w:pPr>
      <w:r w:rsidRPr="007C24E8">
        <w:t>4.3.3.3.2</w:t>
      </w:r>
      <w:r w:rsidRPr="007C24E8">
        <w:tab/>
        <w:t xml:space="preserve">[Placer le texte existant dans la colonne de gauche. Remplacer </w:t>
      </w:r>
      <w:r w:rsidR="004A6A39" w:rsidRPr="007C24E8">
        <w:t>« </w:t>
      </w:r>
      <w:r w:rsidRPr="007C24E8">
        <w:t>Lors de la remise au transport des citernes, wagons-batterie ou CGE</w:t>
      </w:r>
      <w:r w:rsidR="004A6A39" w:rsidRPr="007C24E8">
        <w:t> »</w:t>
      </w:r>
      <w:r w:rsidRPr="007C24E8">
        <w:t xml:space="preserve"> par </w:t>
      </w:r>
      <w:r w:rsidR="004A6A39" w:rsidRPr="007C24E8">
        <w:t>« </w:t>
      </w:r>
      <w:r w:rsidRPr="007C24E8">
        <w:t>Lors de la remise au transport des citernes ou wagons-batterie</w:t>
      </w:r>
      <w:r w:rsidR="004A6A39" w:rsidRPr="007C24E8">
        <w:t> »</w:t>
      </w:r>
      <w:r w:rsidRPr="007C24E8">
        <w:t>.]</w:t>
      </w:r>
    </w:p>
    <w:p w14:paraId="2CCBC5F7" w14:textId="77777777" w:rsidR="005E3367" w:rsidRPr="007C24E8" w:rsidRDefault="005E3367" w:rsidP="000E51D6">
      <w:pPr>
        <w:pStyle w:val="SingleTxtG"/>
        <w:ind w:left="2268"/>
      </w:pPr>
      <w:r w:rsidRPr="007C24E8">
        <w:t xml:space="preserve">Dans la colonne de droite, insérer </w:t>
      </w:r>
      <w:r w:rsidR="004A6A39" w:rsidRPr="007C24E8">
        <w:t>« </w:t>
      </w:r>
      <w:r w:rsidRPr="007C24E8">
        <w:rPr>
          <w:i/>
          <w:iCs/>
        </w:rPr>
        <w:t>(Supprimé)</w:t>
      </w:r>
      <w:r w:rsidR="004A6A39" w:rsidRPr="007C24E8">
        <w:t> »</w:t>
      </w:r>
      <w:r w:rsidRPr="007C24E8">
        <w:t>.</w:t>
      </w:r>
    </w:p>
    <w:p w14:paraId="20766355" w14:textId="77777777" w:rsidR="005E3367" w:rsidRPr="007C24E8" w:rsidRDefault="005E3367" w:rsidP="005E3367">
      <w:pPr>
        <w:pStyle w:val="SingleTxtG"/>
        <w:rPr>
          <w:i/>
          <w:iCs/>
        </w:rPr>
      </w:pPr>
      <w:r w:rsidRPr="007C24E8">
        <w:rPr>
          <w:rStyle w:val="tlid-translation"/>
          <w:i/>
          <w:iCs/>
        </w:rPr>
        <w:t>(Documents de référence</w:t>
      </w:r>
      <w:r w:rsidR="004E3C2D" w:rsidRPr="007C24E8">
        <w:rPr>
          <w:rStyle w:val="tlid-translation"/>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 et ECE/TRANS/WP.15/AC.1/</w:t>
      </w:r>
      <w:r w:rsidR="005A12ED">
        <w:rPr>
          <w:rStyle w:val="tlid-translation"/>
          <w:i/>
          <w:iCs/>
        </w:rPr>
        <w:t xml:space="preserve"> </w:t>
      </w:r>
      <w:r w:rsidRPr="007C24E8">
        <w:rPr>
          <w:rStyle w:val="tlid-translation"/>
          <w:i/>
          <w:iCs/>
        </w:rPr>
        <w:t>2020/26)</w:t>
      </w:r>
    </w:p>
    <w:p w14:paraId="78CD7C1B" w14:textId="77777777" w:rsidR="005E3367" w:rsidRPr="007C24E8" w:rsidRDefault="005E3367" w:rsidP="004A6A39">
      <w:pPr>
        <w:pStyle w:val="H23G"/>
      </w:pPr>
      <w:r w:rsidRPr="007C24E8">
        <w:tab/>
      </w:r>
      <w:r w:rsidRPr="007C24E8">
        <w:tab/>
        <w:t>Chapitre 5.3</w:t>
      </w:r>
    </w:p>
    <w:p w14:paraId="7E1F1BE7" w14:textId="77777777" w:rsidR="005E3367" w:rsidRPr="007C24E8" w:rsidRDefault="005E3367" w:rsidP="005E3367">
      <w:pPr>
        <w:pStyle w:val="SingleTxtG"/>
        <w:spacing w:after="240"/>
        <w:ind w:left="2259" w:hanging="1125"/>
      </w:pPr>
      <w:r w:rsidRPr="007C24E8">
        <w:t>5.3.2.1.5</w:t>
      </w:r>
      <w:r w:rsidRPr="007C24E8">
        <w:tab/>
        <w:t>Modifier le nota comme suit</w:t>
      </w:r>
      <w:r w:rsidR="004E3C2D" w:rsidRPr="007C24E8">
        <w:t> :</w:t>
      </w:r>
    </w:p>
    <w:p w14:paraId="0A7E761E" w14:textId="77777777" w:rsidR="005E3367" w:rsidRPr="007C24E8" w:rsidRDefault="004A6A39" w:rsidP="005E3367">
      <w:pPr>
        <w:pStyle w:val="SingleTxtG"/>
        <w:rPr>
          <w:i/>
          <w:iCs/>
        </w:rPr>
      </w:pPr>
      <w:r w:rsidRPr="007C24E8">
        <w:t>« </w:t>
      </w:r>
      <w:r w:rsidR="005E3367" w:rsidRPr="007C24E8">
        <w:rPr>
          <w:b/>
          <w:bCs/>
          <w:i/>
          <w:iCs/>
        </w:rPr>
        <w:t>NOTA</w:t>
      </w:r>
      <w:r w:rsidR="004E3C2D" w:rsidRPr="007C24E8">
        <w:rPr>
          <w:bCs/>
          <w:iCs/>
        </w:rPr>
        <w:t> :</w:t>
      </w:r>
      <w:r w:rsidR="005E3367" w:rsidRPr="007C24E8">
        <w:rPr>
          <w:i/>
          <w:iCs/>
        </w:rPr>
        <w:tab/>
        <w:t xml:space="preserve">Il n’est pas nécessaire d’appliquer ce </w:t>
      </w:r>
      <w:r w:rsidR="009B1F20" w:rsidRPr="007C24E8">
        <w:rPr>
          <w:i/>
          <w:iCs/>
        </w:rPr>
        <w:t xml:space="preserve">paragraphe </w:t>
      </w:r>
      <w:r w:rsidR="005E3367" w:rsidRPr="007C24E8">
        <w:rPr>
          <w:i/>
          <w:iCs/>
        </w:rPr>
        <w:t>aux wagons/véhicules transportant des conteneurs pour vrac, citernes ou CGEM d’une capacité maximale de 3</w:t>
      </w:r>
      <w:r w:rsidRPr="007C24E8">
        <w:rPr>
          <w:i/>
          <w:iCs/>
        </w:rPr>
        <w:t> </w:t>
      </w:r>
      <w:r w:rsidR="005E3367" w:rsidRPr="007C24E8">
        <w:rPr>
          <w:i/>
          <w:iCs/>
        </w:rPr>
        <w:t>000 litres.</w:t>
      </w:r>
      <w:r w:rsidRPr="007C24E8">
        <w:t> »</w:t>
      </w:r>
      <w:r w:rsidR="005E3367" w:rsidRPr="007C24E8">
        <w:t>.</w:t>
      </w:r>
    </w:p>
    <w:p w14:paraId="3086007E"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INF.61, tel que modifié)</w:t>
      </w:r>
    </w:p>
    <w:p w14:paraId="1FCD9FF7" w14:textId="77777777" w:rsidR="005E3367" w:rsidRPr="007C24E8" w:rsidRDefault="005E3367" w:rsidP="004A6A39">
      <w:pPr>
        <w:pStyle w:val="H23G"/>
      </w:pPr>
      <w:r w:rsidRPr="007C24E8">
        <w:rPr>
          <w:i/>
          <w:iCs/>
        </w:rPr>
        <w:tab/>
      </w:r>
      <w:r w:rsidRPr="007C24E8">
        <w:tab/>
        <w:t>Chapitre 6.2</w:t>
      </w:r>
    </w:p>
    <w:p w14:paraId="2E7E976E" w14:textId="77777777" w:rsidR="005E3367" w:rsidRPr="007C24E8" w:rsidRDefault="005E3367" w:rsidP="005E3367">
      <w:pPr>
        <w:pStyle w:val="SingleTxtG"/>
        <w:spacing w:after="240"/>
        <w:ind w:left="2259" w:hanging="1125"/>
      </w:pPr>
      <w:r w:rsidRPr="007C24E8">
        <w:t>6.2.3.5.1</w:t>
      </w:r>
      <w:r w:rsidRPr="007C24E8">
        <w:tab/>
        <w:t xml:space="preserve">Dans le NOTA 2, remplacer </w:t>
      </w:r>
      <w:r w:rsidR="004A6A39" w:rsidRPr="007C24E8">
        <w:t>« </w:t>
      </w:r>
      <w:r w:rsidRPr="007C24E8">
        <w:t>EN ISO 16148</w:t>
      </w:r>
      <w:r w:rsidR="00110257" w:rsidRPr="007C24E8">
        <w:t>:20</w:t>
      </w:r>
      <w:r w:rsidRPr="007C24E8">
        <w:t>16</w:t>
      </w:r>
      <w:r w:rsidR="004A6A39" w:rsidRPr="007C24E8">
        <w:t> »</w:t>
      </w:r>
      <w:r w:rsidRPr="007C24E8">
        <w:t xml:space="preserve"> par </w:t>
      </w:r>
      <w:r w:rsidR="004A6A39" w:rsidRPr="007C24E8">
        <w:t>« </w:t>
      </w:r>
      <w:r w:rsidRPr="007C24E8">
        <w:t>EN ISO 16148</w:t>
      </w:r>
      <w:r w:rsidR="00110257" w:rsidRPr="007C24E8">
        <w:t>:20</w:t>
      </w:r>
      <w:r w:rsidRPr="007C24E8">
        <w:t>16 + A1</w:t>
      </w:r>
      <w:r w:rsidR="00110257" w:rsidRPr="007C24E8">
        <w:t>:20</w:t>
      </w:r>
      <w:r w:rsidRPr="007C24E8">
        <w:t>20</w:t>
      </w:r>
      <w:r w:rsidR="004A6A39" w:rsidRPr="007C24E8">
        <w:t> »</w:t>
      </w:r>
      <w:r w:rsidRPr="007C24E8">
        <w:t>.</w:t>
      </w:r>
    </w:p>
    <w:p w14:paraId="4984227D"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INF.53/Rev.2)</w:t>
      </w:r>
    </w:p>
    <w:p w14:paraId="6D2BF2D8" w14:textId="77777777" w:rsidR="005E3367" w:rsidRPr="007C24E8" w:rsidRDefault="005E3367" w:rsidP="004A6A39">
      <w:pPr>
        <w:pStyle w:val="SingleTxtG"/>
        <w:ind w:left="2268" w:hanging="1134"/>
      </w:pPr>
      <w:r w:rsidRPr="007C24E8">
        <w:t>6.2.4.1</w:t>
      </w:r>
      <w:r w:rsidRPr="007C24E8">
        <w:tab/>
        <w:t xml:space="preserve">Dans le tableau, sous </w:t>
      </w:r>
      <w:r w:rsidR="004A6A39" w:rsidRPr="007C24E8">
        <w:t>« </w:t>
      </w:r>
      <w:r w:rsidRPr="007C24E8">
        <w:t>pour la construction et la fabrication</w:t>
      </w:r>
      <w:r w:rsidR="004A6A39" w:rsidRPr="007C24E8">
        <w:t> »</w:t>
      </w:r>
      <w:r w:rsidRPr="007C24E8">
        <w:t>, ajouter la nouvelle ligne suivante</w:t>
      </w:r>
      <w:r w:rsidR="004E3C2D" w:rsidRPr="007C24E8">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3"/>
        <w:gridCol w:w="3625"/>
        <w:gridCol w:w="1394"/>
        <w:gridCol w:w="976"/>
        <w:gridCol w:w="837"/>
      </w:tblGrid>
      <w:tr w:rsidR="005E3367" w:rsidRPr="007C24E8" w14:paraId="5173EF6E" w14:textId="77777777" w:rsidTr="004A6A39">
        <w:tc>
          <w:tcPr>
            <w:tcW w:w="1701" w:type="dxa"/>
            <w:vAlign w:val="center"/>
          </w:tcPr>
          <w:p w14:paraId="4A1035B7" w14:textId="77777777" w:rsidR="005E3367" w:rsidRPr="007C24E8" w:rsidRDefault="005E3367" w:rsidP="004A6A39">
            <w:pPr>
              <w:widowControl w:val="0"/>
              <w:spacing w:before="60" w:after="60"/>
              <w:ind w:left="57" w:right="57"/>
            </w:pPr>
            <w:r w:rsidRPr="007C24E8">
              <w:t>EN 17339</w:t>
            </w:r>
            <w:r w:rsidR="00110257" w:rsidRPr="007C24E8">
              <w:t>:20</w:t>
            </w:r>
            <w:r w:rsidRPr="007C24E8">
              <w:t>20</w:t>
            </w:r>
          </w:p>
        </w:tc>
        <w:tc>
          <w:tcPr>
            <w:tcW w:w="3686" w:type="dxa"/>
          </w:tcPr>
          <w:p w14:paraId="6AE98106" w14:textId="77777777" w:rsidR="005E3367" w:rsidRPr="007C24E8" w:rsidRDefault="005E3367" w:rsidP="004A6A39">
            <w:pPr>
              <w:widowControl w:val="0"/>
              <w:spacing w:before="60" w:after="60"/>
              <w:ind w:left="57" w:right="57"/>
            </w:pPr>
            <w:r w:rsidRPr="007C24E8">
              <w:t xml:space="preserve">Bouteilles à gaz transportables </w:t>
            </w:r>
            <w:r w:rsidR="004A6A39" w:rsidRPr="007C24E8">
              <w:t>−</w:t>
            </w:r>
            <w:r w:rsidRPr="007C24E8">
              <w:t xml:space="preserve"> Bouteilles et tubes entièrement bobinées en matériaux composites carbones pour l’hydrogène</w:t>
            </w:r>
          </w:p>
        </w:tc>
        <w:tc>
          <w:tcPr>
            <w:tcW w:w="1417" w:type="dxa"/>
            <w:vAlign w:val="center"/>
          </w:tcPr>
          <w:p w14:paraId="1B07B154" w14:textId="77777777" w:rsidR="005E3367" w:rsidRPr="007C24E8" w:rsidRDefault="005E3367" w:rsidP="004A6A39">
            <w:pPr>
              <w:widowControl w:val="0"/>
              <w:spacing w:before="60" w:after="60"/>
              <w:ind w:left="57" w:right="57"/>
            </w:pPr>
            <w:r w:rsidRPr="007C24E8">
              <w:t>6.2.3.1 et 6.2.3.4</w:t>
            </w:r>
          </w:p>
        </w:tc>
        <w:tc>
          <w:tcPr>
            <w:tcW w:w="992" w:type="dxa"/>
            <w:vAlign w:val="center"/>
          </w:tcPr>
          <w:p w14:paraId="112A9798" w14:textId="77777777" w:rsidR="005E3367" w:rsidRPr="007C24E8" w:rsidRDefault="005E3367" w:rsidP="004A6A39">
            <w:pPr>
              <w:widowControl w:val="0"/>
              <w:spacing w:before="60" w:after="60"/>
              <w:ind w:left="57" w:right="57"/>
            </w:pPr>
            <w:r w:rsidRPr="007C24E8">
              <w:t>Jusqu’à nouvel ordre</w:t>
            </w:r>
          </w:p>
        </w:tc>
        <w:tc>
          <w:tcPr>
            <w:tcW w:w="851" w:type="dxa"/>
            <w:vAlign w:val="center"/>
          </w:tcPr>
          <w:p w14:paraId="2A065EEA" w14:textId="77777777" w:rsidR="005E3367" w:rsidRPr="007C24E8" w:rsidRDefault="005E3367" w:rsidP="004A6A39">
            <w:pPr>
              <w:widowControl w:val="0"/>
              <w:spacing w:before="60" w:after="60"/>
              <w:ind w:left="57" w:right="57"/>
            </w:pPr>
          </w:p>
        </w:tc>
      </w:tr>
    </w:tbl>
    <w:p w14:paraId="67B5202E" w14:textId="77777777" w:rsidR="005E3367" w:rsidRPr="007C24E8" w:rsidRDefault="005E3367" w:rsidP="004A6A39">
      <w:pPr>
        <w:pStyle w:val="SingleTxtG"/>
        <w:spacing w:before="120"/>
        <w:ind w:left="2268"/>
      </w:pPr>
      <w:r w:rsidRPr="007C24E8">
        <w:t xml:space="preserve">Dans le tableau, sous </w:t>
      </w:r>
      <w:r w:rsidR="000E51D6">
        <w:t>« </w:t>
      </w:r>
      <w:r w:rsidRPr="007C24E8">
        <w:t>Pour les fermetures</w:t>
      </w:r>
      <w:r w:rsidR="000E51D6">
        <w:t> »</w:t>
      </w:r>
      <w:r w:rsidR="004E3C2D" w:rsidRPr="007C24E8">
        <w:t> :</w:t>
      </w:r>
    </w:p>
    <w:p w14:paraId="2AA08105" w14:textId="77777777" w:rsidR="005E3367" w:rsidRPr="007C24E8" w:rsidRDefault="005E3367" w:rsidP="004A6A39">
      <w:pPr>
        <w:pStyle w:val="Bullet2G"/>
      </w:pPr>
      <w:r w:rsidRPr="007C24E8">
        <w:t xml:space="preserve">Pour </w:t>
      </w:r>
      <w:r w:rsidR="004A6A39" w:rsidRPr="007C24E8">
        <w:t>« </w:t>
      </w:r>
      <w:r w:rsidRPr="007C24E8">
        <w:t>EN 13175</w:t>
      </w:r>
      <w:r w:rsidR="00110257" w:rsidRPr="007C24E8">
        <w:t>:20</w:t>
      </w:r>
      <w:r w:rsidRPr="007C24E8">
        <w:t>19 (</w:t>
      </w:r>
      <w:bookmarkStart w:id="20" w:name="_Hlk55906603"/>
      <w:r w:rsidRPr="007C24E8">
        <w:t>sauf l’article 6.1.6</w:t>
      </w:r>
      <w:bookmarkEnd w:id="20"/>
      <w:r w:rsidRPr="007C24E8">
        <w:t>)</w:t>
      </w:r>
      <w:r w:rsidR="004A6A39" w:rsidRPr="007C24E8">
        <w:t> »</w:t>
      </w:r>
      <w:r w:rsidRPr="007C24E8">
        <w:t xml:space="preserve">, dans la colonne (4), remplacer </w:t>
      </w:r>
      <w:r w:rsidR="004A6A39" w:rsidRPr="007C24E8">
        <w:t>« </w:t>
      </w:r>
      <w:r w:rsidRPr="007C24E8">
        <w:t>Jusqu’à nouvel ordre</w:t>
      </w:r>
      <w:r w:rsidR="004A6A39" w:rsidRPr="007C24E8">
        <w:t> »</w:t>
      </w:r>
      <w:r w:rsidRPr="007C24E8">
        <w:t xml:space="preserve"> par </w:t>
      </w:r>
      <w:r w:rsidR="004A6A39" w:rsidRPr="007C24E8">
        <w:t>« </w:t>
      </w:r>
      <w:r w:rsidRPr="007C24E8">
        <w:t>Entre le 1</w:t>
      </w:r>
      <w:r w:rsidRPr="007C24E8">
        <w:rPr>
          <w:vertAlign w:val="superscript"/>
        </w:rPr>
        <w:t>er</w:t>
      </w:r>
      <w:r w:rsidR="004A6A39" w:rsidRPr="007C24E8">
        <w:t> </w:t>
      </w:r>
      <w:r w:rsidRPr="007C24E8">
        <w:t>janvier 2021 et le 31</w:t>
      </w:r>
      <w:r w:rsidR="004A6A39" w:rsidRPr="007C24E8">
        <w:t> </w:t>
      </w:r>
      <w:r w:rsidRPr="007C24E8">
        <w:t>décembre 2024</w:t>
      </w:r>
      <w:r w:rsidR="004A6A39" w:rsidRPr="007C24E8">
        <w:t> »</w:t>
      </w:r>
      <w:r w:rsidRPr="007C24E8">
        <w:t xml:space="preserve">. Après la ligne pour </w:t>
      </w:r>
      <w:r w:rsidR="004A6A39" w:rsidRPr="007C24E8">
        <w:t>« </w:t>
      </w:r>
      <w:r w:rsidRPr="007C24E8">
        <w:t>EN 13175</w:t>
      </w:r>
      <w:r w:rsidR="00110257" w:rsidRPr="007C24E8">
        <w:t>:20</w:t>
      </w:r>
      <w:r w:rsidRPr="007C24E8">
        <w:t>19 (sauf l’article 6.1.6)</w:t>
      </w:r>
      <w:r w:rsidR="004A6A39" w:rsidRPr="007C24E8">
        <w:t> »</w:t>
      </w:r>
      <w:r w:rsidRPr="007C24E8">
        <w:t>, ajouter la ligne suivante</w:t>
      </w:r>
      <w:r w:rsidR="004E3C2D" w:rsidRPr="007C24E8">
        <w:t> :</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3549"/>
        <w:gridCol w:w="1418"/>
        <w:gridCol w:w="992"/>
        <w:gridCol w:w="846"/>
      </w:tblGrid>
      <w:tr w:rsidR="005E3367" w:rsidRPr="007C24E8" w14:paraId="46DBFAF0" w14:textId="77777777" w:rsidTr="005A12ED">
        <w:tc>
          <w:tcPr>
            <w:tcW w:w="1701" w:type="dxa"/>
            <w:vAlign w:val="center"/>
          </w:tcPr>
          <w:p w14:paraId="6A825D67" w14:textId="77777777" w:rsidR="005E3367" w:rsidRPr="007C24E8" w:rsidRDefault="005E3367" w:rsidP="004A6A39">
            <w:pPr>
              <w:widowControl w:val="0"/>
              <w:spacing w:before="60" w:after="60"/>
              <w:ind w:left="57" w:right="57"/>
            </w:pPr>
            <w:r w:rsidRPr="007C24E8">
              <w:t>EN 13175</w:t>
            </w:r>
            <w:r w:rsidR="00110257" w:rsidRPr="007C24E8">
              <w:t>:20</w:t>
            </w:r>
            <w:r w:rsidRPr="007C24E8">
              <w:t>19 + A1</w:t>
            </w:r>
            <w:r w:rsidR="00110257" w:rsidRPr="007C24E8">
              <w:t>:20</w:t>
            </w:r>
            <w:r w:rsidRPr="007C24E8">
              <w:t>20</w:t>
            </w:r>
          </w:p>
        </w:tc>
        <w:tc>
          <w:tcPr>
            <w:tcW w:w="3549" w:type="dxa"/>
          </w:tcPr>
          <w:p w14:paraId="2646284A" w14:textId="77777777" w:rsidR="005E3367" w:rsidRPr="007C24E8" w:rsidRDefault="005E3367" w:rsidP="004A6A39">
            <w:pPr>
              <w:widowControl w:val="0"/>
              <w:spacing w:before="60" w:after="60"/>
              <w:ind w:left="57" w:right="57"/>
            </w:pPr>
            <w:r w:rsidRPr="007C24E8">
              <w:t xml:space="preserve">Équipements pour GPL et leurs accessoires </w:t>
            </w:r>
            <w:r w:rsidR="004A6A39" w:rsidRPr="007C24E8">
              <w:t>−</w:t>
            </w:r>
            <w:r w:rsidRPr="007C24E8">
              <w:t xml:space="preserve"> Spécifications et essais des équipements et accessoires des réservoirs pour gaz de pétrole liquéfié (GPL)</w:t>
            </w:r>
          </w:p>
        </w:tc>
        <w:tc>
          <w:tcPr>
            <w:tcW w:w="1418" w:type="dxa"/>
            <w:vAlign w:val="center"/>
          </w:tcPr>
          <w:p w14:paraId="6C8459A0" w14:textId="77777777" w:rsidR="005E3367" w:rsidRPr="007C24E8" w:rsidRDefault="005E3367" w:rsidP="004A6A39">
            <w:pPr>
              <w:widowControl w:val="0"/>
              <w:spacing w:before="60" w:after="60"/>
              <w:ind w:left="57" w:right="57"/>
            </w:pPr>
            <w:r w:rsidRPr="007C24E8">
              <w:t>6.2.3.1 et 6.2.3.3</w:t>
            </w:r>
          </w:p>
        </w:tc>
        <w:tc>
          <w:tcPr>
            <w:tcW w:w="992" w:type="dxa"/>
            <w:vAlign w:val="center"/>
          </w:tcPr>
          <w:p w14:paraId="2C6F388D" w14:textId="77777777" w:rsidR="005E3367" w:rsidRPr="007C24E8" w:rsidRDefault="005E3367" w:rsidP="004A6A39">
            <w:pPr>
              <w:widowControl w:val="0"/>
              <w:spacing w:before="60" w:after="60"/>
              <w:ind w:left="57" w:right="57"/>
            </w:pPr>
            <w:bookmarkStart w:id="21" w:name="_Hlk55984049"/>
            <w:r w:rsidRPr="007C24E8">
              <w:t>Jusqu’à nouvel ordre</w:t>
            </w:r>
            <w:bookmarkEnd w:id="21"/>
          </w:p>
        </w:tc>
        <w:tc>
          <w:tcPr>
            <w:tcW w:w="846" w:type="dxa"/>
            <w:vAlign w:val="center"/>
          </w:tcPr>
          <w:p w14:paraId="41D94294" w14:textId="77777777" w:rsidR="005E3367" w:rsidRPr="007C24E8" w:rsidRDefault="005E3367" w:rsidP="004A6A39">
            <w:pPr>
              <w:widowControl w:val="0"/>
              <w:spacing w:before="60" w:after="60"/>
              <w:ind w:left="57" w:right="57"/>
            </w:pPr>
          </w:p>
        </w:tc>
      </w:tr>
    </w:tbl>
    <w:p w14:paraId="0036947F" w14:textId="77777777" w:rsidR="005E3367" w:rsidRPr="007C24E8" w:rsidRDefault="004A6A39" w:rsidP="004A6A39">
      <w:pPr>
        <w:pStyle w:val="Bullet2G"/>
        <w:spacing w:before="120"/>
      </w:pPr>
      <w:r w:rsidRPr="007C24E8">
        <w:t>Pour</w:t>
      </w:r>
      <w:r w:rsidR="005E3367" w:rsidRPr="007C24E8">
        <w:t xml:space="preserve"> </w:t>
      </w:r>
      <w:r w:rsidRPr="007C24E8">
        <w:t>« </w:t>
      </w:r>
      <w:r w:rsidR="005E3367" w:rsidRPr="007C24E8">
        <w:t>EN 13953</w:t>
      </w:r>
      <w:r w:rsidR="00110257" w:rsidRPr="007C24E8">
        <w:t>:20</w:t>
      </w:r>
      <w:r w:rsidR="005E3367" w:rsidRPr="007C24E8">
        <w:t>15</w:t>
      </w:r>
      <w:r w:rsidRPr="007C24E8">
        <w:t> »</w:t>
      </w:r>
      <w:r w:rsidR="005E3367" w:rsidRPr="007C24E8">
        <w:t xml:space="preserve">, dans la colonne (4), replace </w:t>
      </w:r>
      <w:r w:rsidRPr="007C24E8">
        <w:t>« </w:t>
      </w:r>
      <w:r w:rsidR="005E3367" w:rsidRPr="007C24E8">
        <w:t>Jusqu’à nouvel ordre</w:t>
      </w:r>
      <w:r w:rsidRPr="007C24E8">
        <w:t> »</w:t>
      </w:r>
      <w:r w:rsidR="005E3367" w:rsidRPr="007C24E8">
        <w:t xml:space="preserve"> par </w:t>
      </w:r>
      <w:r w:rsidR="000E51D6">
        <w:t>« </w:t>
      </w:r>
      <w:r w:rsidR="005E3367" w:rsidRPr="007C24E8">
        <w:t>Entre le 1</w:t>
      </w:r>
      <w:r w:rsidR="005E3367" w:rsidRPr="007C24E8">
        <w:rPr>
          <w:vertAlign w:val="superscript"/>
        </w:rPr>
        <w:t>er</w:t>
      </w:r>
      <w:r w:rsidRPr="007C24E8">
        <w:t> </w:t>
      </w:r>
      <w:r w:rsidR="005E3367" w:rsidRPr="007C24E8">
        <w:t>janvier 2017 et le 31</w:t>
      </w:r>
      <w:r w:rsidRPr="007C24E8">
        <w:t> </w:t>
      </w:r>
      <w:r w:rsidR="005E3367" w:rsidRPr="007C24E8">
        <w:t>décembre 2024</w:t>
      </w:r>
      <w:r w:rsidRPr="007C24E8">
        <w:t> »</w:t>
      </w:r>
      <w:r w:rsidR="005E3367" w:rsidRPr="007C24E8">
        <w:t xml:space="preserve">. Après la ligne pour </w:t>
      </w:r>
      <w:r w:rsidRPr="007C24E8">
        <w:t>« </w:t>
      </w:r>
      <w:r w:rsidR="005E3367" w:rsidRPr="007C24E8">
        <w:t>EN 13953</w:t>
      </w:r>
      <w:r w:rsidR="00110257" w:rsidRPr="007C24E8">
        <w:t>:20</w:t>
      </w:r>
      <w:r w:rsidR="005E3367" w:rsidRPr="007C24E8">
        <w:t>15</w:t>
      </w:r>
      <w:r w:rsidRPr="007C24E8">
        <w:t> »</w:t>
      </w:r>
      <w:r w:rsidR="005E3367" w:rsidRPr="007C24E8">
        <w:t>, ajouter le ligne suivante</w:t>
      </w:r>
      <w:r w:rsidR="004E3C2D" w:rsidRPr="007C24E8">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3544"/>
        <w:gridCol w:w="1418"/>
        <w:gridCol w:w="1000"/>
        <w:gridCol w:w="837"/>
      </w:tblGrid>
      <w:tr w:rsidR="005E3367" w:rsidRPr="007C24E8" w14:paraId="0FC42CE6" w14:textId="77777777" w:rsidTr="005A12ED">
        <w:tc>
          <w:tcPr>
            <w:tcW w:w="1706" w:type="dxa"/>
            <w:vAlign w:val="center"/>
          </w:tcPr>
          <w:p w14:paraId="48EB6E4E" w14:textId="77777777" w:rsidR="005E3367" w:rsidRPr="007C24E8" w:rsidRDefault="005E3367" w:rsidP="004A6A39">
            <w:pPr>
              <w:widowControl w:val="0"/>
              <w:spacing w:before="60" w:after="60"/>
              <w:ind w:left="57" w:right="57"/>
            </w:pPr>
            <w:r w:rsidRPr="007C24E8">
              <w:t>EN 13953</w:t>
            </w:r>
            <w:r w:rsidR="00110257" w:rsidRPr="007C24E8">
              <w:t>:20</w:t>
            </w:r>
            <w:r w:rsidRPr="007C24E8">
              <w:t>20</w:t>
            </w:r>
          </w:p>
        </w:tc>
        <w:tc>
          <w:tcPr>
            <w:tcW w:w="3544" w:type="dxa"/>
          </w:tcPr>
          <w:p w14:paraId="0AF37996" w14:textId="77777777" w:rsidR="005E3367" w:rsidRPr="007C24E8" w:rsidRDefault="005E3367" w:rsidP="004A6A39">
            <w:pPr>
              <w:widowControl w:val="0"/>
              <w:spacing w:before="60" w:after="60"/>
              <w:ind w:left="57" w:right="57"/>
            </w:pPr>
            <w:r w:rsidRPr="007C24E8">
              <w:t xml:space="preserve">Équipements pour GPL et leurs accessoires </w:t>
            </w:r>
            <w:r w:rsidR="004A6A39" w:rsidRPr="007C24E8">
              <w:t>−</w:t>
            </w:r>
            <w:r w:rsidRPr="007C24E8">
              <w:t xml:space="preserve"> Spécifications et essais des équipements et accessoires des réservoirs pour gaz de pétrole liquéfié (GPL) </w:t>
            </w:r>
          </w:p>
        </w:tc>
        <w:tc>
          <w:tcPr>
            <w:tcW w:w="1418" w:type="dxa"/>
            <w:vAlign w:val="center"/>
          </w:tcPr>
          <w:p w14:paraId="398C29CA" w14:textId="77777777" w:rsidR="005E3367" w:rsidRPr="007C24E8" w:rsidRDefault="005E3367" w:rsidP="004A6A39">
            <w:pPr>
              <w:widowControl w:val="0"/>
              <w:spacing w:before="60" w:after="60"/>
              <w:ind w:left="57" w:right="57"/>
            </w:pPr>
            <w:r w:rsidRPr="007C24E8">
              <w:t>6.2.3.1, 6.2.3.3 et 6.2.3.4</w:t>
            </w:r>
          </w:p>
        </w:tc>
        <w:tc>
          <w:tcPr>
            <w:tcW w:w="1000" w:type="dxa"/>
            <w:vAlign w:val="center"/>
          </w:tcPr>
          <w:p w14:paraId="512BE9FF" w14:textId="77777777" w:rsidR="005E3367" w:rsidRPr="007C24E8" w:rsidRDefault="005E3367" w:rsidP="004A6A39">
            <w:pPr>
              <w:widowControl w:val="0"/>
              <w:spacing w:before="60" w:after="60"/>
              <w:ind w:left="57" w:right="57"/>
            </w:pPr>
            <w:r w:rsidRPr="007C24E8">
              <w:t>Jusqu’à nouvel ordre</w:t>
            </w:r>
          </w:p>
        </w:tc>
        <w:tc>
          <w:tcPr>
            <w:tcW w:w="837" w:type="dxa"/>
            <w:vAlign w:val="center"/>
          </w:tcPr>
          <w:p w14:paraId="1CBCBDA5" w14:textId="77777777" w:rsidR="005E3367" w:rsidRPr="007C24E8" w:rsidRDefault="005E3367" w:rsidP="004A6A39">
            <w:pPr>
              <w:widowControl w:val="0"/>
              <w:spacing w:before="60" w:after="60"/>
              <w:ind w:left="57" w:right="57"/>
            </w:pPr>
          </w:p>
        </w:tc>
      </w:tr>
    </w:tbl>
    <w:p w14:paraId="73FB31BE" w14:textId="77777777" w:rsidR="005E3367" w:rsidRPr="007C24E8" w:rsidRDefault="005E3367" w:rsidP="005E3367">
      <w:pPr>
        <w:pStyle w:val="SingleTxtG"/>
        <w:spacing w:before="120"/>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INF.53/Rev.2)</w:t>
      </w:r>
    </w:p>
    <w:p w14:paraId="06B03D17" w14:textId="77777777" w:rsidR="005E3367" w:rsidRPr="007C24E8" w:rsidRDefault="005E3367" w:rsidP="005E3367">
      <w:pPr>
        <w:pStyle w:val="SingleTxtG"/>
      </w:pPr>
      <w:r w:rsidRPr="007C24E8">
        <w:t>6.2.5.4.2</w:t>
      </w:r>
      <w:r w:rsidRPr="007C24E8">
        <w:tab/>
        <w:t xml:space="preserve">Remplacer </w:t>
      </w:r>
      <w:r w:rsidR="004A6A39" w:rsidRPr="007C24E8">
        <w:t>« </w:t>
      </w:r>
      <w:r w:rsidRPr="007C24E8">
        <w:t>EN 1975</w:t>
      </w:r>
      <w:r w:rsidR="004E3C2D" w:rsidRPr="007C24E8">
        <w:t>:</w:t>
      </w:r>
      <w:r w:rsidRPr="007C24E8">
        <w:t>1999 + A1</w:t>
      </w:r>
      <w:r w:rsidR="00110257" w:rsidRPr="007C24E8">
        <w:t>:20</w:t>
      </w:r>
      <w:r w:rsidRPr="007C24E8">
        <w:t>03</w:t>
      </w:r>
      <w:r w:rsidR="004A6A39" w:rsidRPr="007C24E8">
        <w:t> »</w:t>
      </w:r>
      <w:r w:rsidRPr="007C24E8">
        <w:t xml:space="preserve"> par </w:t>
      </w:r>
      <w:r w:rsidR="004A6A39" w:rsidRPr="007C24E8">
        <w:t>« </w:t>
      </w:r>
      <w:r w:rsidRPr="007C24E8">
        <w:t>EN ISO 7866</w:t>
      </w:r>
      <w:r w:rsidR="00110257" w:rsidRPr="007C24E8">
        <w:t>:20</w:t>
      </w:r>
      <w:r w:rsidRPr="007C24E8">
        <w:t>12 + AC</w:t>
      </w:r>
      <w:r w:rsidR="00110257" w:rsidRPr="007C24E8">
        <w:t>:20</w:t>
      </w:r>
      <w:r w:rsidRPr="007C24E8">
        <w:t>14</w:t>
      </w:r>
      <w:r w:rsidR="004A6A39" w:rsidRPr="007C24E8">
        <w:t> »</w:t>
      </w:r>
      <w:r w:rsidRPr="007C24E8">
        <w:t>.</w:t>
      </w:r>
    </w:p>
    <w:p w14:paraId="32244099" w14:textId="77777777" w:rsidR="005E3367" w:rsidRPr="007C24E8" w:rsidRDefault="005E3367" w:rsidP="005E3367">
      <w:pPr>
        <w:pStyle w:val="SingleTxtG"/>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INF.53/Rev.2)</w:t>
      </w:r>
    </w:p>
    <w:p w14:paraId="33CEEBA0" w14:textId="77777777" w:rsidR="005E3367" w:rsidRPr="007C24E8" w:rsidRDefault="005E3367" w:rsidP="004A6A39">
      <w:pPr>
        <w:pStyle w:val="H23G"/>
      </w:pPr>
      <w:r w:rsidRPr="007C24E8">
        <w:tab/>
      </w:r>
      <w:r w:rsidRPr="007C24E8">
        <w:tab/>
        <w:t>Chapitre 6.8</w:t>
      </w:r>
    </w:p>
    <w:p w14:paraId="24321BE3" w14:textId="77777777" w:rsidR="005E3367" w:rsidRPr="007C24E8" w:rsidRDefault="005E3367" w:rsidP="004A6A39">
      <w:pPr>
        <w:pStyle w:val="SingleTxtG"/>
        <w:keepNext/>
      </w:pPr>
      <w:r w:rsidRPr="007C24E8">
        <w:t>(RID</w:t>
      </w:r>
      <w:r w:rsidR="004E3C2D" w:rsidRPr="007C24E8">
        <w:t> :</w:t>
      </w:r>
      <w:r w:rsidRPr="007C24E8">
        <w:t>)</w:t>
      </w:r>
    </w:p>
    <w:p w14:paraId="3164A73C" w14:textId="77777777" w:rsidR="005E3367" w:rsidRPr="007C24E8" w:rsidRDefault="005E3367" w:rsidP="005E3367">
      <w:pPr>
        <w:pStyle w:val="SingleTxtG"/>
        <w:ind w:left="2268" w:hanging="1134"/>
      </w:pPr>
      <w:r w:rsidRPr="007C24E8">
        <w:t>6.8.2.1.10</w:t>
      </w:r>
      <w:r w:rsidRPr="007C24E8">
        <w:tab/>
        <w:t xml:space="preserve">Au deuxième paragraphe, supprimer la phrase </w:t>
      </w:r>
      <w:r w:rsidR="004A6A39" w:rsidRPr="007C24E8">
        <w:t>« </w:t>
      </w:r>
      <w:r w:rsidRPr="007C24E8">
        <w:t>De l’acier trempé à l’eau ne doit pas être utilisé pour les réservoirs soudés en acier</w:t>
      </w:r>
      <w:r w:rsidR="004A6A39" w:rsidRPr="007C24E8">
        <w:t>. »</w:t>
      </w:r>
      <w:r w:rsidRPr="007C24E8">
        <w:t>.</w:t>
      </w:r>
    </w:p>
    <w:p w14:paraId="7D70857B" w14:textId="77777777" w:rsidR="005E3367" w:rsidRPr="007C24E8" w:rsidRDefault="005E3367" w:rsidP="005E3367">
      <w:pPr>
        <w:pStyle w:val="SingleTxtG"/>
        <w:rPr>
          <w:i/>
          <w:iCs/>
        </w:rPr>
      </w:pPr>
      <w:r w:rsidRPr="007C24E8">
        <w:rPr>
          <w:rStyle w:val="tlid-translation"/>
          <w:i/>
          <w:iCs/>
        </w:rPr>
        <w:t>(Document</w:t>
      </w:r>
      <w:r w:rsidR="005A12ED">
        <w:rPr>
          <w:rStyle w:val="tlid-translation"/>
          <w:i/>
          <w:iCs/>
        </w:rPr>
        <w:t>s</w:t>
      </w:r>
      <w:r w:rsidRPr="007C24E8">
        <w:rPr>
          <w:rStyle w:val="tlid-translation"/>
          <w:i/>
          <w:iCs/>
        </w:rPr>
        <w:t xml:space="preserve"> de référence</w:t>
      </w:r>
      <w:r w:rsidR="004E3C2D" w:rsidRPr="007C24E8">
        <w:rPr>
          <w:rStyle w:val="tlid-translation"/>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w:t>
      </w:r>
      <w:r w:rsidR="00890555" w:rsidRPr="007C24E8">
        <w:rPr>
          <w:rStyle w:val="tlid-translation"/>
          <w:i/>
          <w:iCs/>
        </w:rPr>
        <w:t>,</w:t>
      </w:r>
      <w:r w:rsidRPr="007C24E8">
        <w:rPr>
          <w:rStyle w:val="tlid-translation"/>
          <w:i/>
          <w:iCs/>
        </w:rPr>
        <w:t xml:space="preserve"> ECE/TRANS/WP.15/AC.1/2020/32)</w:t>
      </w:r>
    </w:p>
    <w:p w14:paraId="60BDB3F8" w14:textId="77777777" w:rsidR="005E3367" w:rsidRPr="007C24E8" w:rsidRDefault="005E3367" w:rsidP="005E3367">
      <w:pPr>
        <w:pStyle w:val="SingleTxtG"/>
        <w:ind w:left="2268" w:hanging="1134"/>
      </w:pPr>
      <w:r w:rsidRPr="007C24E8">
        <w:t>6.8.2.2.1</w:t>
      </w:r>
      <w:r w:rsidRPr="007C24E8">
        <w:tab/>
        <w:t>(RID</w:t>
      </w:r>
      <w:r w:rsidR="004E3C2D" w:rsidRPr="007C24E8">
        <w:t> :</w:t>
      </w:r>
      <w:r w:rsidRPr="007C24E8">
        <w:t>) Après la première phrase, ajouter la phrase suivante dans la colonne de droite</w:t>
      </w:r>
      <w:r w:rsidR="004E3C2D" w:rsidRPr="007C24E8">
        <w:t> :</w:t>
      </w:r>
      <w:r w:rsidRPr="007C24E8">
        <w:t xml:space="preserve"> / (ADR</w:t>
      </w:r>
      <w:r w:rsidR="005A12ED">
        <w:t> :</w:t>
      </w:r>
      <w:r w:rsidRPr="007C24E8">
        <w:t>) Ajouter la phrase suivante après la première phrase</w:t>
      </w:r>
      <w:r w:rsidR="004E3C2D" w:rsidRPr="007C24E8">
        <w:t> :</w:t>
      </w:r>
    </w:p>
    <w:p w14:paraId="68AE2DB3" w14:textId="77777777" w:rsidR="005E3367" w:rsidRPr="007C24E8" w:rsidRDefault="004A6A39" w:rsidP="005E3367">
      <w:pPr>
        <w:pStyle w:val="SingleTxtG"/>
        <w:rPr>
          <w:rStyle w:val="tlid-translation"/>
        </w:rPr>
      </w:pPr>
      <w:r w:rsidRPr="007C24E8">
        <w:rPr>
          <w:rStyle w:val="tlid-translation"/>
        </w:rPr>
        <w:t>« </w:t>
      </w:r>
      <w:r w:rsidR="005E3367" w:rsidRPr="007C24E8">
        <w:t>Les éléments soudés doivent être fixés au réservoir de manière à éviter la déchirure du réservoir.</w:t>
      </w:r>
      <w:r w:rsidRPr="007C24E8">
        <w:t> »</w:t>
      </w:r>
      <w:r w:rsidR="005E3367" w:rsidRPr="007C24E8">
        <w:rPr>
          <w:rStyle w:val="tlid-translation"/>
        </w:rPr>
        <w:t>.</w:t>
      </w:r>
    </w:p>
    <w:p w14:paraId="7D1C087C" w14:textId="77777777" w:rsidR="005E3367" w:rsidRPr="007C24E8" w:rsidRDefault="005E3367" w:rsidP="005E3367">
      <w:pPr>
        <w:pStyle w:val="SingleTxtG"/>
        <w:rPr>
          <w:rStyle w:val="tlid-translation"/>
          <w:i/>
          <w:iCs/>
        </w:rPr>
      </w:pPr>
      <w:r w:rsidRPr="007C24E8">
        <w:rPr>
          <w:rStyle w:val="tlid-translation"/>
          <w:i/>
          <w:iCs/>
        </w:rPr>
        <w:t>(Document</w:t>
      </w:r>
      <w:r w:rsidR="005A12ED">
        <w:rPr>
          <w:rStyle w:val="tlid-translation"/>
          <w:i/>
          <w:iCs/>
        </w:rPr>
        <w:t>s</w:t>
      </w:r>
      <w:r w:rsidRPr="007C24E8">
        <w:rPr>
          <w:rStyle w:val="tlid-translation"/>
          <w:i/>
          <w:iCs/>
        </w:rPr>
        <w:t xml:space="preserve"> de référence</w:t>
      </w:r>
      <w:r w:rsidR="004E3C2D" w:rsidRPr="007C24E8">
        <w:rPr>
          <w:rStyle w:val="tlid-translation"/>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 ECE/TRANS/WP.15/AC.1/2020/6)</w:t>
      </w:r>
    </w:p>
    <w:p w14:paraId="377E82CB" w14:textId="77777777" w:rsidR="005E3367" w:rsidRPr="007C24E8" w:rsidRDefault="005E3367" w:rsidP="004A6A39">
      <w:pPr>
        <w:pStyle w:val="SingleTxtG"/>
        <w:keepNext/>
        <w:rPr>
          <w:rStyle w:val="tlid-translation"/>
        </w:rPr>
      </w:pPr>
      <w:r w:rsidRPr="007C24E8">
        <w:rPr>
          <w:rStyle w:val="tlid-translation"/>
        </w:rPr>
        <w:t>[(RID</w:t>
      </w:r>
      <w:r w:rsidR="004E3C2D" w:rsidRPr="007C24E8">
        <w:rPr>
          <w:rStyle w:val="tlid-translation"/>
        </w:rPr>
        <w:t> :</w:t>
      </w:r>
      <w:r w:rsidRPr="007C24E8">
        <w:rPr>
          <w:rStyle w:val="tlid-translation"/>
        </w:rPr>
        <w:t>)</w:t>
      </w:r>
    </w:p>
    <w:p w14:paraId="0B6C886E" w14:textId="77777777" w:rsidR="005E3367" w:rsidRPr="007C24E8" w:rsidRDefault="005E3367" w:rsidP="005E3367">
      <w:pPr>
        <w:pStyle w:val="SingleTxtG"/>
      </w:pPr>
      <w:r w:rsidRPr="007C24E8">
        <w:rPr>
          <w:rStyle w:val="tlid-translation"/>
        </w:rPr>
        <w:t>6.8.2.2.1</w:t>
      </w:r>
      <w:r w:rsidRPr="007C24E8">
        <w:rPr>
          <w:rStyle w:val="tlid-translation"/>
        </w:rPr>
        <w:tab/>
      </w:r>
      <w:r w:rsidRPr="007C24E8">
        <w:t>Modifier le texte figurant dans la colonne de gauche comme suit</w:t>
      </w:r>
      <w:r w:rsidR="004E3C2D" w:rsidRPr="007C24E8">
        <w:t> :</w:t>
      </w:r>
      <w:r w:rsidRPr="007C24E8">
        <w:t xml:space="preserve"> «</w:t>
      </w:r>
      <w:r w:rsidR="004A6A39" w:rsidRPr="007C24E8">
        <w:t> </w:t>
      </w:r>
      <w:r w:rsidRPr="007C24E8">
        <w:t>Pour éviter que le réservoir se déchire en cas de sollicitations accidentelles, les éléments soudés doivent être fixés à la citerne en respectant les conditions suivantes</w:t>
      </w:r>
      <w:r w:rsidR="004E3C2D" w:rsidRPr="007C24E8">
        <w:t> :</w:t>
      </w:r>
    </w:p>
    <w:p w14:paraId="5DBA9FE7" w14:textId="77777777" w:rsidR="005E3367" w:rsidRPr="007C24E8" w:rsidRDefault="005E3367" w:rsidP="005E3367">
      <w:pPr>
        <w:pStyle w:val="SingleTxtG"/>
      </w:pPr>
      <w:r w:rsidRPr="007C24E8">
        <w:t>Liaison avec le châssis</w:t>
      </w:r>
      <w:r w:rsidR="004E3C2D" w:rsidRPr="007C24E8">
        <w:t> :</w:t>
      </w:r>
      <w:r w:rsidRPr="007C24E8">
        <w:t xml:space="preserve"> fixation au moyen d’une pièce intermédiaire assurant la répartition des efforts dynamiques,</w:t>
      </w:r>
    </w:p>
    <w:p w14:paraId="5B9546BF" w14:textId="77777777" w:rsidR="005E3367" w:rsidRPr="007C24E8" w:rsidRDefault="005E3367" w:rsidP="005E3367">
      <w:pPr>
        <w:pStyle w:val="SingleTxtG"/>
        <w:rPr>
          <w:rStyle w:val="tlid-translation"/>
        </w:rPr>
      </w:pPr>
      <w:r w:rsidRPr="007C24E8">
        <w:t>Supports de la passerelle supérieure, de l’échelle d’accès, des tubes de drainage, de la commande de l’obturateur interne et autres supports transmettant des efforts</w:t>
      </w:r>
      <w:r w:rsidR="004E3C2D" w:rsidRPr="007C24E8">
        <w:t> :</w:t>
      </w:r>
      <w:r w:rsidRPr="007C24E8">
        <w:t xml:space="preserve"> fixation sur des semelles intermédiaires soudées, Dimensionnement approprié ou autres mesures de protection (par exemple zone fusible). »</w:t>
      </w:r>
      <w:r w:rsidRPr="007C24E8">
        <w:rPr>
          <w:rStyle w:val="tlid-translation"/>
        </w:rPr>
        <w:t>.]</w:t>
      </w:r>
    </w:p>
    <w:p w14:paraId="08C7E176" w14:textId="77777777" w:rsidR="005E3367" w:rsidRPr="007C24E8" w:rsidRDefault="005E3367" w:rsidP="005E3367">
      <w:pPr>
        <w:pStyle w:val="SingleTxtG"/>
        <w:rPr>
          <w:rStyle w:val="tlid-translation"/>
        </w:rPr>
      </w:pPr>
      <w:r w:rsidRPr="007C24E8">
        <w:rPr>
          <w:rStyle w:val="tlid-translation"/>
        </w:rPr>
        <w:t>[(RID</w:t>
      </w:r>
      <w:r w:rsidR="004E3C2D" w:rsidRPr="007C24E8">
        <w:rPr>
          <w:rStyle w:val="tlid-translation"/>
        </w:rPr>
        <w:t> :</w:t>
      </w:r>
      <w:r w:rsidRPr="007C24E8">
        <w:rPr>
          <w:rStyle w:val="tlid-translation"/>
        </w:rPr>
        <w:t>)</w:t>
      </w:r>
    </w:p>
    <w:p w14:paraId="772117B2" w14:textId="77777777" w:rsidR="005E3367" w:rsidRPr="007C24E8" w:rsidRDefault="005E3367" w:rsidP="005E3367">
      <w:pPr>
        <w:pStyle w:val="SingleTxtG"/>
        <w:rPr>
          <w:rStyle w:val="tlid-translation"/>
        </w:rPr>
      </w:pPr>
      <w:r w:rsidRPr="007C24E8">
        <w:rPr>
          <w:rStyle w:val="tlid-translation"/>
        </w:rPr>
        <w:t>6.8.2.2.4</w:t>
      </w:r>
      <w:r w:rsidRPr="007C24E8">
        <w:rPr>
          <w:rStyle w:val="tlid-translation"/>
        </w:rPr>
        <w:tab/>
      </w:r>
      <w:r w:rsidRPr="007C24E8">
        <w:t>Dans la colonne de gauche remplacer «</w:t>
      </w:r>
      <w:r w:rsidR="004A6A39" w:rsidRPr="007C24E8">
        <w:t> </w:t>
      </w:r>
      <w:r w:rsidRPr="007C24E8">
        <w:t>rabattables</w:t>
      </w:r>
      <w:r w:rsidR="004A6A39" w:rsidRPr="007C24E8">
        <w:t> </w:t>
      </w:r>
      <w:r w:rsidRPr="007C24E8">
        <w:t>» par «</w:t>
      </w:r>
      <w:r w:rsidR="004A6A39" w:rsidRPr="007C24E8">
        <w:t> </w:t>
      </w:r>
      <w:r w:rsidRPr="007C24E8">
        <w:t>articulés</w:t>
      </w:r>
      <w:r w:rsidR="004A6A39" w:rsidRPr="007C24E8">
        <w:t> </w:t>
      </w:r>
      <w:r w:rsidRPr="007C24E8">
        <w:t>».]</w:t>
      </w:r>
    </w:p>
    <w:p w14:paraId="4B9711D5" w14:textId="77777777" w:rsidR="005E3367" w:rsidRPr="007C24E8" w:rsidRDefault="005E3367" w:rsidP="005E3367">
      <w:pPr>
        <w:pStyle w:val="SingleTxtG"/>
        <w:rPr>
          <w:i/>
          <w:iCs/>
        </w:rPr>
      </w:pPr>
      <w:r w:rsidRPr="007C24E8">
        <w:rPr>
          <w:i/>
          <w:iCs/>
        </w:rPr>
        <w:t>(Documents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 xml:space="preserve">INF.64 et ECE/TRANS/WP.15/AC.1/2020/6 et document </w:t>
      </w:r>
      <w:r w:rsidR="009B1F20" w:rsidRPr="007C24E8">
        <w:rPr>
          <w:i/>
          <w:iCs/>
        </w:rPr>
        <w:t xml:space="preserve">informel </w:t>
      </w:r>
      <w:r w:rsidRPr="007C24E8">
        <w:rPr>
          <w:i/>
          <w:iCs/>
        </w:rPr>
        <w:t>INF.45)</w:t>
      </w:r>
    </w:p>
    <w:p w14:paraId="7D93F01E" w14:textId="77777777" w:rsidR="005E3367" w:rsidRPr="007C24E8" w:rsidRDefault="005E3367" w:rsidP="004A6A39">
      <w:pPr>
        <w:pStyle w:val="SingleTxtG"/>
        <w:keepNext/>
      </w:pPr>
      <w:r w:rsidRPr="007C24E8">
        <w:t>(ADR</w:t>
      </w:r>
      <w:r w:rsidR="004E3C2D" w:rsidRPr="007C24E8">
        <w:t> :</w:t>
      </w:r>
      <w:r w:rsidRPr="007C24E8">
        <w:t>)</w:t>
      </w:r>
    </w:p>
    <w:p w14:paraId="2F6FA3A3" w14:textId="77777777" w:rsidR="005E3367" w:rsidRPr="007C24E8" w:rsidRDefault="005E3367" w:rsidP="005E3367">
      <w:pPr>
        <w:pStyle w:val="SingleTxtG"/>
      </w:pPr>
      <w:r w:rsidRPr="007C24E8">
        <w:t>6.8.2.6.1</w:t>
      </w:r>
      <w:r w:rsidRPr="007C24E8">
        <w:tab/>
        <w:t>Dans le tableau, sous « Pour les équipements »</w:t>
      </w:r>
      <w:r w:rsidR="004E3C2D" w:rsidRPr="007C24E8">
        <w:t> :</w:t>
      </w:r>
    </w:p>
    <w:p w14:paraId="68E57E0D" w14:textId="77777777" w:rsidR="005E3367" w:rsidRPr="007C24E8" w:rsidRDefault="005E3367" w:rsidP="005E3367">
      <w:pPr>
        <w:pStyle w:val="Bullet1G"/>
        <w:numPr>
          <w:ilvl w:val="0"/>
          <w:numId w:val="29"/>
        </w:numPr>
        <w:spacing w:before="120"/>
        <w:ind w:left="2410" w:hanging="142"/>
      </w:pPr>
      <w:r w:rsidRPr="007C24E8">
        <w:t>Pour « EN 13175</w:t>
      </w:r>
      <w:r w:rsidR="00110257" w:rsidRPr="007C24E8">
        <w:t>:20</w:t>
      </w:r>
      <w:r w:rsidRPr="007C24E8">
        <w:t>19 (sauf article 6.1.6) », dans la colonne 4), remplacer « Jusqu’à nouvel ordre » par « Entre le 1</w:t>
      </w:r>
      <w:r w:rsidRPr="007C24E8">
        <w:rPr>
          <w:vertAlign w:val="superscript"/>
        </w:rPr>
        <w:t>er</w:t>
      </w:r>
      <w:r w:rsidR="004A6A39" w:rsidRPr="007C24E8">
        <w:t> </w:t>
      </w:r>
      <w:r w:rsidRPr="007C24E8">
        <w:t>janvier 2021 et le 31</w:t>
      </w:r>
      <w:r w:rsidR="004A6A39" w:rsidRPr="007C24E8">
        <w:t> </w:t>
      </w:r>
      <w:r w:rsidRPr="007C24E8">
        <w:t>décembre 2024 ». Après la ligne pour « EN 13175</w:t>
      </w:r>
      <w:r w:rsidR="00110257" w:rsidRPr="007C24E8">
        <w:t>:20</w:t>
      </w:r>
      <w:r w:rsidRPr="007C24E8">
        <w:t>19 (sauf article 6.1.6) » ajouter la ligne suivante</w:t>
      </w:r>
      <w:r w:rsidR="004E3C2D" w:rsidRPr="007C24E8">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3"/>
        <w:gridCol w:w="3577"/>
        <w:gridCol w:w="1418"/>
        <w:gridCol w:w="1000"/>
        <w:gridCol w:w="837"/>
      </w:tblGrid>
      <w:tr w:rsidR="005E3367" w:rsidRPr="007C24E8" w14:paraId="05EDB79E" w14:textId="77777777" w:rsidTr="005A12ED">
        <w:tc>
          <w:tcPr>
            <w:tcW w:w="1673" w:type="dxa"/>
            <w:vAlign w:val="center"/>
          </w:tcPr>
          <w:p w14:paraId="4721B0C2" w14:textId="77777777" w:rsidR="005E3367" w:rsidRPr="007C24E8" w:rsidRDefault="005E3367" w:rsidP="004A6A39">
            <w:pPr>
              <w:widowControl w:val="0"/>
              <w:spacing w:before="60" w:after="60"/>
              <w:ind w:left="57" w:right="57"/>
            </w:pPr>
            <w:r w:rsidRPr="007C24E8">
              <w:t>EN 13175</w:t>
            </w:r>
            <w:r w:rsidR="00110257" w:rsidRPr="007C24E8">
              <w:t>:20</w:t>
            </w:r>
            <w:r w:rsidRPr="007C24E8">
              <w:t>19 + A1</w:t>
            </w:r>
            <w:r w:rsidR="00110257" w:rsidRPr="007C24E8">
              <w:t>:20</w:t>
            </w:r>
            <w:r w:rsidRPr="007C24E8">
              <w:t>20</w:t>
            </w:r>
          </w:p>
        </w:tc>
        <w:tc>
          <w:tcPr>
            <w:tcW w:w="3577" w:type="dxa"/>
          </w:tcPr>
          <w:p w14:paraId="7286DBDD" w14:textId="77777777" w:rsidR="005E3367" w:rsidRPr="007C24E8" w:rsidRDefault="005E3367" w:rsidP="004A6A39">
            <w:pPr>
              <w:widowControl w:val="0"/>
              <w:spacing w:before="60" w:after="60"/>
              <w:ind w:left="57" w:right="57"/>
            </w:pPr>
            <w:r w:rsidRPr="007C24E8">
              <w:t xml:space="preserve">Équipements pour GPL et leurs accessoires </w:t>
            </w:r>
            <w:r w:rsidR="004A6A39" w:rsidRPr="007C24E8">
              <w:t>−</w:t>
            </w:r>
            <w:r w:rsidRPr="007C24E8">
              <w:t xml:space="preserve"> Spécifications et essais des équipements et accessoires des réservoirs pour gaz de pétrole liquéfié (GPL)</w:t>
            </w:r>
          </w:p>
        </w:tc>
        <w:tc>
          <w:tcPr>
            <w:tcW w:w="1418" w:type="dxa"/>
            <w:vAlign w:val="center"/>
          </w:tcPr>
          <w:p w14:paraId="3AADA1E0" w14:textId="77777777" w:rsidR="005E3367" w:rsidRPr="007C24E8" w:rsidRDefault="005E3367" w:rsidP="004A6A39">
            <w:pPr>
              <w:widowControl w:val="0"/>
              <w:spacing w:before="60" w:after="60"/>
              <w:ind w:left="57" w:right="57"/>
            </w:pPr>
            <w:r w:rsidRPr="007C24E8">
              <w:t>6.8.2.1.1, 6.8.2.2, 6.8.2.4.1 et 6.8.3.2.3</w:t>
            </w:r>
          </w:p>
        </w:tc>
        <w:tc>
          <w:tcPr>
            <w:tcW w:w="1000" w:type="dxa"/>
            <w:vAlign w:val="center"/>
          </w:tcPr>
          <w:p w14:paraId="3227DA21" w14:textId="77777777" w:rsidR="005E3367" w:rsidRPr="007C24E8" w:rsidRDefault="005E3367" w:rsidP="004A6A39">
            <w:pPr>
              <w:widowControl w:val="0"/>
              <w:spacing w:before="60" w:after="60"/>
              <w:ind w:left="57" w:right="57"/>
            </w:pPr>
            <w:r w:rsidRPr="007C24E8">
              <w:t>Jusqu’à nouvel ordre</w:t>
            </w:r>
          </w:p>
        </w:tc>
        <w:tc>
          <w:tcPr>
            <w:tcW w:w="837" w:type="dxa"/>
            <w:vAlign w:val="center"/>
          </w:tcPr>
          <w:p w14:paraId="3DE7EFF7" w14:textId="77777777" w:rsidR="005E3367" w:rsidRPr="007C24E8" w:rsidRDefault="005E3367" w:rsidP="004A6A39">
            <w:pPr>
              <w:widowControl w:val="0"/>
              <w:spacing w:before="60" w:after="60"/>
              <w:ind w:left="57" w:right="57"/>
            </w:pPr>
          </w:p>
        </w:tc>
      </w:tr>
    </w:tbl>
    <w:p w14:paraId="0BA9D68F" w14:textId="77777777" w:rsidR="005E3367" w:rsidRPr="007C24E8" w:rsidRDefault="005E3367" w:rsidP="005E3367">
      <w:pPr>
        <w:pStyle w:val="SingleTxtG"/>
        <w:spacing w:before="120"/>
        <w:rPr>
          <w:i/>
          <w:iCs/>
        </w:rPr>
      </w:pPr>
      <w:r w:rsidRPr="007C24E8">
        <w:rPr>
          <w:i/>
          <w:iCs/>
        </w:rPr>
        <w:t>(Document de référence</w:t>
      </w:r>
      <w:r w:rsidR="004E3C2D" w:rsidRPr="007C24E8">
        <w:rPr>
          <w:iCs/>
        </w:rPr>
        <w:t> :</w:t>
      </w:r>
      <w:r w:rsidRPr="007C24E8">
        <w:rPr>
          <w:i/>
          <w:iCs/>
        </w:rPr>
        <w:t xml:space="preserve"> document </w:t>
      </w:r>
      <w:r w:rsidR="009B1F20" w:rsidRPr="007C24E8">
        <w:rPr>
          <w:i/>
          <w:iCs/>
        </w:rPr>
        <w:t xml:space="preserve">informel </w:t>
      </w:r>
      <w:r w:rsidRPr="007C24E8">
        <w:rPr>
          <w:i/>
          <w:iCs/>
        </w:rPr>
        <w:t>INF.53/Rev.2)</w:t>
      </w:r>
    </w:p>
    <w:p w14:paraId="0D98DB3B" w14:textId="77777777" w:rsidR="005E3367" w:rsidRPr="007C24E8" w:rsidRDefault="005E3367" w:rsidP="005E3367">
      <w:pPr>
        <w:pStyle w:val="SingleTxtG"/>
      </w:pPr>
      <w:r w:rsidRPr="007C24E8">
        <w:t>6.8.3.4.6</w:t>
      </w:r>
      <w:r w:rsidRPr="007C24E8">
        <w:tab/>
      </w:r>
      <w:bookmarkStart w:id="22" w:name="_Hlk55908662"/>
      <w:r w:rsidRPr="007C24E8">
        <w:t>Modifier comme suit</w:t>
      </w:r>
      <w:bookmarkEnd w:id="22"/>
      <w:r w:rsidR="004E3C2D" w:rsidRPr="007C24E8">
        <w:t> :</w:t>
      </w:r>
    </w:p>
    <w:p w14:paraId="3C1F3183" w14:textId="77777777" w:rsidR="005E3367" w:rsidRPr="007C24E8" w:rsidRDefault="005E3367" w:rsidP="004A6A39">
      <w:pPr>
        <w:pStyle w:val="SingleTxtG"/>
        <w:keepNext/>
      </w:pPr>
      <w:r w:rsidRPr="007C24E8">
        <w:t>(RID</w:t>
      </w:r>
      <w:r w:rsidR="004E3C2D" w:rsidRPr="007C24E8">
        <w:t> :</w:t>
      </w:r>
      <w:r w:rsidRPr="007C24E8">
        <w:t>)</w:t>
      </w:r>
    </w:p>
    <w:p w14:paraId="13BB4895" w14:textId="77777777" w:rsidR="005E3367" w:rsidRPr="007C24E8" w:rsidRDefault="004A6A39" w:rsidP="005E3367">
      <w:pPr>
        <w:pStyle w:val="SingleTxtG"/>
        <w:spacing w:after="200"/>
        <w:ind w:right="0"/>
      </w:pPr>
      <w:r w:rsidRPr="007C24E8">
        <w:t>« </w:t>
      </w:r>
      <w:r w:rsidR="005E3367" w:rsidRPr="007C24E8">
        <w:t>6.8.3.4.6</w:t>
      </w:r>
      <w:r w:rsidR="005E3367" w:rsidRPr="007C24E8">
        <w:tab/>
        <w:t>Pour les citernes destinées au transport des gaz liquéfiés réfrigérés</w:t>
      </w:r>
      <w:r w:rsidR="004E3C2D" w:rsidRPr="007C24E8">
        <w:t> :</w:t>
      </w:r>
    </w:p>
    <w:p w14:paraId="12DC3561" w14:textId="77777777" w:rsidR="005E3367" w:rsidRPr="007C24E8" w:rsidRDefault="0097522F" w:rsidP="0097522F">
      <w:pPr>
        <w:pStyle w:val="SingleTxtG"/>
        <w:ind w:left="1701" w:hanging="567"/>
      </w:pPr>
      <w:r w:rsidRPr="007C24E8">
        <w:t>a)</w:t>
      </w:r>
      <w:r w:rsidRPr="007C24E8">
        <w:tab/>
      </w:r>
      <w:r w:rsidR="005E3367" w:rsidRPr="007C24E8">
        <w:t>Par dérogation aux prescriptions du 6.8.2.4.2, les contrôles périodiques doivent avoir lieu au plus tard après huit ans de service et ensuite, au minimum tous les douze ans.</w:t>
      </w:r>
    </w:p>
    <w:p w14:paraId="24F87506" w14:textId="77777777" w:rsidR="005E3367" w:rsidRPr="007C24E8" w:rsidRDefault="0097522F" w:rsidP="0097522F">
      <w:pPr>
        <w:pStyle w:val="SingleTxtG"/>
        <w:ind w:left="1701" w:hanging="567"/>
      </w:pPr>
      <w:r w:rsidRPr="007C24E8">
        <w:t>b)</w:t>
      </w:r>
      <w:r w:rsidRPr="007C24E8">
        <w:tab/>
      </w:r>
      <w:r w:rsidR="005E3367" w:rsidRPr="007C24E8">
        <w:t>Par dérogation aux prescriptions du 6.8.2.4.3, les contrôles intermédiaires doivent avoir lieu au plus tard six ans après chaque contrôle périodique.</w:t>
      </w:r>
      <w:r w:rsidR="004A6A39" w:rsidRPr="007C24E8">
        <w:t> »</w:t>
      </w:r>
      <w:r w:rsidR="005E3367" w:rsidRPr="007C24E8">
        <w:t>.</w:t>
      </w:r>
    </w:p>
    <w:p w14:paraId="6AAE3627" w14:textId="77777777" w:rsidR="005E3367" w:rsidRPr="007C24E8" w:rsidRDefault="005E3367" w:rsidP="005E3367">
      <w:pPr>
        <w:pStyle w:val="SingleTxtG"/>
      </w:pPr>
      <w:r w:rsidRPr="007C24E8">
        <w:t>(ADR</w:t>
      </w:r>
      <w:r w:rsidR="004E3C2D" w:rsidRPr="007C24E8">
        <w:t> :</w:t>
      </w:r>
      <w:r w:rsidRPr="007C24E8">
        <w:t>)</w:t>
      </w:r>
    </w:p>
    <w:p w14:paraId="3860613E" w14:textId="77777777" w:rsidR="005E3367" w:rsidRPr="007C24E8" w:rsidRDefault="004A6A39" w:rsidP="005E3367">
      <w:pPr>
        <w:pStyle w:val="SingleTxtG"/>
        <w:spacing w:after="200"/>
        <w:ind w:right="0"/>
      </w:pPr>
      <w:r w:rsidRPr="007C24E8">
        <w:t>« </w:t>
      </w:r>
      <w:r w:rsidR="005E3367" w:rsidRPr="007C24E8">
        <w:t>6.8.3.4.6</w:t>
      </w:r>
      <w:r w:rsidR="005E3367" w:rsidRPr="007C24E8">
        <w:tab/>
        <w:t>Pour les citernes destinées au transport des gaz liquéfiés réfrigérés</w:t>
      </w:r>
      <w:r w:rsidR="004E3C2D" w:rsidRPr="007C24E8">
        <w:t> :</w:t>
      </w:r>
    </w:p>
    <w:p w14:paraId="647F50A7" w14:textId="77777777" w:rsidR="005E3367" w:rsidRPr="007C24E8" w:rsidRDefault="0097522F" w:rsidP="0097522F">
      <w:pPr>
        <w:pStyle w:val="SingleTxtG"/>
        <w:ind w:left="1701" w:hanging="567"/>
      </w:pPr>
      <w:r w:rsidRPr="007C24E8">
        <w:t>a)</w:t>
      </w:r>
      <w:r w:rsidRPr="007C24E8">
        <w:tab/>
      </w:r>
      <w:r w:rsidR="005E3367" w:rsidRPr="007C24E8">
        <w:t>Par dérogation aux prescriptions du 6.8.2.4.2, les contrôles périodiques doivent avoir lieu</w:t>
      </w:r>
    </w:p>
    <w:tbl>
      <w:tblPr>
        <w:tblW w:w="6804" w:type="dxa"/>
        <w:tblInd w:w="1701" w:type="dxa"/>
        <w:tblCellMar>
          <w:left w:w="0" w:type="dxa"/>
          <w:right w:w="0" w:type="dxa"/>
        </w:tblCellMar>
        <w:tblLook w:val="01E0" w:firstRow="1" w:lastRow="1" w:firstColumn="1" w:lastColumn="1" w:noHBand="0" w:noVBand="0"/>
      </w:tblPr>
      <w:tblGrid>
        <w:gridCol w:w="3402"/>
        <w:gridCol w:w="3402"/>
      </w:tblGrid>
      <w:tr w:rsidR="005E3367" w:rsidRPr="007C24E8" w14:paraId="0CE7ED35" w14:textId="77777777" w:rsidTr="0097522F">
        <w:tc>
          <w:tcPr>
            <w:tcW w:w="3402" w:type="dxa"/>
            <w:tcBorders>
              <w:right w:val="single" w:sz="4" w:space="0" w:color="auto"/>
            </w:tcBorders>
          </w:tcPr>
          <w:p w14:paraId="0345FB4D" w14:textId="77777777" w:rsidR="005E3367" w:rsidRPr="007C24E8" w:rsidRDefault="005E3367" w:rsidP="0097522F">
            <w:pPr>
              <w:pStyle w:val="SingleTxtG"/>
              <w:ind w:left="0" w:right="0"/>
              <w:rPr>
                <w:noProof/>
              </w:rPr>
            </w:pPr>
            <w:r w:rsidRPr="007C24E8">
              <w:rPr>
                <w:bCs/>
                <w:iCs/>
              </w:rPr>
              <w:t>au plus tard après six ans</w:t>
            </w:r>
          </w:p>
        </w:tc>
        <w:tc>
          <w:tcPr>
            <w:tcW w:w="3402" w:type="dxa"/>
            <w:tcBorders>
              <w:left w:val="single" w:sz="4" w:space="0" w:color="auto"/>
            </w:tcBorders>
          </w:tcPr>
          <w:p w14:paraId="2EC66A47" w14:textId="77777777" w:rsidR="005E3367" w:rsidRPr="007C24E8" w:rsidRDefault="005E3367" w:rsidP="0097522F">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pacing w:after="120"/>
              <w:ind w:left="113"/>
              <w:jc w:val="both"/>
              <w:rPr>
                <w:rFonts w:eastAsia="SimSun"/>
                <w:lang w:eastAsia="zh-CN"/>
              </w:rPr>
            </w:pPr>
            <w:r w:rsidRPr="007C24E8">
              <w:rPr>
                <w:rFonts w:eastAsia="SimSun"/>
                <w:lang w:eastAsia="zh-CN"/>
              </w:rPr>
              <w:t>au plus tard après huit ans</w:t>
            </w:r>
          </w:p>
        </w:tc>
      </w:tr>
    </w:tbl>
    <w:p w14:paraId="3883B257" w14:textId="77777777" w:rsidR="005E3367" w:rsidRPr="007C24E8" w:rsidRDefault="005E3367" w:rsidP="0097522F">
      <w:pPr>
        <w:pStyle w:val="SingleTxtG"/>
        <w:ind w:left="1701"/>
      </w:pPr>
      <w:r w:rsidRPr="007C24E8">
        <w:t>de service et ensuite, au minimum tous les douze ans.</w:t>
      </w:r>
    </w:p>
    <w:p w14:paraId="2F5D9444" w14:textId="77777777" w:rsidR="005E3367" w:rsidRPr="007C24E8" w:rsidRDefault="0097522F" w:rsidP="0097522F">
      <w:pPr>
        <w:pStyle w:val="SingleTxtG"/>
        <w:ind w:left="1701" w:hanging="567"/>
      </w:pPr>
      <w:r w:rsidRPr="007C24E8">
        <w:t>b)</w:t>
      </w:r>
      <w:r w:rsidRPr="007C24E8">
        <w:tab/>
      </w:r>
      <w:r w:rsidR="005E3367" w:rsidRPr="007C24E8">
        <w:t>Par dérogation aux prescriptions du 6.8.2.4.3, les contrôles intermédiaires doivent avoir lieu au plus tard six ans après chaque contrôle périodique.</w:t>
      </w:r>
      <w:r w:rsidRPr="007C24E8">
        <w:t> »</w:t>
      </w:r>
      <w:r w:rsidR="005E3367" w:rsidRPr="007C24E8">
        <w:t>.</w:t>
      </w:r>
    </w:p>
    <w:p w14:paraId="340DB451" w14:textId="77777777" w:rsidR="005E3367" w:rsidRPr="007C24E8" w:rsidRDefault="005E3367" w:rsidP="005E3367">
      <w:pPr>
        <w:pStyle w:val="SingleTxtG"/>
        <w:keepNext/>
        <w:keepLines/>
        <w:rPr>
          <w:i/>
          <w:iCs/>
        </w:rPr>
      </w:pPr>
      <w:r w:rsidRPr="007C24E8">
        <w:rPr>
          <w:rStyle w:val="tlid-translation"/>
          <w:i/>
          <w:iCs/>
        </w:rPr>
        <w:t>(Document</w:t>
      </w:r>
      <w:r w:rsidR="005A12ED">
        <w:rPr>
          <w:rStyle w:val="tlid-translation"/>
          <w:i/>
          <w:iCs/>
        </w:rPr>
        <w:t>s</w:t>
      </w:r>
      <w:r w:rsidRPr="007C24E8">
        <w:rPr>
          <w:rStyle w:val="tlid-translation"/>
          <w:i/>
          <w:iCs/>
        </w:rPr>
        <w:t xml:space="preserve"> de référence</w:t>
      </w:r>
      <w:r w:rsidR="004E3C2D" w:rsidRPr="007C24E8">
        <w:rPr>
          <w:rStyle w:val="tlid-translation"/>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 ECE/TRANS/WP.15/AC.1/2020/1 et ECE/TRANS/WP.15/AC.1/2020/7)</w:t>
      </w:r>
    </w:p>
    <w:p w14:paraId="0CCB696F" w14:textId="77777777" w:rsidR="005E3367" w:rsidRPr="007C24E8" w:rsidRDefault="005E3367" w:rsidP="0097522F">
      <w:pPr>
        <w:pStyle w:val="SingleTxtG"/>
        <w:keepNext/>
        <w:keepLines/>
        <w:ind w:left="2835" w:hanging="1701"/>
      </w:pPr>
      <w:r w:rsidRPr="007C24E8">
        <w:t>6.8.4 a), TC6</w:t>
      </w:r>
      <w:r w:rsidRPr="007C24E8">
        <w:tab/>
      </w:r>
      <w:r w:rsidRPr="007C24E8">
        <w:tab/>
        <w:t>Modifier comme suit</w:t>
      </w:r>
      <w:r w:rsidR="004E3C2D" w:rsidRPr="007C24E8">
        <w:t> :</w:t>
      </w:r>
    </w:p>
    <w:p w14:paraId="72989147" w14:textId="77777777" w:rsidR="005E3367" w:rsidRPr="007C24E8" w:rsidRDefault="0097522F" w:rsidP="0097522F">
      <w:pPr>
        <w:pStyle w:val="SingleTxtG"/>
      </w:pPr>
      <w:r w:rsidRPr="007C24E8">
        <w:t>« </w:t>
      </w:r>
      <w:r w:rsidR="005E3367" w:rsidRPr="007C24E8">
        <w:t>L’épaisseur de la paroi des citernes construites en aluminium d’une pureté égale ou supérieure à 99,5 % ou en alliage aluminium n’a pas besoin d’être supérieure à 15</w:t>
      </w:r>
      <w:r w:rsidRPr="007C24E8">
        <w:t> </w:t>
      </w:r>
      <w:r w:rsidR="005E3367" w:rsidRPr="007C24E8">
        <w:t xml:space="preserve">mm même lorsque le calcul selon le </w:t>
      </w:r>
      <w:r w:rsidR="009B1F20" w:rsidRPr="007C24E8">
        <w:t xml:space="preserve">paragraphe </w:t>
      </w:r>
      <w:r w:rsidR="005E3367" w:rsidRPr="007C24E8">
        <w:t>6.8.2.1.17 donne une valeur supérieure.</w:t>
      </w:r>
      <w:r w:rsidRPr="007C24E8">
        <w:t> »</w:t>
      </w:r>
      <w:r w:rsidR="005E3367" w:rsidRPr="007C24E8">
        <w:t>.</w:t>
      </w:r>
    </w:p>
    <w:p w14:paraId="620A3558" w14:textId="77777777" w:rsidR="005E3367" w:rsidRPr="007C24E8" w:rsidRDefault="005E3367" w:rsidP="005E3367">
      <w:pPr>
        <w:pStyle w:val="SingleTxtG"/>
        <w:rPr>
          <w:i/>
          <w:iCs/>
        </w:rPr>
      </w:pPr>
      <w:r w:rsidRPr="007C24E8">
        <w:rPr>
          <w:rStyle w:val="tlid-translation"/>
          <w:i/>
          <w:iCs/>
        </w:rPr>
        <w:t>(Document</w:t>
      </w:r>
      <w:r w:rsidR="005A12ED">
        <w:rPr>
          <w:rStyle w:val="tlid-translation"/>
          <w:i/>
          <w:iCs/>
        </w:rPr>
        <w:t>s</w:t>
      </w:r>
      <w:r w:rsidRPr="007C24E8">
        <w:rPr>
          <w:rStyle w:val="tlid-translation"/>
          <w:i/>
          <w:iCs/>
        </w:rPr>
        <w:t xml:space="preserve"> de référence</w:t>
      </w:r>
      <w:r w:rsidR="004E3C2D" w:rsidRPr="007C24E8">
        <w:rPr>
          <w:rStyle w:val="tlid-translation"/>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 et ECE/TRANS/WP.15/AC.1/</w:t>
      </w:r>
      <w:r w:rsidR="005A12ED">
        <w:rPr>
          <w:rStyle w:val="tlid-translation"/>
          <w:i/>
          <w:iCs/>
        </w:rPr>
        <w:t xml:space="preserve"> </w:t>
      </w:r>
      <w:r w:rsidRPr="007C24E8">
        <w:rPr>
          <w:rStyle w:val="tlid-translation"/>
          <w:i/>
          <w:iCs/>
        </w:rPr>
        <w:t>2020/34)</w:t>
      </w:r>
    </w:p>
    <w:p w14:paraId="3CAD682E" w14:textId="77777777" w:rsidR="005E3367" w:rsidRPr="007C24E8" w:rsidRDefault="005E3367" w:rsidP="005E3367">
      <w:pPr>
        <w:pStyle w:val="SingleTxtG"/>
        <w:ind w:left="2268" w:hanging="1134"/>
      </w:pPr>
      <w:r w:rsidRPr="007C24E8">
        <w:t>6.8.4 b), TE14</w:t>
      </w:r>
      <w:r w:rsidRPr="007C24E8">
        <w:tab/>
        <w:t>Modifier la deuxième phrase comme suit</w:t>
      </w:r>
      <w:r w:rsidR="004E3C2D" w:rsidRPr="007C24E8">
        <w:t> :</w:t>
      </w:r>
    </w:p>
    <w:p w14:paraId="6382862C" w14:textId="77777777" w:rsidR="005E3367" w:rsidRPr="007C24E8" w:rsidRDefault="0097522F" w:rsidP="005E3367">
      <w:pPr>
        <w:pStyle w:val="SingleTxtG"/>
      </w:pPr>
      <w:r w:rsidRPr="007C24E8">
        <w:t>« </w:t>
      </w:r>
      <w:r w:rsidR="005E3367" w:rsidRPr="007C24E8">
        <w:t>L’isolation thermique directement en contact avec le réservoir ou les éléments du dispositif de réchauffage doit avoir une température d’inflammation supérieure d’au moins 50</w:t>
      </w:r>
      <w:r w:rsidR="005A12ED">
        <w:t> </w:t>
      </w:r>
      <w:r w:rsidR="005E3367" w:rsidRPr="007C24E8">
        <w:t>°C à la température maximale pour laquelle la citerne a été conçue.</w:t>
      </w:r>
      <w:r w:rsidRPr="007C24E8">
        <w:t> »</w:t>
      </w:r>
      <w:r w:rsidR="005E3367" w:rsidRPr="007C24E8">
        <w:t>.</w:t>
      </w:r>
    </w:p>
    <w:p w14:paraId="2162418B" w14:textId="77777777" w:rsidR="005E3367" w:rsidRPr="007C24E8" w:rsidRDefault="005E3367" w:rsidP="005E3367">
      <w:pPr>
        <w:pStyle w:val="SingleTxtG"/>
        <w:rPr>
          <w:rStyle w:val="tlid-translation"/>
          <w:i/>
          <w:iCs/>
        </w:rPr>
      </w:pPr>
      <w:r w:rsidRPr="007C24E8">
        <w:rPr>
          <w:rStyle w:val="tlid-translation"/>
          <w:i/>
          <w:iCs/>
        </w:rPr>
        <w:t>(Document</w:t>
      </w:r>
      <w:r w:rsidR="005A12ED">
        <w:rPr>
          <w:rStyle w:val="tlid-translation"/>
          <w:i/>
          <w:iCs/>
        </w:rPr>
        <w:t>s</w:t>
      </w:r>
      <w:r w:rsidRPr="007C24E8">
        <w:rPr>
          <w:rStyle w:val="tlid-translation"/>
          <w:i/>
          <w:iCs/>
        </w:rPr>
        <w:t xml:space="preserve"> de référence</w:t>
      </w:r>
      <w:r w:rsidR="004E3C2D" w:rsidRPr="007C24E8">
        <w:rPr>
          <w:rStyle w:val="tlid-translation"/>
          <w:iCs/>
        </w:rPr>
        <w:t> :</w:t>
      </w:r>
      <w:r w:rsidRPr="007C24E8">
        <w:rPr>
          <w:rStyle w:val="tlid-translation"/>
          <w:i/>
          <w:iCs/>
        </w:rPr>
        <w:t xml:space="preserve"> document </w:t>
      </w:r>
      <w:r w:rsidR="009B1F20" w:rsidRPr="007C24E8">
        <w:rPr>
          <w:rStyle w:val="tlid-translation"/>
          <w:i/>
          <w:iCs/>
        </w:rPr>
        <w:t xml:space="preserve">informel </w:t>
      </w:r>
      <w:r w:rsidRPr="007C24E8">
        <w:rPr>
          <w:rStyle w:val="tlid-translation"/>
          <w:i/>
          <w:iCs/>
        </w:rPr>
        <w:t>INF.64 et ECE/TRANS/WP.15/AC.1/</w:t>
      </w:r>
      <w:r w:rsidR="005A12ED">
        <w:rPr>
          <w:rStyle w:val="tlid-translation"/>
          <w:i/>
          <w:iCs/>
        </w:rPr>
        <w:t xml:space="preserve"> </w:t>
      </w:r>
      <w:r w:rsidRPr="007C24E8">
        <w:rPr>
          <w:rStyle w:val="tlid-translation"/>
          <w:i/>
          <w:iCs/>
        </w:rPr>
        <w:t>2020/31)</w:t>
      </w:r>
    </w:p>
    <w:p w14:paraId="51793920" w14:textId="77777777" w:rsidR="004C7726" w:rsidRPr="007C24E8" w:rsidRDefault="005E3367" w:rsidP="0097522F">
      <w:pPr>
        <w:pStyle w:val="HChG"/>
      </w:pPr>
      <w:r w:rsidRPr="007C24E8">
        <w:rPr>
          <w:rStyle w:val="tlid-translation"/>
          <w:i/>
          <w:iCs/>
        </w:rPr>
        <w:br w:type="page"/>
      </w:r>
      <w:r w:rsidRPr="007C24E8">
        <w:tab/>
      </w:r>
      <w:r w:rsidRPr="007C24E8">
        <w:tab/>
      </w:r>
      <w:r w:rsidR="009B1F20" w:rsidRPr="007C24E8">
        <w:t xml:space="preserve">Annexe </w:t>
      </w:r>
      <w:r w:rsidRPr="007C24E8">
        <w:t>III</w:t>
      </w:r>
    </w:p>
    <w:p w14:paraId="32917357" w14:textId="77777777" w:rsidR="005E3367" w:rsidRPr="007C24E8" w:rsidRDefault="005E3367" w:rsidP="004C7726">
      <w:pPr>
        <w:pStyle w:val="SingleTxtG"/>
        <w:jc w:val="right"/>
      </w:pPr>
      <w:r w:rsidRPr="007C24E8">
        <w:t>[Original</w:t>
      </w:r>
      <w:r w:rsidR="004E3C2D" w:rsidRPr="007C24E8">
        <w:t> :</w:t>
      </w:r>
      <w:r w:rsidR="004C7726" w:rsidRPr="007C24E8">
        <w:t xml:space="preserve"> anglais et français</w:t>
      </w:r>
      <w:r w:rsidRPr="007C24E8">
        <w:t>]</w:t>
      </w:r>
    </w:p>
    <w:p w14:paraId="1102ADF8" w14:textId="77777777" w:rsidR="005E3367" w:rsidRPr="007C24E8" w:rsidRDefault="005E3367" w:rsidP="0097522F">
      <w:pPr>
        <w:pStyle w:val="HChG"/>
      </w:pPr>
      <w:r w:rsidRPr="007C24E8">
        <w:tab/>
      </w:r>
      <w:r w:rsidRPr="007C24E8">
        <w:tab/>
        <w:t>Procédure révisée pour la coopération avec le Comité européen de normalisation (CEN) et le Comité européen de</w:t>
      </w:r>
      <w:r w:rsidR="0097522F" w:rsidRPr="007C24E8">
        <w:t> </w:t>
      </w:r>
      <w:r w:rsidRPr="007C24E8">
        <w:t>normalisation électrotechnique (CENELEC)</w:t>
      </w:r>
    </w:p>
    <w:p w14:paraId="2ED8C302" w14:textId="77777777" w:rsidR="005E3367" w:rsidRPr="007C24E8" w:rsidRDefault="005E3367" w:rsidP="0097522F">
      <w:pPr>
        <w:pStyle w:val="H1G"/>
      </w:pPr>
      <w:r w:rsidRPr="007C24E8">
        <w:tab/>
        <w:t>1.</w:t>
      </w:r>
      <w:r w:rsidRPr="007C24E8">
        <w:tab/>
        <w:t>Définitions</w:t>
      </w:r>
    </w:p>
    <w:p w14:paraId="4CBDFB3E" w14:textId="77777777" w:rsidR="005E3367" w:rsidRPr="007C24E8" w:rsidRDefault="005E3367" w:rsidP="001177B9">
      <w:pPr>
        <w:pStyle w:val="SingleTxtG"/>
        <w:ind w:firstLine="567"/>
        <w:rPr>
          <w:b/>
        </w:rPr>
      </w:pPr>
      <w:r w:rsidRPr="007C24E8">
        <w:t>Aux fins des présentes procédures, les définitions suivantes s’appliquent</w:t>
      </w:r>
      <w:r w:rsidR="004E3C2D" w:rsidRPr="007C24E8">
        <w:t> :</w:t>
      </w:r>
    </w:p>
    <w:p w14:paraId="2F5C595C" w14:textId="77777777" w:rsidR="005E3367" w:rsidRPr="007C24E8" w:rsidRDefault="005E3367" w:rsidP="0097522F">
      <w:pPr>
        <w:pStyle w:val="H23G"/>
      </w:pPr>
      <w:r w:rsidRPr="007C24E8">
        <w:tab/>
        <w:t>1.1</w:t>
      </w:r>
      <w:r w:rsidRPr="007C24E8">
        <w:tab/>
        <w:t>Normes spécialisées</w:t>
      </w:r>
    </w:p>
    <w:p w14:paraId="04DCDE1D" w14:textId="77777777" w:rsidR="005E3367" w:rsidRPr="007C24E8" w:rsidRDefault="005E3367" w:rsidP="001177B9">
      <w:pPr>
        <w:pStyle w:val="SingleTxtG"/>
        <w:ind w:firstLine="567"/>
      </w:pPr>
      <w:r w:rsidRPr="007C24E8">
        <w:t>Normes EN ou EN ISO ayant des liens avec des prescriptions existantes du RID, de l’ADR ou de l’ADN et élaborées expressément en fonction des règles relatives au transport des marchandises dangereuses qui figurent dans RID/ADR/ADN.</w:t>
      </w:r>
    </w:p>
    <w:p w14:paraId="2841C126" w14:textId="77777777" w:rsidR="005E3367" w:rsidRPr="007C24E8" w:rsidRDefault="005E3367" w:rsidP="001177B9">
      <w:pPr>
        <w:pStyle w:val="SingleTxtG"/>
        <w:ind w:firstLine="567"/>
      </w:pPr>
      <w:r w:rsidRPr="007C24E8">
        <w:t>En ce qui concerne les normes spécialisées, la Réunion commune a les compétences requises pour évaluer le degré de conformité aux prescriptions du RID/ADR/ADN et influer sur le contenu des normes sans avoir à consulter d’autres secteurs (par exemple pour les normes relatives à la conception et à la construction des récipients à pression et des citernes et aux épreuves qu’ils doivent subir, ainsi que certaines normes d’emballage).</w:t>
      </w:r>
    </w:p>
    <w:p w14:paraId="7D9B94A2" w14:textId="77777777" w:rsidR="005E3367" w:rsidRPr="007C24E8" w:rsidRDefault="005E3367" w:rsidP="001177B9">
      <w:pPr>
        <w:pStyle w:val="SingleTxtG"/>
        <w:ind w:firstLine="567"/>
      </w:pPr>
      <w:r w:rsidRPr="007C24E8">
        <w:t>La phrase ci-après figure en préambule de ces normes spécialisées</w:t>
      </w:r>
      <w:r w:rsidR="004E3C2D" w:rsidRPr="007C24E8">
        <w:t> :</w:t>
      </w:r>
    </w:p>
    <w:p w14:paraId="54A21624" w14:textId="77777777" w:rsidR="005E3367" w:rsidRPr="007C24E8" w:rsidRDefault="0097522F" w:rsidP="001177B9">
      <w:pPr>
        <w:pStyle w:val="SingleTxtG"/>
        <w:ind w:firstLine="567"/>
      </w:pPr>
      <w:r w:rsidRPr="007C24E8">
        <w:t>« </w:t>
      </w:r>
      <w:r w:rsidR="005E3367" w:rsidRPr="007C24E8">
        <w:t>La présente norme a été citée en référence dans le RID et/ou dans les annexes techniques de l’ADR.</w:t>
      </w:r>
      <w:r w:rsidRPr="007C24E8">
        <w:t> »</w:t>
      </w:r>
      <w:r w:rsidR="005E3367" w:rsidRPr="007C24E8">
        <w:t>.</w:t>
      </w:r>
    </w:p>
    <w:p w14:paraId="693856B1" w14:textId="77777777" w:rsidR="005E3367" w:rsidRPr="007C24E8" w:rsidRDefault="005E3367" w:rsidP="001177B9">
      <w:pPr>
        <w:pStyle w:val="SingleTxtG"/>
        <w:ind w:firstLine="567"/>
      </w:pPr>
      <w:r w:rsidRPr="007C24E8">
        <w:t>Exemples</w:t>
      </w:r>
      <w:r w:rsidR="004E3C2D" w:rsidRPr="007C24E8">
        <w:t> :</w:t>
      </w:r>
    </w:p>
    <w:p w14:paraId="3162A88E" w14:textId="77777777" w:rsidR="005E3367" w:rsidRPr="007C24E8" w:rsidRDefault="005E3367" w:rsidP="0097522F">
      <w:pPr>
        <w:pStyle w:val="Bullet1G"/>
      </w:pPr>
      <w:r w:rsidRPr="007C24E8">
        <w:t>La quasi-totalité des normes relatives à la conception, à la construction, au contrôle et au marquage des récipients à pression et des citernes et aux épreuves qu’ils doivent subir</w:t>
      </w:r>
      <w:r w:rsidR="00F218AE" w:rsidRPr="007C24E8">
        <w:t> ;</w:t>
      </w:r>
    </w:p>
    <w:p w14:paraId="30E92AC6" w14:textId="77777777" w:rsidR="005E3367" w:rsidRPr="007C24E8" w:rsidRDefault="005E3367" w:rsidP="0097522F">
      <w:pPr>
        <w:pStyle w:val="Bullet1G"/>
      </w:pPr>
      <w:r w:rsidRPr="007C24E8">
        <w:t>Certaines normes d’emballage.</w:t>
      </w:r>
    </w:p>
    <w:p w14:paraId="7C1AC9F0" w14:textId="77777777" w:rsidR="005E3367" w:rsidRPr="007C24E8" w:rsidRDefault="005E3367" w:rsidP="001177B9">
      <w:pPr>
        <w:pStyle w:val="SingleTxtG"/>
        <w:ind w:firstLine="567"/>
      </w:pPr>
      <w:r w:rsidRPr="007C24E8">
        <w:t>Les normes spécialisées sont soumises aux procédures décrites ci-après et le Groupe de travail des normes les examine afin de s’assurer qu’elles sont conformes aux prescriptions du RID/ADR/ADN.</w:t>
      </w:r>
    </w:p>
    <w:p w14:paraId="2AC1FE7D" w14:textId="77777777" w:rsidR="005E3367" w:rsidRPr="007C24E8" w:rsidRDefault="005E3367" w:rsidP="0097522F">
      <w:pPr>
        <w:pStyle w:val="H23G"/>
      </w:pPr>
      <w:r w:rsidRPr="007C24E8">
        <w:tab/>
        <w:t>1.2</w:t>
      </w:r>
      <w:r w:rsidRPr="007C24E8">
        <w:tab/>
        <w:t>Normes à caractère général</w:t>
      </w:r>
    </w:p>
    <w:p w14:paraId="6F4CD674" w14:textId="77777777" w:rsidR="005E3367" w:rsidRPr="007C24E8" w:rsidRDefault="005E3367" w:rsidP="001177B9">
      <w:pPr>
        <w:pStyle w:val="SingleTxtG"/>
        <w:ind w:firstLine="567"/>
      </w:pPr>
      <w:r w:rsidRPr="007C24E8">
        <w:t>Normes qui ont été élaborée hors du domaine du transport des marchandises dangereuses par des experts d’autres domaines.</w:t>
      </w:r>
    </w:p>
    <w:p w14:paraId="71CC0032" w14:textId="77777777" w:rsidR="005E3367" w:rsidRPr="007C24E8" w:rsidRDefault="005E3367" w:rsidP="001177B9">
      <w:pPr>
        <w:pStyle w:val="SingleTxtG"/>
        <w:ind w:firstLine="567"/>
      </w:pPr>
      <w:r w:rsidRPr="007C24E8">
        <w:t xml:space="preserve">Les normes à caractère général aident à comprendre les prescriptions du </w:t>
      </w:r>
      <w:r w:rsidRPr="007C24E8">
        <w:rPr>
          <w:rFonts w:eastAsia="Calibri"/>
        </w:rPr>
        <w:t>RID, de l’ADR et de l’ADN</w:t>
      </w:r>
      <w:r w:rsidRPr="007C24E8">
        <w:t xml:space="preserve">, à assurer leur application uniforme et à obtenir des résultats cohérents en termes de mesures, d’inspection et d’épreuves. Dans la plupart des cas, les normes à caractère général ne sont pas susceptibles d’être en contradiction avec les prescriptions du </w:t>
      </w:r>
      <w:r w:rsidRPr="007C24E8">
        <w:rPr>
          <w:rFonts w:eastAsia="Calibri"/>
        </w:rPr>
        <w:t>RID, de l’ADR et de l’ADN</w:t>
      </w:r>
      <w:r w:rsidRPr="007C24E8">
        <w:t>.</w:t>
      </w:r>
    </w:p>
    <w:p w14:paraId="3A307946" w14:textId="77777777" w:rsidR="005E3367" w:rsidRPr="007C24E8" w:rsidRDefault="005E3367" w:rsidP="001177B9">
      <w:pPr>
        <w:pStyle w:val="SingleTxtG"/>
        <w:ind w:firstLine="567"/>
      </w:pPr>
      <w:r w:rsidRPr="007C24E8">
        <w:t>Exemples</w:t>
      </w:r>
      <w:r w:rsidR="004E3C2D" w:rsidRPr="007C24E8">
        <w:t> :</w:t>
      </w:r>
    </w:p>
    <w:p w14:paraId="70A936B0" w14:textId="77777777" w:rsidR="005E3367" w:rsidRPr="007C24E8" w:rsidRDefault="005E3367" w:rsidP="0097522F">
      <w:pPr>
        <w:pStyle w:val="Bullet1G"/>
      </w:pPr>
      <w:r w:rsidRPr="007C24E8">
        <w:t>Normes relatives à la détermination des propriétés physiques des marchandises dangereuses</w:t>
      </w:r>
      <w:r w:rsidR="00F218AE" w:rsidRPr="007C24E8">
        <w:t> ;</w:t>
      </w:r>
    </w:p>
    <w:p w14:paraId="26A3E9FC" w14:textId="77777777" w:rsidR="005E3367" w:rsidRPr="007C24E8" w:rsidRDefault="005E3367" w:rsidP="0097522F">
      <w:pPr>
        <w:pStyle w:val="Bullet1G"/>
      </w:pPr>
      <w:r w:rsidRPr="007C24E8">
        <w:t>Normes relatives aux propriétés mécaniques des matériaux et à leur mise à l’essai</w:t>
      </w:r>
      <w:r w:rsidR="00F218AE" w:rsidRPr="007C24E8">
        <w:t> ;</w:t>
      </w:r>
    </w:p>
    <w:p w14:paraId="79543FAF" w14:textId="77777777" w:rsidR="005E3367" w:rsidRPr="007C24E8" w:rsidRDefault="005E3367" w:rsidP="0097522F">
      <w:pPr>
        <w:pStyle w:val="Bullet1G"/>
      </w:pPr>
      <w:r w:rsidRPr="007C24E8">
        <w:t>Normes relatives à la compatibilité chimique et physique des matières de remplissage et des matériaux de construction</w:t>
      </w:r>
      <w:r w:rsidR="00F218AE" w:rsidRPr="007C24E8">
        <w:t> ;</w:t>
      </w:r>
    </w:p>
    <w:p w14:paraId="301C264B" w14:textId="77777777" w:rsidR="005E3367" w:rsidRPr="007C24E8" w:rsidRDefault="005E3367" w:rsidP="0097522F">
      <w:pPr>
        <w:pStyle w:val="Bullet1G"/>
      </w:pPr>
      <w:r w:rsidRPr="007C24E8">
        <w:t>Normes relatives aux conteneurs</w:t>
      </w:r>
      <w:r w:rsidR="00F218AE" w:rsidRPr="007C24E8">
        <w:t> ;</w:t>
      </w:r>
    </w:p>
    <w:p w14:paraId="42F5DFB1" w14:textId="77777777" w:rsidR="005E3367" w:rsidRPr="007C24E8" w:rsidRDefault="005E3367" w:rsidP="0097522F">
      <w:pPr>
        <w:pStyle w:val="Bullet1G"/>
      </w:pPr>
      <w:r w:rsidRPr="007C24E8">
        <w:t>Normes relatives aux équipements des véhicules et des personnels.</w:t>
      </w:r>
    </w:p>
    <w:p w14:paraId="6D9357F9" w14:textId="77777777" w:rsidR="005E3367" w:rsidRPr="007C24E8" w:rsidRDefault="005E3367" w:rsidP="001177B9">
      <w:pPr>
        <w:pStyle w:val="SingleTxtG"/>
        <w:ind w:firstLine="567"/>
      </w:pPr>
      <w:r w:rsidRPr="007C24E8">
        <w:t>Les normes à caractère général sont soumises aux procédures décrites ci-après et présentées dans le diagramme ci-joint.</w:t>
      </w:r>
    </w:p>
    <w:p w14:paraId="48A2E105" w14:textId="77777777" w:rsidR="005E3367" w:rsidRPr="007C24E8" w:rsidRDefault="0097522F" w:rsidP="0097522F">
      <w:pPr>
        <w:pStyle w:val="H23G"/>
      </w:pPr>
      <w:r w:rsidRPr="007C24E8">
        <w:tab/>
      </w:r>
      <w:r w:rsidR="005E3367" w:rsidRPr="007C24E8">
        <w:t>1.3</w:t>
      </w:r>
      <w:r w:rsidR="005E3367" w:rsidRPr="007C24E8">
        <w:tab/>
        <w:t>Conseiller pour les normes</w:t>
      </w:r>
    </w:p>
    <w:p w14:paraId="2B9F5682" w14:textId="77777777" w:rsidR="005E3367" w:rsidRPr="007C24E8" w:rsidRDefault="005E3367" w:rsidP="001177B9">
      <w:pPr>
        <w:pStyle w:val="SingleTxtG"/>
        <w:ind w:firstLine="567"/>
        <w:rPr>
          <w:spacing w:val="-1"/>
        </w:rPr>
      </w:pPr>
      <w:r w:rsidRPr="007C24E8">
        <w:rPr>
          <w:spacing w:val="-1"/>
        </w:rPr>
        <w:t xml:space="preserve">Le Conseiller pour les normes est nommé par la Réunion commune. </w:t>
      </w:r>
      <w:r w:rsidRPr="007C24E8">
        <w:rPr>
          <w:rFonts w:eastAsia="Calibri"/>
          <w:spacing w:val="-1"/>
        </w:rPr>
        <w:t xml:space="preserve">Il est chargé d’évaluer la </w:t>
      </w:r>
      <w:r w:rsidRPr="001177B9">
        <w:t>conformité</w:t>
      </w:r>
      <w:r w:rsidRPr="007C24E8">
        <w:rPr>
          <w:rFonts w:eastAsia="Calibri"/>
          <w:spacing w:val="-1"/>
        </w:rPr>
        <w:t xml:space="preserve"> des projets de normes du Comité européen de normalisation/Comité européen de normalisation électrotechnique (</w:t>
      </w:r>
      <w:bookmarkStart w:id="23" w:name="hit5"/>
      <w:bookmarkStart w:id="24" w:name="_Hlk44916370"/>
      <w:bookmarkEnd w:id="23"/>
      <w:r w:rsidRPr="007C24E8">
        <w:rPr>
          <w:rFonts w:eastAsia="Calibri"/>
          <w:spacing w:val="-1"/>
        </w:rPr>
        <w:t>CEN/</w:t>
      </w:r>
      <w:bookmarkStart w:id="25" w:name="hit6"/>
      <w:bookmarkEnd w:id="25"/>
      <w:r w:rsidRPr="007C24E8">
        <w:rPr>
          <w:rFonts w:eastAsia="Calibri"/>
          <w:spacing w:val="-1"/>
        </w:rPr>
        <w:t>CENELEC</w:t>
      </w:r>
      <w:bookmarkEnd w:id="24"/>
      <w:r w:rsidRPr="007C24E8">
        <w:rPr>
          <w:rFonts w:eastAsia="Calibri"/>
          <w:spacing w:val="-1"/>
        </w:rPr>
        <w:t>) au RID, à l’ADR et à l’ADN.</w:t>
      </w:r>
    </w:p>
    <w:p w14:paraId="1AC67CF7" w14:textId="77777777" w:rsidR="005E3367" w:rsidRPr="007C24E8" w:rsidRDefault="005E3367" w:rsidP="0097522F">
      <w:pPr>
        <w:pStyle w:val="H1G"/>
      </w:pPr>
      <w:r w:rsidRPr="007C24E8">
        <w:tab/>
        <w:t>2.</w:t>
      </w:r>
      <w:r w:rsidRPr="007C24E8">
        <w:tab/>
        <w:t>Procédures</w:t>
      </w:r>
    </w:p>
    <w:p w14:paraId="4BB4CB00" w14:textId="77777777" w:rsidR="005E3367" w:rsidRPr="007C24E8" w:rsidRDefault="005E3367" w:rsidP="0097522F">
      <w:pPr>
        <w:pStyle w:val="H23G"/>
      </w:pPr>
      <w:r w:rsidRPr="007C24E8">
        <w:tab/>
        <w:t>2.1</w:t>
      </w:r>
      <w:r w:rsidRPr="007C24E8">
        <w:tab/>
        <w:t>Procédure d’élaboration des normes spécialisées</w:t>
      </w:r>
    </w:p>
    <w:p w14:paraId="71DC8C79" w14:textId="77777777" w:rsidR="005E3367" w:rsidRPr="007C24E8" w:rsidRDefault="005E3367" w:rsidP="0097522F">
      <w:pPr>
        <w:pStyle w:val="H23G"/>
      </w:pPr>
      <w:r w:rsidRPr="007C24E8">
        <w:tab/>
      </w:r>
      <w:r w:rsidRPr="007C24E8">
        <w:tab/>
        <w:t>Étape 1</w:t>
      </w:r>
    </w:p>
    <w:p w14:paraId="3505F71E" w14:textId="77777777" w:rsidR="005E3367" w:rsidRPr="007C24E8" w:rsidRDefault="005E3367" w:rsidP="001177B9">
      <w:pPr>
        <w:pStyle w:val="SingleTxtG"/>
        <w:ind w:firstLine="567"/>
      </w:pPr>
      <w:r w:rsidRPr="007C24E8">
        <w:t>Le Comité européen de normalisation (CEN) et le Comité européen de normalisation électrotechnique (CENELEC) élaboreront des normes conformément aux règles du CEN/CENELEC. Le consultant du CEN/CENELEC informera la Réunion commune des nouveaux points inscrits au programme de travail et de l’évolution des travaux du CEN/CENELEC visant à introduire, en y faisant référence, des normes dans le RID/ADR/ADN. Les délégations à la Réunion commune des pays membres du CEN/CENELEC peuvent transmettre des observations d’ordre technique à leur organisme national de normalisation pendant la durée du processus de consultation du CEN/CENELEC (trois mois).</w:t>
      </w:r>
    </w:p>
    <w:p w14:paraId="40E608CC" w14:textId="77777777" w:rsidR="005E3367" w:rsidRPr="007C24E8" w:rsidRDefault="005E3367" w:rsidP="0097522F">
      <w:pPr>
        <w:pStyle w:val="H23G"/>
      </w:pPr>
      <w:r w:rsidRPr="007C24E8">
        <w:tab/>
      </w:r>
      <w:r w:rsidRPr="007C24E8">
        <w:tab/>
        <w:t>Étape 2</w:t>
      </w:r>
    </w:p>
    <w:p w14:paraId="53EC5E36" w14:textId="77777777" w:rsidR="005E3367" w:rsidRPr="007C24E8" w:rsidRDefault="005E3367" w:rsidP="001177B9">
      <w:pPr>
        <w:pStyle w:val="SingleTxtG"/>
        <w:ind w:firstLine="567"/>
      </w:pPr>
      <w:r w:rsidRPr="007C24E8">
        <w:t xml:space="preserve">Les projets de norme prêts pour l’étape de consultation seront affichés </w:t>
      </w:r>
      <w:r w:rsidRPr="007C24E8">
        <w:rPr>
          <w:rFonts w:eastAsia="Calibri"/>
        </w:rPr>
        <w:t xml:space="preserve">avec l’évaluation établie par le Conseiller pour les normes </w:t>
      </w:r>
      <w:r w:rsidRPr="007C24E8">
        <w:t>sur un site Web du CEN protégé par mot de passe propre à la session suivante de la Réunion commune, sous le nom de «</w:t>
      </w:r>
      <w:r w:rsidR="0097522F" w:rsidRPr="007C24E8">
        <w:t> </w:t>
      </w:r>
      <w:r w:rsidRPr="007C24E8">
        <w:t>Envoi X</w:t>
      </w:r>
      <w:r w:rsidR="0097522F" w:rsidRPr="007C24E8">
        <w:rPr>
          <w:rStyle w:val="FootnoteReference"/>
        </w:rPr>
        <w:footnoteReference w:id="4"/>
      </w:r>
      <w:r w:rsidRPr="007C24E8">
        <w:t> » accessible uniquement aux membres du Groupe de travail des normes de la Réunion commune et aux délégations participant à la Réunion commune. Les membres qui ont accès à ce site seront automatiquement avertis chaque fois qu’un document y sera affiché.</w:t>
      </w:r>
    </w:p>
    <w:p w14:paraId="2DE7313C" w14:textId="77777777" w:rsidR="005E3367" w:rsidRPr="007C24E8" w:rsidRDefault="005E3367" w:rsidP="001177B9">
      <w:pPr>
        <w:pStyle w:val="SingleTxtG"/>
        <w:ind w:firstLine="567"/>
      </w:pPr>
      <w:r w:rsidRPr="007C24E8">
        <w:t xml:space="preserve">Les membres du Groupe de travail peuvent donner leur avis sur la conformité des normes avec le </w:t>
      </w:r>
      <w:bookmarkStart w:id="26" w:name="_Hlk42806480"/>
      <w:r w:rsidRPr="007C24E8">
        <w:rPr>
          <w:rFonts w:eastAsia="Calibri"/>
        </w:rPr>
        <w:t>RID, l’ADR et l’ADN</w:t>
      </w:r>
      <w:bookmarkEnd w:id="26"/>
      <w:r w:rsidRPr="007C24E8">
        <w:t xml:space="preserve">. Leurs observations seront transmises </w:t>
      </w:r>
      <w:r w:rsidRPr="007C24E8">
        <w:rPr>
          <w:rFonts w:eastAsia="Calibri"/>
        </w:rPr>
        <w:t xml:space="preserve">au Centre de gestion du CEN/CENELEC et </w:t>
      </w:r>
      <w:r w:rsidRPr="007C24E8">
        <w:t xml:space="preserve">au </w:t>
      </w:r>
      <w:r w:rsidRPr="007C24E8">
        <w:rPr>
          <w:rFonts w:eastAsia="Calibri"/>
        </w:rPr>
        <w:t>Conseiller pour les normes</w:t>
      </w:r>
      <w:r w:rsidRPr="007C24E8">
        <w:t>, qui les rassembleront dans un document d’information pour la session de la Réunion commune. Ce document ainsi que l’évaluation établie par le consultant feront l’objet de discussions au sein du Groupe de travail des normes.</w:t>
      </w:r>
    </w:p>
    <w:p w14:paraId="195888B1" w14:textId="77777777" w:rsidR="005E3367" w:rsidRPr="007C24E8" w:rsidRDefault="005E3367" w:rsidP="001177B9">
      <w:pPr>
        <w:pStyle w:val="SingleTxtG"/>
        <w:ind w:firstLine="567"/>
        <w:rPr>
          <w:rFonts w:eastAsia="Calibri"/>
        </w:rPr>
      </w:pPr>
      <w:r w:rsidRPr="007C24E8">
        <w:rPr>
          <w:rFonts w:eastAsia="Calibri"/>
        </w:rPr>
        <w:t xml:space="preserve">Étant donné qu’en l’absence d’observations techniques, l’étape du vote formel peut être </w:t>
      </w:r>
      <w:r w:rsidRPr="001177B9">
        <w:t>sautée</w:t>
      </w:r>
      <w:r w:rsidRPr="007C24E8">
        <w:rPr>
          <w:rFonts w:eastAsia="Calibri"/>
        </w:rPr>
        <w:t>, le Groupe de travail des normes doit signifier qu’il accepte les normes à ce stade si la conformité au RID, à l’ADR et à l’ADN est établie.</w:t>
      </w:r>
    </w:p>
    <w:p w14:paraId="7480A31F" w14:textId="77777777" w:rsidR="005E3367" w:rsidRPr="007C24E8" w:rsidRDefault="005E3367" w:rsidP="0097522F">
      <w:pPr>
        <w:pStyle w:val="H23G"/>
      </w:pPr>
      <w:r w:rsidRPr="007C24E8">
        <w:tab/>
      </w:r>
      <w:r w:rsidRPr="007C24E8">
        <w:tab/>
        <w:t>Étape 3</w:t>
      </w:r>
    </w:p>
    <w:p w14:paraId="05FEDEA4" w14:textId="77777777" w:rsidR="005E3367" w:rsidRPr="007C24E8" w:rsidRDefault="005E3367" w:rsidP="001177B9">
      <w:pPr>
        <w:pStyle w:val="SingleTxtG"/>
        <w:ind w:firstLine="567"/>
      </w:pPr>
      <w:r w:rsidRPr="007C24E8">
        <w:t xml:space="preserve">Une fois la norme prête pour le vote formel, </w:t>
      </w:r>
      <w:r w:rsidRPr="007C24E8">
        <w:rPr>
          <w:rFonts w:eastAsia="Calibri"/>
        </w:rPr>
        <w:t>ou si l’étape du vote formel a été sautée</w:t>
      </w:r>
      <w:r w:rsidRPr="007C24E8">
        <w:t xml:space="preserve">, une copie sera affichée sur le site Web du CEN, accompagnée de l’évaluation du consultant </w:t>
      </w:r>
      <w:bookmarkStart w:id="27" w:name="_Hlk55913599"/>
      <w:r w:rsidRPr="007C24E8">
        <w:t xml:space="preserve">pour les normes </w:t>
      </w:r>
      <w:bookmarkEnd w:id="27"/>
      <w:r w:rsidRPr="007C24E8">
        <w:t>indiquant la façon dont les observations de la Réunion commune ont été prises en considération. Les membres qui ont accès à ce site seront automatiquement avertis chaque fois qu’un document y sera affiché.</w:t>
      </w:r>
    </w:p>
    <w:p w14:paraId="1DAFEF27" w14:textId="77777777" w:rsidR="005E3367" w:rsidRPr="007C24E8" w:rsidRDefault="005E3367" w:rsidP="001177B9">
      <w:pPr>
        <w:pStyle w:val="SingleTxtG"/>
        <w:ind w:firstLine="567"/>
      </w:pPr>
      <w:r w:rsidRPr="007C24E8">
        <w:t xml:space="preserve">Les observations relatives à la conformité de la norme avec le </w:t>
      </w:r>
      <w:r w:rsidRPr="007C24E8">
        <w:rPr>
          <w:rFonts w:eastAsia="Calibri"/>
        </w:rPr>
        <w:t>RID, l’ADR ou l’ADN d</w:t>
      </w:r>
      <w:r w:rsidRPr="007C24E8">
        <w:t>evraient être adressées au Centre de gestion du CEN/CENELEC ainsi qu’au consultant pour les normes, qui les évaluera dans le mois suivant la date de diffusion du document. Si elles sont jugées valables, le lancement de la procédure de vote formel pourra être différé jusqu’à ce que tous les problèmes éventuels aient été résolus. Les observations reçues après qu’un mois se sera écoulé n’auront pas pour effet de retarder la publication, mais toute modification en résultant pour la norme sera effectuée par voie de révision</w:t>
      </w:r>
      <w:r w:rsidRPr="007C24E8">
        <w:rPr>
          <w:rFonts w:eastAsia="Calibri"/>
        </w:rPr>
        <w:t xml:space="preserve"> ou d’amendement</w:t>
      </w:r>
      <w:r w:rsidRPr="007C24E8">
        <w:t>.</w:t>
      </w:r>
    </w:p>
    <w:p w14:paraId="01768024" w14:textId="77777777" w:rsidR="005E3367" w:rsidRPr="007C24E8" w:rsidRDefault="005E3367" w:rsidP="005E3367">
      <w:pPr>
        <w:pStyle w:val="H23G"/>
      </w:pPr>
      <w:r w:rsidRPr="007C24E8">
        <w:tab/>
      </w:r>
      <w:r w:rsidRPr="007C24E8">
        <w:tab/>
        <w:t>Étape 4</w:t>
      </w:r>
    </w:p>
    <w:p w14:paraId="3A1E97CE" w14:textId="77777777" w:rsidR="005E3367" w:rsidRPr="007C24E8" w:rsidRDefault="005E3367" w:rsidP="001177B9">
      <w:pPr>
        <w:pStyle w:val="SingleTxtG"/>
        <w:ind w:firstLine="567"/>
      </w:pPr>
      <w:r w:rsidRPr="007C24E8">
        <w:t>La Réunion commune décidera s’il y a lieu de renvoyer aux normes CEN/CENELEC sur la base de l’examen par les délégations du texte établi en vue du vote formel</w:t>
      </w:r>
      <w:r w:rsidRPr="007C24E8">
        <w:rPr>
          <w:rFonts w:eastAsia="Calibri"/>
        </w:rPr>
        <w:t xml:space="preserve"> ou du texte à publier</w:t>
      </w:r>
      <w:r w:rsidRPr="007C24E8">
        <w:t>, compte tenu des recommandations du consultant pour les normes</w:t>
      </w:r>
      <w:r w:rsidRPr="007C24E8">
        <w:rPr>
          <w:bCs/>
        </w:rPr>
        <w:t xml:space="preserve"> </w:t>
      </w:r>
      <w:r w:rsidRPr="007C24E8">
        <w:t>et du Groupe de travail des normes de la Réunion commune.</w:t>
      </w:r>
    </w:p>
    <w:p w14:paraId="42B2928D" w14:textId="77777777" w:rsidR="005E3367" w:rsidRPr="007C24E8" w:rsidRDefault="005E3367" w:rsidP="001177B9">
      <w:pPr>
        <w:pStyle w:val="SingleTxtG"/>
        <w:ind w:firstLine="567"/>
      </w:pPr>
      <w:r w:rsidRPr="007C24E8">
        <w:t>L’affichage des tel qu’il est mentionné aux étapes 2 et 3 doit s’achever huit semaines avant la session de la Réunion commune.</w:t>
      </w:r>
    </w:p>
    <w:p w14:paraId="57AD12EC" w14:textId="77777777" w:rsidR="005E3367" w:rsidRPr="007C24E8" w:rsidRDefault="005E3367" w:rsidP="0097522F">
      <w:pPr>
        <w:pStyle w:val="H23G"/>
      </w:pPr>
      <w:r w:rsidRPr="007C24E8">
        <w:tab/>
        <w:t>2.2</w:t>
      </w:r>
      <w:r w:rsidRPr="007C24E8">
        <w:tab/>
        <w:t>Procédure pour les références aux normes par suite de l’harmonisation avec le</w:t>
      </w:r>
      <w:r w:rsidR="0097522F" w:rsidRPr="007C24E8">
        <w:t> </w:t>
      </w:r>
      <w:r w:rsidRPr="007C24E8">
        <w:t>Règlement type de l’</w:t>
      </w:r>
      <w:r w:rsidR="007C24E8">
        <w:t>ONU</w:t>
      </w:r>
      <w:r w:rsidR="001177B9">
        <w:t xml:space="preserve"> </w:t>
      </w:r>
      <w:r w:rsidRPr="007C24E8">
        <w:t>pour le transport des marchandises dangereuses</w:t>
      </w:r>
    </w:p>
    <w:p w14:paraId="25BBD090" w14:textId="77777777" w:rsidR="005E3367" w:rsidRPr="007C24E8" w:rsidRDefault="005E3367" w:rsidP="001177B9">
      <w:pPr>
        <w:pStyle w:val="SingleTxtG"/>
        <w:ind w:firstLine="567"/>
      </w:pPr>
      <w:r w:rsidRPr="007C24E8">
        <w:t>Le Groupe de travail spécial sur l’harmonisation des règlements RID/ADR/ADN avec les Recommandations de l’</w:t>
      </w:r>
      <w:r w:rsidR="007C24E8">
        <w:t>ONU</w:t>
      </w:r>
      <w:r w:rsidR="001177B9">
        <w:t xml:space="preserve"> </w:t>
      </w:r>
      <w:r w:rsidRPr="007C24E8">
        <w:t>relatives au transport de marchandises dangereuses informera la Réunion commune de toute référence à des normes internationales nouvelles ou révisées qui pourrait résulter de modifications apportées au Règlement type destinées à être transposées dans les règlements RID/ADR/ADN.</w:t>
      </w:r>
    </w:p>
    <w:p w14:paraId="313CDC36" w14:textId="77777777" w:rsidR="005E3367" w:rsidRPr="007C24E8" w:rsidRDefault="005E3367" w:rsidP="001177B9">
      <w:pPr>
        <w:pStyle w:val="SingleTxtG"/>
        <w:ind w:firstLine="567"/>
      </w:pPr>
      <w:r w:rsidRPr="007C24E8">
        <w:t>Il est généralement admis que ces normes sont conformes au Règlement type. Si un membre de la Réunion commune</w:t>
      </w:r>
      <w:r w:rsidR="001177B9" w:rsidRPr="007C24E8">
        <w:rPr>
          <w:rStyle w:val="FootnoteReference"/>
        </w:rPr>
        <w:footnoteReference w:id="5"/>
      </w:r>
      <w:r w:rsidRPr="007C24E8">
        <w:t xml:space="preserve"> met en doute la conformité de ces normes avec les prescriptions du RID, de l’ADR ou de l’ADN, la Réunion commune peut demander au Groupe de travail des normes d’étudier la question. Le membre qui a soulevé le problème fournira le texte de la norme, accompagné des motifs de ses préoccupations.</w:t>
      </w:r>
    </w:p>
    <w:p w14:paraId="06D8CA6E" w14:textId="77777777" w:rsidR="005E3367" w:rsidRPr="007C24E8" w:rsidRDefault="005E3367" w:rsidP="0097522F">
      <w:pPr>
        <w:pStyle w:val="H23G"/>
      </w:pPr>
      <w:r w:rsidRPr="007C24E8">
        <w:tab/>
        <w:t>2.3</w:t>
      </w:r>
      <w:r w:rsidRPr="007C24E8">
        <w:tab/>
        <w:t>Procédure pour les renvois à des normes européennes à caractère général</w:t>
      </w:r>
    </w:p>
    <w:p w14:paraId="45DA8406" w14:textId="77777777" w:rsidR="005E3367" w:rsidRPr="007C24E8" w:rsidRDefault="005E3367" w:rsidP="0097522F">
      <w:pPr>
        <w:pStyle w:val="H23G"/>
      </w:pPr>
      <w:r w:rsidRPr="007C24E8">
        <w:tab/>
        <w:t>2.3.1</w:t>
      </w:r>
      <w:r w:rsidRPr="007C24E8">
        <w:tab/>
        <w:t>Procédure pour les nouveaux renvois à des normes européennes à caractère général</w:t>
      </w:r>
    </w:p>
    <w:p w14:paraId="6B07BE82" w14:textId="77777777" w:rsidR="005E3367" w:rsidRPr="007C24E8" w:rsidRDefault="005E3367" w:rsidP="001177B9">
      <w:pPr>
        <w:pStyle w:val="SingleTxtG"/>
        <w:ind w:firstLine="567"/>
      </w:pPr>
      <w:r w:rsidRPr="007C24E8">
        <w:t>Si un membre de la Réunion commune</w:t>
      </w:r>
      <w:r w:rsidR="001177B9" w:rsidRPr="001177B9">
        <w:rPr>
          <w:sz w:val="18"/>
          <w:szCs w:val="18"/>
          <w:vertAlign w:val="superscript"/>
        </w:rPr>
        <w:t>2</w:t>
      </w:r>
      <w:r w:rsidRPr="007C24E8">
        <w:t xml:space="preserve"> demande l’inclusion d’une norme à caractère général supplémentaire, le Centre de gestion du CEN/CENELEC affichera une copie du projet de norme </w:t>
      </w:r>
      <w:proofErr w:type="spellStart"/>
      <w:r w:rsidRPr="007C24E8">
        <w:t>FprEN</w:t>
      </w:r>
      <w:proofErr w:type="spellEnd"/>
      <w:r w:rsidRPr="007C24E8">
        <w:t xml:space="preserve"> sur la page réservée à cette fin du site Web du CEN mentionné plus haut dans une rubrique distincte intitulée </w:t>
      </w:r>
      <w:r w:rsidR="00942C24" w:rsidRPr="007C24E8">
        <w:t>« </w:t>
      </w:r>
      <w:r w:rsidRPr="007C24E8">
        <w:t>Pour information</w:t>
      </w:r>
      <w:r w:rsidR="00942C24" w:rsidRPr="007C24E8">
        <w:t> »</w:t>
      </w:r>
      <w:r w:rsidRPr="007C24E8">
        <w:t>.</w:t>
      </w:r>
    </w:p>
    <w:p w14:paraId="23246362" w14:textId="77777777" w:rsidR="005E3367" w:rsidRPr="007C24E8" w:rsidRDefault="005E3367" w:rsidP="001177B9">
      <w:pPr>
        <w:pStyle w:val="SingleTxtG"/>
        <w:ind w:firstLine="567"/>
      </w:pPr>
      <w:r w:rsidRPr="007C24E8">
        <w:t xml:space="preserve">Les États membres peuvent formuler des observations quant à la conformité de la norme avec </w:t>
      </w:r>
      <w:r w:rsidRPr="007C24E8">
        <w:rPr>
          <w:rFonts w:eastAsia="Calibri"/>
        </w:rPr>
        <w:t>le RID, l’ADR et l’ADN</w:t>
      </w:r>
      <w:r w:rsidRPr="007C24E8">
        <w:t>, lesquelles seront envoyées au Groupe de travail des normes qui soumettra un avis sur la question à la Réunion commune.</w:t>
      </w:r>
    </w:p>
    <w:p w14:paraId="46057EA4" w14:textId="77777777" w:rsidR="005E3367" w:rsidRPr="007C24E8" w:rsidRDefault="005E3367" w:rsidP="005E3367">
      <w:pPr>
        <w:pStyle w:val="H23G"/>
      </w:pPr>
      <w:r w:rsidRPr="007C24E8">
        <w:tab/>
        <w:t>2.3.2</w:t>
      </w:r>
      <w:r w:rsidRPr="007C24E8">
        <w:tab/>
        <w:t>Procédure pour les renvois révisés à des normes européennes à caractère général</w:t>
      </w:r>
    </w:p>
    <w:p w14:paraId="5BD843D3" w14:textId="77777777" w:rsidR="005E3367" w:rsidRPr="007C24E8" w:rsidRDefault="005E3367" w:rsidP="001177B9">
      <w:pPr>
        <w:pStyle w:val="SingleTxtG"/>
        <w:ind w:firstLine="567"/>
      </w:pPr>
      <w:r w:rsidRPr="007C24E8">
        <w:t xml:space="preserve">Sur la base d’un système d’examen systématique des références aux normes européennes dans le </w:t>
      </w:r>
      <w:r w:rsidRPr="007C24E8">
        <w:rPr>
          <w:rFonts w:eastAsia="Calibri"/>
        </w:rPr>
        <w:t>RID, l’ADR et l’ADN,</w:t>
      </w:r>
      <w:r w:rsidRPr="007C24E8">
        <w:t xml:space="preserve"> le Centre de gestion du CEN/CENELEC informera régulièrement la Réunion commune sur les travaux en cours au CEN concernant les éventuelles normes EN et EN ISO qui ont été révisées.</w:t>
      </w:r>
    </w:p>
    <w:p w14:paraId="12AEE539" w14:textId="77777777" w:rsidR="005E3367" w:rsidRPr="007C24E8" w:rsidRDefault="005E3367" w:rsidP="001177B9">
      <w:pPr>
        <w:pStyle w:val="SingleTxtG"/>
        <w:ind w:firstLine="567"/>
      </w:pPr>
      <w:r w:rsidRPr="007C24E8">
        <w:t xml:space="preserve">Outre ces informations, le </w:t>
      </w:r>
      <w:r w:rsidRPr="007C24E8">
        <w:rPr>
          <w:rFonts w:eastAsia="Calibri"/>
        </w:rPr>
        <w:t>Groupe de travail des normes</w:t>
      </w:r>
      <w:r w:rsidRPr="007C24E8">
        <w:t xml:space="preserve"> indiquera l’ampleur et la nature des révisions apportées et les risques de contradiction avec </w:t>
      </w:r>
      <w:r w:rsidRPr="007C24E8">
        <w:rPr>
          <w:rFonts w:eastAsia="Calibri"/>
        </w:rPr>
        <w:t>le RID, l’ADR et l’ADN</w:t>
      </w:r>
      <w:r w:rsidRPr="007C24E8">
        <w:t>. Si un membre de la Réunion commune</w:t>
      </w:r>
      <w:r w:rsidRPr="007C24E8">
        <w:rPr>
          <w:sz w:val="18"/>
          <w:szCs w:val="18"/>
          <w:vertAlign w:val="superscript"/>
        </w:rPr>
        <w:t>2</w:t>
      </w:r>
      <w:r w:rsidRPr="007C24E8">
        <w:t xml:space="preserve"> met en doute son avis par écrit, ses observations seront ajoutées à la compilation d’observations des membres de la Réunion commune</w:t>
      </w:r>
      <w:r w:rsidRPr="007C24E8">
        <w:rPr>
          <w:sz w:val="18"/>
          <w:szCs w:val="18"/>
          <w:vertAlign w:val="superscript"/>
        </w:rPr>
        <w:t>2</w:t>
      </w:r>
      <w:r w:rsidRPr="007C24E8">
        <w:t xml:space="preserve"> concernant les normes spécialisées qui doit être examinée par le Groupe de travail des normes. Le Centre de gestion du CEN/CENELEC affichera alors une copie du projet de norme </w:t>
      </w:r>
      <w:proofErr w:type="spellStart"/>
      <w:r w:rsidRPr="007C24E8">
        <w:t>FprEN</w:t>
      </w:r>
      <w:proofErr w:type="spellEnd"/>
      <w:r w:rsidRPr="007C24E8">
        <w:t xml:space="preserve"> sur la page du site Web du CEN réservée à cette fin mentionné plus haut dans une rubrique distincte intitulée </w:t>
      </w:r>
      <w:r w:rsidR="00E9420A" w:rsidRPr="007C24E8">
        <w:t>« </w:t>
      </w:r>
      <w:r w:rsidRPr="007C24E8">
        <w:t>Pour information</w:t>
      </w:r>
      <w:r w:rsidR="00E9420A" w:rsidRPr="007C24E8">
        <w:t> »</w:t>
      </w:r>
      <w:r w:rsidRPr="007C24E8">
        <w:t>.</w:t>
      </w:r>
    </w:p>
    <w:p w14:paraId="5A9C80F1" w14:textId="77777777" w:rsidR="005E3367" w:rsidRPr="007C24E8" w:rsidRDefault="005E3367" w:rsidP="00E9420A">
      <w:pPr>
        <w:pStyle w:val="H1G"/>
      </w:pPr>
      <w:r w:rsidRPr="007C24E8">
        <w:tab/>
        <w:t>3.</w:t>
      </w:r>
      <w:r w:rsidRPr="007C24E8">
        <w:tab/>
        <w:t>Système de consignation et d’examen exhaustifs des renvois aux normes dans le RID/ADR/ADN</w:t>
      </w:r>
    </w:p>
    <w:p w14:paraId="410B7119" w14:textId="77777777" w:rsidR="005E3367" w:rsidRPr="007C24E8" w:rsidRDefault="005E3367" w:rsidP="001177B9">
      <w:pPr>
        <w:pStyle w:val="SingleTxtG"/>
        <w:ind w:firstLine="567"/>
        <w:rPr>
          <w:iCs/>
        </w:rPr>
      </w:pPr>
      <w:r w:rsidRPr="007C24E8">
        <w:t>Le Centre de gestion du CEN/CENELEC aidera le secrétariat du WP.15 à créer et tenir à jour une base de données sur toutes les normes contenues dans le RID, l’ADR et l’ADN.</w:t>
      </w:r>
    </w:p>
    <w:p w14:paraId="6EFE93DC" w14:textId="77777777" w:rsidR="005E3367" w:rsidRPr="007C24E8" w:rsidRDefault="005E3367" w:rsidP="00E9420A">
      <w:pPr>
        <w:pStyle w:val="H1G"/>
      </w:pPr>
      <w:r w:rsidRPr="007C24E8">
        <w:tab/>
        <w:t>4.</w:t>
      </w:r>
      <w:r w:rsidRPr="007C24E8">
        <w:tab/>
        <w:t>Mandat du Groupe de travail sur les normes de la Réunion commune</w:t>
      </w:r>
    </w:p>
    <w:p w14:paraId="377B5F93" w14:textId="77777777" w:rsidR="005E3367" w:rsidRPr="007C24E8" w:rsidRDefault="005E3367" w:rsidP="001177B9">
      <w:pPr>
        <w:pStyle w:val="SingleTxtG"/>
        <w:ind w:firstLine="567"/>
      </w:pPr>
      <w:r w:rsidRPr="007C24E8">
        <w:t xml:space="preserve">En vertu de son mandat, le Groupe de travail peut uniquement donner son avis sur la conformité des normes avec les dispositions </w:t>
      </w:r>
      <w:r w:rsidRPr="007C24E8">
        <w:rPr>
          <w:rFonts w:eastAsia="Calibri"/>
        </w:rPr>
        <w:t>du RID, de l’ADR et de l’ADN</w:t>
      </w:r>
      <w:r w:rsidRPr="007C24E8">
        <w:t>. Les observations d’ordre technique doivent être communiquées aux comités techniques compétents du CEN-CENELEC.</w:t>
      </w:r>
    </w:p>
    <w:p w14:paraId="130E5F99" w14:textId="77777777" w:rsidR="005E3367" w:rsidRPr="007C24E8" w:rsidRDefault="005E3367" w:rsidP="00E9420A">
      <w:pPr>
        <w:pStyle w:val="Bullet1G"/>
      </w:pPr>
      <w:r w:rsidRPr="007C24E8">
        <w:t>La Réunion commune demandera aux participants</w:t>
      </w:r>
      <w:r w:rsidRPr="007C24E8">
        <w:rPr>
          <w:sz w:val="18"/>
          <w:szCs w:val="18"/>
          <w:vertAlign w:val="superscript"/>
        </w:rPr>
        <w:t>2</w:t>
      </w:r>
      <w:r w:rsidRPr="007C24E8">
        <w:t xml:space="preserve"> de désigner leurs experts et de les affecter au Groupe de travail, ainsi que de désigner un président</w:t>
      </w:r>
      <w:r w:rsidR="00F218AE" w:rsidRPr="007C24E8">
        <w:t> ;</w:t>
      </w:r>
    </w:p>
    <w:p w14:paraId="29763837" w14:textId="77777777" w:rsidR="005E3367" w:rsidRPr="007C24E8" w:rsidRDefault="005E3367" w:rsidP="00E9420A">
      <w:pPr>
        <w:pStyle w:val="Bullet1G"/>
      </w:pPr>
      <w:r w:rsidRPr="007C24E8">
        <w:t>Le consultant en matière de normes collaborera avec le Groupe de travail</w:t>
      </w:r>
      <w:r w:rsidR="00F218AE" w:rsidRPr="007C24E8">
        <w:t> ;</w:t>
      </w:r>
    </w:p>
    <w:p w14:paraId="37576255" w14:textId="77777777" w:rsidR="005E3367" w:rsidRPr="007C24E8" w:rsidRDefault="005E3367" w:rsidP="00E9420A">
      <w:pPr>
        <w:pStyle w:val="Bullet1G"/>
      </w:pPr>
      <w:r w:rsidRPr="007C24E8">
        <w:t>Les réunions du Groupe de travail des normes se tiendront en même temps que la Réunion commune, mais en dehors de ses heures de travail. Les sessions du Groupe de travail débuteront le premier lundi de la réunion et se termineront au plus tard le mercredi suivant. Le Président peut, à titre exceptionnel, convoquer des réunions à d’autres moments</w:t>
      </w:r>
      <w:r w:rsidR="00F218AE" w:rsidRPr="007C24E8">
        <w:t> ;</w:t>
      </w:r>
    </w:p>
    <w:p w14:paraId="2E64343E" w14:textId="77777777" w:rsidR="005E3367" w:rsidRPr="007C24E8" w:rsidRDefault="005E3367" w:rsidP="00E9420A">
      <w:pPr>
        <w:pStyle w:val="Bullet1G"/>
      </w:pPr>
      <w:r w:rsidRPr="007C24E8">
        <w:t xml:space="preserve">Le Groupe de travail peut aussi recourir à des téléconférences ou visioconférences (ci-après dénommées </w:t>
      </w:r>
      <w:r w:rsidR="00E9420A" w:rsidRPr="007C24E8">
        <w:t>« </w:t>
      </w:r>
      <w:r w:rsidRPr="007C24E8">
        <w:t>téléconférences</w:t>
      </w:r>
      <w:r w:rsidR="00E9420A" w:rsidRPr="007C24E8">
        <w:t> »</w:t>
      </w:r>
      <w:r w:rsidRPr="007C24E8">
        <w:t>) organisées par le CEN-CENELEC avant les sessions de la Réunion commune. Le CEN-CENELEC fournira aux membres du groupe de travail et aux experts désignés par les membres de la Réunion commune</w:t>
      </w:r>
      <w:r w:rsidRPr="007C24E8">
        <w:rPr>
          <w:vertAlign w:val="superscript"/>
        </w:rPr>
        <w:t>2</w:t>
      </w:r>
      <w:r w:rsidRPr="007C24E8">
        <w:t xml:space="preserve"> les informations nécessaires et l’ordre du jour de ces réunions.</w:t>
      </w:r>
    </w:p>
    <w:p w14:paraId="5534EE70" w14:textId="77777777" w:rsidR="005E3367" w:rsidRPr="007C24E8" w:rsidRDefault="005E3367" w:rsidP="00E9420A">
      <w:pPr>
        <w:pStyle w:val="Bullet1G"/>
      </w:pPr>
      <w:r w:rsidRPr="007C24E8">
        <w:t>Des téléconférences peuvent être organisées par le Président à tout moment entre les sessions de la Réunion commune mais pas moins de quatre semaines avant le début de la session suivante.</w:t>
      </w:r>
    </w:p>
    <w:p w14:paraId="6AAC1634" w14:textId="77777777" w:rsidR="005E3367" w:rsidRPr="007C24E8" w:rsidRDefault="005E3367" w:rsidP="00E9420A">
      <w:pPr>
        <w:pStyle w:val="Bullet1G"/>
      </w:pPr>
      <w:r w:rsidRPr="007C24E8">
        <w:t>Les résultats des téléconférences seront consignés et le Président présentera le ou les rapports correspondants à la Réunion commune. Si des compétences particulières sont requises, les questions non réglées et les éventuelles nouvelles questions soulevées en début de session pourront être traitées lors d’une téléconférence tenue au cours de la session.</w:t>
      </w:r>
    </w:p>
    <w:p w14:paraId="66DCA8B9" w14:textId="77777777" w:rsidR="00F218AE" w:rsidRPr="007C24E8" w:rsidRDefault="005E3367" w:rsidP="00E9420A">
      <w:pPr>
        <w:pStyle w:val="Bullet1G"/>
      </w:pPr>
      <w:r w:rsidRPr="007C24E8">
        <w:t xml:space="preserve">Le Président fera rapport en séance plénière sur l’évaluation de la conformité des normes avec les règlements existants et soumettra des </w:t>
      </w:r>
      <w:r w:rsidR="009B1F20" w:rsidRPr="007C24E8">
        <w:t xml:space="preserve">propositions </w:t>
      </w:r>
      <w:r w:rsidRPr="007C24E8">
        <w:t>relatives à des renvois nouveaux ou révisés à des normes dans le RID/ADR/ADN.</w:t>
      </w:r>
    </w:p>
    <w:p w14:paraId="3A41A743" w14:textId="77777777" w:rsidR="00F9573C" w:rsidRPr="007C24E8" w:rsidRDefault="005E3367" w:rsidP="00E9420A">
      <w:pPr>
        <w:pStyle w:val="Bullet1G"/>
      </w:pPr>
      <w:r w:rsidRPr="007C24E8">
        <w:t>La Réunion commune inscrira à son ordre du jour un point au titre duquel le Président du Groupe de travail lui rendra compte.</w:t>
      </w:r>
    </w:p>
    <w:p w14:paraId="03BA77F5" w14:textId="77777777" w:rsidR="005E3367" w:rsidRPr="007C24E8" w:rsidRDefault="005E3367" w:rsidP="005E3367"/>
    <w:p w14:paraId="2398917A" w14:textId="77777777" w:rsidR="00F218AE" w:rsidRPr="007C24E8" w:rsidRDefault="00F218AE" w:rsidP="005E3367">
      <w:pPr>
        <w:sectPr w:rsidR="00F218AE" w:rsidRPr="007C24E8" w:rsidSect="005E3367">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pPr>
    </w:p>
    <w:p w14:paraId="2F11B3E3" w14:textId="77777777" w:rsidR="00F218AE" w:rsidRPr="007C24E8" w:rsidRDefault="00F218AE" w:rsidP="00771B38">
      <w:pPr>
        <w:spacing w:after="240"/>
        <w:jc w:val="center"/>
        <w:rPr>
          <w:b/>
          <w:bCs/>
          <w:spacing w:val="-4"/>
        </w:rPr>
      </w:pPr>
      <w:r w:rsidRPr="007C24E8">
        <w:rPr>
          <w:b/>
          <w:bCs/>
          <w:spacing w:val="-4"/>
        </w:rPr>
        <w:t>Diagramme de décision pour l’adoption de normes européennes spécialisées dans le RID, l’ADR et l’ADN</w:t>
      </w:r>
    </w:p>
    <w:p w14:paraId="552ED8A4" w14:textId="77777777" w:rsidR="00F218AE" w:rsidRPr="007C24E8" w:rsidRDefault="00F218AE" w:rsidP="00F218AE">
      <w:pPr>
        <w:jc w:val="center"/>
      </w:pPr>
      <w:r w:rsidRPr="007C24E8">
        <w:rPr>
          <w:noProof/>
          <w:lang w:eastAsia="de-DE"/>
        </w:rPr>
        <mc:AlternateContent>
          <mc:Choice Requires="wpc">
            <w:drawing>
              <wp:inline distT="0" distB="0" distL="0" distR="0" wp14:anchorId="4FE1E5A8" wp14:editId="28344330">
                <wp:extent cx="8135620" cy="4910862"/>
                <wp:effectExtent l="0" t="0" r="17780" b="23495"/>
                <wp:docPr id="88" name="Canvas 3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36" name="AutoShape 38"/>
                        <wps:cNvSpPr>
                          <a:spLocks/>
                        </wps:cNvSpPr>
                        <wps:spPr bwMode="auto">
                          <a:xfrm>
                            <a:off x="924124" y="82278"/>
                            <a:ext cx="1160053" cy="236398"/>
                          </a:xfrm>
                          <a:prstGeom prst="flowChartProcess">
                            <a:avLst/>
                          </a:prstGeom>
                          <a:solidFill>
                            <a:srgbClr val="FFFF00"/>
                          </a:solidFill>
                          <a:ln w="9525">
                            <a:solidFill>
                              <a:srgbClr val="000000"/>
                            </a:solidFill>
                            <a:miter lim="800000"/>
                            <a:headEnd/>
                            <a:tailEnd/>
                          </a:ln>
                        </wps:spPr>
                        <wps:txbx>
                          <w:txbxContent>
                            <w:p w14:paraId="37A6CBA2" w14:textId="77777777" w:rsidR="00EF4064" w:rsidRPr="00D246FF" w:rsidRDefault="00EF4064" w:rsidP="00F218AE">
                              <w:pPr>
                                <w:jc w:val="center"/>
                              </w:pPr>
                              <w:r w:rsidRPr="00D246FF">
                                <w:t>CEN-CENELEC</w:t>
                              </w:r>
                            </w:p>
                          </w:txbxContent>
                        </wps:txbx>
                        <wps:bodyPr rot="0" vert="horz" wrap="square" lIns="31777" tIns="31777" rIns="31777" bIns="31777" anchor="t" anchorCtr="0" upright="1">
                          <a:noAutofit/>
                        </wps:bodyPr>
                      </wps:wsp>
                      <wps:wsp>
                        <wps:cNvPr id="37" name="AutoShape 39"/>
                        <wps:cNvSpPr>
                          <a:spLocks/>
                        </wps:cNvSpPr>
                        <wps:spPr bwMode="auto">
                          <a:xfrm>
                            <a:off x="2293583" y="40438"/>
                            <a:ext cx="2336558" cy="456394"/>
                          </a:xfrm>
                          <a:prstGeom prst="flowChartProcess">
                            <a:avLst/>
                          </a:prstGeom>
                          <a:solidFill>
                            <a:srgbClr val="FFFF00"/>
                          </a:solidFill>
                          <a:ln w="9525">
                            <a:solidFill>
                              <a:srgbClr val="000000"/>
                            </a:solidFill>
                            <a:miter lim="800000"/>
                            <a:headEnd/>
                            <a:tailEnd/>
                          </a:ln>
                        </wps:spPr>
                        <wps:txbx>
                          <w:txbxContent>
                            <w:p w14:paraId="42BA37AF" w14:textId="77777777" w:rsidR="00EF4064" w:rsidRPr="00771B38" w:rsidRDefault="00EF4064" w:rsidP="00F218AE">
                              <w:pPr>
                                <w:jc w:val="center"/>
                                <w:rPr>
                                  <w:spacing w:val="-2"/>
                                </w:rPr>
                              </w:pPr>
                              <w:r w:rsidRPr="00771B38">
                                <w:rPr>
                                  <w:spacing w:val="-2"/>
                                </w:rPr>
                                <w:t xml:space="preserve">Centre de gestion du CEN-CENELEC / </w:t>
                              </w:r>
                              <w:r w:rsidRPr="00771B38">
                                <w:rPr>
                                  <w:bCs/>
                                  <w:spacing w:val="-2"/>
                                </w:rPr>
                                <w:t>Conseiller pour les normes</w:t>
                              </w:r>
                              <w:r w:rsidRPr="00771B38">
                                <w:rPr>
                                  <w:spacing w:val="-2"/>
                                </w:rPr>
                                <w:t xml:space="preserve"> Standards Advisor</w:t>
                              </w:r>
                            </w:p>
                          </w:txbxContent>
                        </wps:txbx>
                        <wps:bodyPr rot="0" vert="horz" wrap="square" lIns="0" tIns="31777" rIns="0" bIns="31777" anchor="t" anchorCtr="0" upright="1">
                          <a:noAutofit/>
                        </wps:bodyPr>
                      </wps:wsp>
                      <wps:wsp>
                        <wps:cNvPr id="38" name="Text Box 40"/>
                        <wps:cNvSpPr txBox="1">
                          <a:spLocks/>
                        </wps:cNvSpPr>
                        <wps:spPr bwMode="auto">
                          <a:xfrm>
                            <a:off x="126449" y="466150"/>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F550B" w14:textId="77777777" w:rsidR="00EF4064" w:rsidRPr="00D246FF" w:rsidRDefault="00EF4064" w:rsidP="00F218AE">
                              <w:pPr>
                                <w:jc w:val="center"/>
                              </w:pPr>
                              <w:r>
                                <w:t>Étape</w:t>
                              </w:r>
                              <w:r w:rsidRPr="00D246FF">
                                <w:t xml:space="preserve"> 1</w:t>
                              </w:r>
                            </w:p>
                          </w:txbxContent>
                        </wps:txbx>
                        <wps:bodyPr rot="0" vert="horz" wrap="square" lIns="31777" tIns="31777" rIns="31777" bIns="31777" anchor="t" anchorCtr="0" upright="1">
                          <a:noAutofit/>
                        </wps:bodyPr>
                      </wps:wsp>
                      <wps:wsp>
                        <wps:cNvPr id="39" name="AutoShape 41"/>
                        <wps:cNvSpPr>
                          <a:spLocks/>
                        </wps:cNvSpPr>
                        <wps:spPr bwMode="auto">
                          <a:xfrm>
                            <a:off x="2906157" y="534563"/>
                            <a:ext cx="1073312" cy="459540"/>
                          </a:xfrm>
                          <a:prstGeom prst="flowChartDocument">
                            <a:avLst/>
                          </a:prstGeom>
                          <a:solidFill>
                            <a:srgbClr val="FFFFFF"/>
                          </a:solidFill>
                          <a:ln w="9525">
                            <a:solidFill>
                              <a:srgbClr val="000000"/>
                            </a:solidFill>
                            <a:miter lim="800000"/>
                            <a:headEnd/>
                            <a:tailEnd/>
                          </a:ln>
                        </wps:spPr>
                        <wps:txbx>
                          <w:txbxContent>
                            <w:p w14:paraId="0E9CC262" w14:textId="77777777" w:rsidR="00EF4064" w:rsidRPr="00EE4966" w:rsidRDefault="00EF4064" w:rsidP="00F218AE">
                              <w:pPr>
                                <w:jc w:val="center"/>
                              </w:pPr>
                              <w:r w:rsidRPr="00EE4966">
                                <w:t>Information sur les travaux en cours</w:t>
                              </w:r>
                            </w:p>
                          </w:txbxContent>
                        </wps:txbx>
                        <wps:bodyPr rot="0" vert="horz" wrap="square" lIns="31777" tIns="31777" rIns="31777" bIns="31777" anchor="t" anchorCtr="0" upright="1">
                          <a:noAutofit/>
                        </wps:bodyPr>
                      </wps:wsp>
                      <wps:wsp>
                        <wps:cNvPr id="40" name="Text Box 42"/>
                        <wps:cNvSpPr txBox="1">
                          <a:spLocks/>
                        </wps:cNvSpPr>
                        <wps:spPr bwMode="auto">
                          <a:xfrm>
                            <a:off x="5038445" y="541964"/>
                            <a:ext cx="970025" cy="426400"/>
                          </a:xfrm>
                          <a:prstGeom prst="rect">
                            <a:avLst/>
                          </a:prstGeom>
                          <a:solidFill>
                            <a:srgbClr val="FFFFFF"/>
                          </a:solidFill>
                          <a:ln w="9525">
                            <a:solidFill>
                              <a:srgbClr val="000000"/>
                            </a:solidFill>
                            <a:miter lim="800000"/>
                            <a:headEnd/>
                            <a:tailEnd/>
                          </a:ln>
                        </wps:spPr>
                        <wps:txbx>
                          <w:txbxContent>
                            <w:p w14:paraId="77C69124" w14:textId="77777777" w:rsidR="00EF4064" w:rsidRDefault="00EF4064" w:rsidP="00F218AE">
                              <w:pPr>
                                <w:jc w:val="center"/>
                              </w:pPr>
                              <w:r>
                                <w:t>Pour info</w:t>
                              </w:r>
                            </w:p>
                            <w:p w14:paraId="17BB0625" w14:textId="77777777" w:rsidR="00EF4064" w:rsidRPr="00A87D64" w:rsidRDefault="00EF4064" w:rsidP="00F218AE">
                              <w:pPr>
                                <w:jc w:val="center"/>
                              </w:pPr>
                              <w:r>
                                <w:t>des délégations</w:t>
                              </w:r>
                            </w:p>
                          </w:txbxContent>
                        </wps:txbx>
                        <wps:bodyPr rot="0" vert="horz" wrap="square" lIns="31777" tIns="31777" rIns="31777" bIns="31777" anchor="t" anchorCtr="0" upright="1">
                          <a:noAutofit/>
                        </wps:bodyPr>
                      </wps:wsp>
                      <wps:wsp>
                        <wps:cNvPr id="41" name="Text Box 43"/>
                        <wps:cNvSpPr txBox="1">
                          <a:spLocks/>
                        </wps:cNvSpPr>
                        <wps:spPr bwMode="auto">
                          <a:xfrm>
                            <a:off x="126449" y="2593731"/>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0ECFD" w14:textId="77777777" w:rsidR="00EF4064" w:rsidRPr="00D246FF" w:rsidRDefault="00EF4064" w:rsidP="00F218AE">
                              <w:pPr>
                                <w:jc w:val="center"/>
                                <w:rPr>
                                  <w:rFonts w:ascii="Arial Black" w:hAnsi="Arial Black" w:cs="Arial"/>
                                  <w:b/>
                                  <w:sz w:val="17"/>
                                </w:rPr>
                              </w:pPr>
                              <w:r>
                                <w:t>Étape</w:t>
                              </w:r>
                              <w:r w:rsidRPr="00D246FF">
                                <w:t xml:space="preserve"> 3</w:t>
                              </w:r>
                            </w:p>
                          </w:txbxContent>
                        </wps:txbx>
                        <wps:bodyPr rot="0" vert="horz" wrap="square" lIns="31777" tIns="31777" rIns="31777" bIns="31777" anchor="t" anchorCtr="0" upright="1">
                          <a:noAutofit/>
                        </wps:bodyPr>
                      </wps:wsp>
                      <wps:wsp>
                        <wps:cNvPr id="42" name="Text Box 44"/>
                        <wps:cNvSpPr txBox="1">
                          <a:spLocks/>
                        </wps:cNvSpPr>
                        <wps:spPr bwMode="auto">
                          <a:xfrm>
                            <a:off x="126449" y="3893919"/>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D39E8" w14:textId="77777777" w:rsidR="00EF4064" w:rsidRPr="00D246FF" w:rsidRDefault="00EF4064" w:rsidP="00F218AE">
                              <w:pPr>
                                <w:jc w:val="center"/>
                              </w:pPr>
                              <w:r>
                                <w:t>Étape</w:t>
                              </w:r>
                              <w:r w:rsidRPr="00D246FF">
                                <w:t xml:space="preserve"> 4</w:t>
                              </w:r>
                            </w:p>
                          </w:txbxContent>
                        </wps:txbx>
                        <wps:bodyPr rot="0" vert="horz" wrap="square" lIns="31777" tIns="31777" rIns="31777" bIns="31777" anchor="t" anchorCtr="0" upright="1">
                          <a:noAutofit/>
                        </wps:bodyPr>
                      </wps:wsp>
                      <wps:wsp>
                        <wps:cNvPr id="43" name="Text Box 45"/>
                        <wps:cNvSpPr txBox="1">
                          <a:spLocks/>
                        </wps:cNvSpPr>
                        <wps:spPr bwMode="auto">
                          <a:xfrm>
                            <a:off x="126449" y="1884537"/>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EFB29" w14:textId="77777777" w:rsidR="00EF4064" w:rsidRPr="00D246FF" w:rsidRDefault="00EF4064" w:rsidP="00F218AE">
                              <w:pPr>
                                <w:jc w:val="center"/>
                              </w:pPr>
                              <w:r>
                                <w:t>Étape</w:t>
                              </w:r>
                              <w:r w:rsidRPr="00D246FF">
                                <w:t xml:space="preserve"> 2</w:t>
                              </w:r>
                            </w:p>
                          </w:txbxContent>
                        </wps:txbx>
                        <wps:bodyPr rot="0" vert="horz" wrap="square" lIns="31777" tIns="31777" rIns="31777" bIns="31777" anchor="t" anchorCtr="0" upright="1">
                          <a:noAutofit/>
                        </wps:bodyPr>
                      </wps:wsp>
                      <wps:wsp>
                        <wps:cNvPr id="44" name="Text Box 46"/>
                        <wps:cNvSpPr txBox="1">
                          <a:spLocks/>
                        </wps:cNvSpPr>
                        <wps:spPr bwMode="auto">
                          <a:xfrm>
                            <a:off x="892505" y="483565"/>
                            <a:ext cx="1248151" cy="531343"/>
                          </a:xfrm>
                          <a:prstGeom prst="rect">
                            <a:avLst/>
                          </a:prstGeom>
                          <a:solidFill>
                            <a:srgbClr val="FFFFFF"/>
                          </a:solidFill>
                          <a:ln w="9525">
                            <a:solidFill>
                              <a:srgbClr val="000000"/>
                            </a:solidFill>
                            <a:miter lim="800000"/>
                            <a:headEnd/>
                            <a:tailEnd/>
                          </a:ln>
                        </wps:spPr>
                        <wps:txbx>
                          <w:txbxContent>
                            <w:p w14:paraId="256C4562" w14:textId="77777777" w:rsidR="00EF4064" w:rsidRPr="00E91031" w:rsidRDefault="00EF4064" w:rsidP="00F218AE">
                              <w:pPr>
                                <w:jc w:val="center"/>
                              </w:pPr>
                              <w:r>
                                <w:t xml:space="preserve">Établissement d’un </w:t>
                              </w:r>
                              <w:r w:rsidRPr="00E91031">
                                <w:t>nouveau</w:t>
                              </w:r>
                              <w:r>
                                <w:t xml:space="preserve"> point </w:t>
                              </w:r>
                              <w:r>
                                <w:br/>
                                <w:t xml:space="preserve">par le </w:t>
                              </w:r>
                              <w:r w:rsidRPr="00E91031">
                                <w:t>CEN</w:t>
                              </w:r>
                            </w:p>
                          </w:txbxContent>
                        </wps:txbx>
                        <wps:bodyPr rot="0" vert="horz" wrap="square" lIns="31777" tIns="31777" rIns="31777" bIns="31777" anchor="t" anchorCtr="0" upright="1">
                          <a:noAutofit/>
                        </wps:bodyPr>
                      </wps:wsp>
                      <wps:wsp>
                        <wps:cNvPr id="45" name="Text Box 47"/>
                        <wps:cNvSpPr txBox="1">
                          <a:spLocks/>
                        </wps:cNvSpPr>
                        <wps:spPr bwMode="auto">
                          <a:xfrm>
                            <a:off x="1031290" y="1117042"/>
                            <a:ext cx="970025" cy="536193"/>
                          </a:xfrm>
                          <a:prstGeom prst="rect">
                            <a:avLst/>
                          </a:prstGeom>
                          <a:solidFill>
                            <a:srgbClr val="FFFFFF"/>
                          </a:solidFill>
                          <a:ln w="9525">
                            <a:solidFill>
                              <a:srgbClr val="000000"/>
                            </a:solidFill>
                            <a:miter lim="800000"/>
                            <a:headEnd/>
                            <a:tailEnd/>
                          </a:ln>
                        </wps:spPr>
                        <wps:txbx>
                          <w:txbxContent>
                            <w:p w14:paraId="52D59BD9" w14:textId="77777777" w:rsidR="00EF4064" w:rsidRPr="00D246FF" w:rsidRDefault="00EF4064" w:rsidP="00F218AE">
                              <w:pPr>
                                <w:jc w:val="center"/>
                              </w:pPr>
                              <w:r>
                                <w:t>P</w:t>
                              </w:r>
                              <w:r w:rsidRPr="00A87D64">
                                <w:t xml:space="preserve">rocessus de </w:t>
                              </w:r>
                              <w:r>
                                <w:t xml:space="preserve">révision </w:t>
                              </w:r>
                              <w:r>
                                <w:br/>
                                <w:t>des normes</w:t>
                              </w:r>
                            </w:p>
                          </w:txbxContent>
                        </wps:txbx>
                        <wps:bodyPr rot="0" vert="horz" wrap="square" lIns="31777" tIns="31777" rIns="31777" bIns="31777" anchor="t" anchorCtr="0" upright="1">
                          <a:noAutofit/>
                        </wps:bodyPr>
                      </wps:wsp>
                      <wps:wsp>
                        <wps:cNvPr id="46" name="Line 48"/>
                        <wps:cNvCnPr>
                          <a:cxnSpLocks/>
                          <a:stCxn id="44" idx="3"/>
                          <a:endCxn id="39" idx="1"/>
                        </wps:cNvCnPr>
                        <wps:spPr bwMode="auto">
                          <a:xfrm>
                            <a:off x="2140656" y="749175"/>
                            <a:ext cx="765501" cy="1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a:stCxn id="45" idx="3"/>
                        </wps:cNvCnPr>
                        <wps:spPr bwMode="auto">
                          <a:xfrm flipV="1">
                            <a:off x="2001315" y="764685"/>
                            <a:ext cx="494957" cy="62045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Line 50"/>
                        <wps:cNvCnPr>
                          <a:cxnSpLocks/>
                        </wps:cNvCnPr>
                        <wps:spPr bwMode="auto">
                          <a:xfrm>
                            <a:off x="3990590" y="745262"/>
                            <a:ext cx="1047855" cy="8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1"/>
                        <wps:cNvSpPr txBox="1">
                          <a:spLocks/>
                        </wps:cNvSpPr>
                        <wps:spPr bwMode="auto">
                          <a:xfrm>
                            <a:off x="5038445" y="1075139"/>
                            <a:ext cx="970025" cy="627449"/>
                          </a:xfrm>
                          <a:prstGeom prst="rect">
                            <a:avLst/>
                          </a:prstGeom>
                          <a:solidFill>
                            <a:srgbClr val="FFFFFF"/>
                          </a:solidFill>
                          <a:ln w="9525">
                            <a:solidFill>
                              <a:srgbClr val="000000"/>
                            </a:solidFill>
                            <a:miter lim="800000"/>
                            <a:headEnd/>
                            <a:tailEnd/>
                          </a:ln>
                        </wps:spPr>
                        <wps:txbx>
                          <w:txbxContent>
                            <w:p w14:paraId="1995E755" w14:textId="77777777" w:rsidR="00EF4064" w:rsidRPr="00A87D64" w:rsidRDefault="00EF4064" w:rsidP="00F218AE">
                              <w:pPr>
                                <w:jc w:val="center"/>
                              </w:pPr>
                              <w:r>
                                <w:t>Participation ou</w:t>
                              </w:r>
                              <w:r w:rsidR="00B17F6F">
                                <w:t> </w:t>
                              </w:r>
                              <w:r>
                                <w:t>observations des membres</w:t>
                              </w:r>
                            </w:p>
                          </w:txbxContent>
                        </wps:txbx>
                        <wps:bodyPr rot="0" vert="horz" wrap="square" lIns="31777" tIns="31777" rIns="31777" bIns="31777" anchor="t" anchorCtr="0" upright="1">
                          <a:noAutofit/>
                        </wps:bodyPr>
                      </wps:wsp>
                      <wps:wsp>
                        <wps:cNvPr id="50" name="Text Box 52"/>
                        <wps:cNvSpPr txBox="1">
                          <a:spLocks/>
                        </wps:cNvSpPr>
                        <wps:spPr bwMode="auto">
                          <a:xfrm>
                            <a:off x="6971148" y="838402"/>
                            <a:ext cx="1164472" cy="472796"/>
                          </a:xfrm>
                          <a:prstGeom prst="rect">
                            <a:avLst/>
                          </a:prstGeom>
                          <a:solidFill>
                            <a:srgbClr val="FFFFFF"/>
                          </a:solidFill>
                          <a:ln w="9525">
                            <a:solidFill>
                              <a:srgbClr val="000000"/>
                            </a:solidFill>
                            <a:miter lim="800000"/>
                            <a:headEnd/>
                            <a:tailEnd/>
                          </a:ln>
                        </wps:spPr>
                        <wps:txbx>
                          <w:txbxContent>
                            <w:p w14:paraId="5432CF5E" w14:textId="77777777" w:rsidR="00EF4064" w:rsidRPr="00D246FF" w:rsidRDefault="00EF4064" w:rsidP="00F218AE">
                              <w:pPr>
                                <w:jc w:val="center"/>
                              </w:pPr>
                              <w:r>
                                <w:t>Pour examen à l’échelon national</w:t>
                              </w:r>
                            </w:p>
                          </w:txbxContent>
                        </wps:txbx>
                        <wps:bodyPr rot="0" vert="horz" wrap="square" lIns="31777" tIns="31777" rIns="31777" bIns="31777" anchor="t" anchorCtr="0" upright="1">
                          <a:noAutofit/>
                        </wps:bodyPr>
                      </wps:wsp>
                      <wps:wsp>
                        <wps:cNvPr id="51" name="Line 53"/>
                        <wps:cNvCnPr>
                          <a:cxnSpLocks/>
                        </wps:cNvCnPr>
                        <wps:spPr bwMode="auto">
                          <a:xfrm>
                            <a:off x="6009670" y="1115250"/>
                            <a:ext cx="967721" cy="2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4"/>
                        <wps:cNvSpPr txBox="1">
                          <a:spLocks/>
                        </wps:cNvSpPr>
                        <wps:spPr bwMode="auto">
                          <a:xfrm>
                            <a:off x="1031290" y="1766192"/>
                            <a:ext cx="968920" cy="523466"/>
                          </a:xfrm>
                          <a:prstGeom prst="rect">
                            <a:avLst/>
                          </a:prstGeom>
                          <a:solidFill>
                            <a:srgbClr val="FFFFFF"/>
                          </a:solidFill>
                          <a:ln w="9525">
                            <a:solidFill>
                              <a:srgbClr val="000000"/>
                            </a:solidFill>
                            <a:miter lim="800000"/>
                            <a:headEnd/>
                            <a:tailEnd/>
                          </a:ln>
                        </wps:spPr>
                        <wps:txbx>
                          <w:txbxContent>
                            <w:p w14:paraId="06F2EA22" w14:textId="77777777" w:rsidR="00EF4064" w:rsidRPr="000A7C03" w:rsidRDefault="00EF4064" w:rsidP="00F218AE">
                              <w:pPr>
                                <w:jc w:val="center"/>
                              </w:pPr>
                              <w:r>
                                <w:t xml:space="preserve">Processus de rédaction </w:t>
                              </w:r>
                              <w:r>
                                <w:br/>
                                <w:t>pour enquête</w:t>
                              </w:r>
                            </w:p>
                          </w:txbxContent>
                        </wps:txbx>
                        <wps:bodyPr rot="0" vert="horz" wrap="square" lIns="31777" tIns="31777" rIns="31777" bIns="31777" anchor="t" anchorCtr="0" upright="1">
                          <a:noAutofit/>
                        </wps:bodyPr>
                      </wps:wsp>
                      <wps:wsp>
                        <wps:cNvPr id="53" name="Text Box 55"/>
                        <wps:cNvSpPr txBox="1">
                          <a:spLocks/>
                        </wps:cNvSpPr>
                        <wps:spPr bwMode="auto">
                          <a:xfrm>
                            <a:off x="924124" y="2415880"/>
                            <a:ext cx="1184359" cy="768845"/>
                          </a:xfrm>
                          <a:prstGeom prst="rect">
                            <a:avLst/>
                          </a:prstGeom>
                          <a:solidFill>
                            <a:srgbClr val="FFFFFF"/>
                          </a:solidFill>
                          <a:ln w="9525">
                            <a:solidFill>
                              <a:srgbClr val="000000"/>
                            </a:solidFill>
                            <a:miter lim="800000"/>
                            <a:headEnd/>
                            <a:tailEnd/>
                          </a:ln>
                        </wps:spPr>
                        <wps:txbx>
                          <w:txbxContent>
                            <w:p w14:paraId="75A5D6AB" w14:textId="77777777" w:rsidR="00EF4064" w:rsidRDefault="00EF4064" w:rsidP="00F218AE">
                              <w:pPr>
                                <w:jc w:val="center"/>
                              </w:pPr>
                              <w:r>
                                <w:t>Examen des observations</w:t>
                              </w:r>
                            </w:p>
                            <w:p w14:paraId="7629563A" w14:textId="77777777" w:rsidR="00EF4064" w:rsidRPr="00B30426" w:rsidRDefault="00EF4064" w:rsidP="00F218AE">
                              <w:pPr>
                                <w:jc w:val="center"/>
                              </w:pPr>
                              <w:r w:rsidRPr="00B30426">
                                <w:t>Préparation du texte p</w:t>
                              </w:r>
                              <w:r>
                                <w:t>our le vote formel</w:t>
                              </w:r>
                            </w:p>
                          </w:txbxContent>
                        </wps:txbx>
                        <wps:bodyPr rot="0" vert="horz" wrap="square" lIns="31777" tIns="31777" rIns="31777" bIns="31777" anchor="t" anchorCtr="0" upright="1">
                          <a:noAutofit/>
                        </wps:bodyPr>
                      </wps:wsp>
                      <wps:wsp>
                        <wps:cNvPr id="54" name="Text Box 56"/>
                        <wps:cNvSpPr txBox="1">
                          <a:spLocks/>
                        </wps:cNvSpPr>
                        <wps:spPr bwMode="auto">
                          <a:xfrm>
                            <a:off x="5017454" y="2593301"/>
                            <a:ext cx="968920" cy="574181"/>
                          </a:xfrm>
                          <a:prstGeom prst="rect">
                            <a:avLst/>
                          </a:prstGeom>
                          <a:solidFill>
                            <a:srgbClr val="FFFFFF"/>
                          </a:solidFill>
                          <a:ln w="9525">
                            <a:solidFill>
                              <a:srgbClr val="000000"/>
                            </a:solidFill>
                            <a:miter lim="800000"/>
                            <a:headEnd/>
                            <a:tailEnd/>
                          </a:ln>
                        </wps:spPr>
                        <wps:txbx>
                          <w:txbxContent>
                            <w:p w14:paraId="202E16CC" w14:textId="77777777" w:rsidR="00EF4064" w:rsidRPr="009E2CA5" w:rsidRDefault="00EF4064" w:rsidP="00F218AE">
                              <w:pPr>
                                <w:jc w:val="center"/>
                              </w:pPr>
                              <w:r w:rsidRPr="009E2CA5">
                                <w:t>Observations du Groupe de travail des nor</w:t>
                              </w:r>
                              <w:r>
                                <w:t>mes</w:t>
                              </w:r>
                            </w:p>
                          </w:txbxContent>
                        </wps:txbx>
                        <wps:bodyPr rot="0" vert="horz" wrap="square" lIns="31777" tIns="31777" rIns="31777" bIns="31777" anchor="t" anchorCtr="0" upright="1">
                          <a:noAutofit/>
                        </wps:bodyPr>
                      </wps:wsp>
                      <wps:wsp>
                        <wps:cNvPr id="55" name="Line 57"/>
                        <wps:cNvCnPr>
                          <a:cxnSpLocks/>
                        </wps:cNvCnPr>
                        <wps:spPr bwMode="auto">
                          <a:xfrm flipH="1">
                            <a:off x="2108483" y="2934074"/>
                            <a:ext cx="2919330" cy="15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8"/>
                        <wps:cNvSpPr>
                          <a:spLocks/>
                        </wps:cNvSpPr>
                        <wps:spPr bwMode="auto">
                          <a:xfrm>
                            <a:off x="2942563" y="1922117"/>
                            <a:ext cx="1044221" cy="493604"/>
                          </a:xfrm>
                          <a:prstGeom prst="flowChartDocument">
                            <a:avLst/>
                          </a:prstGeom>
                          <a:solidFill>
                            <a:srgbClr val="FFFFFF"/>
                          </a:solidFill>
                          <a:ln w="9525">
                            <a:solidFill>
                              <a:srgbClr val="000000"/>
                            </a:solidFill>
                            <a:miter lim="800000"/>
                            <a:headEnd/>
                            <a:tailEnd/>
                          </a:ln>
                        </wps:spPr>
                        <wps:txbx>
                          <w:txbxContent>
                            <w:p w14:paraId="1EA593B4" w14:textId="77777777" w:rsidR="00EF4064" w:rsidRPr="00D246FF" w:rsidRDefault="00EF4064" w:rsidP="00F218AE">
                              <w:pPr>
                                <w:jc w:val="center"/>
                              </w:pPr>
                              <w:r w:rsidRPr="00D246FF">
                                <w:t>P</w:t>
                              </w:r>
                              <w:r>
                                <w:t>rojet pour enquête publique</w:t>
                              </w:r>
                            </w:p>
                          </w:txbxContent>
                        </wps:txbx>
                        <wps:bodyPr rot="0" vert="horz" wrap="square" lIns="80714" tIns="40357" rIns="80714" bIns="40357" anchor="t" anchorCtr="0" upright="1">
                          <a:noAutofit/>
                        </wps:bodyPr>
                      </wps:wsp>
                      <wps:wsp>
                        <wps:cNvPr id="57" name="AutoShape 59"/>
                        <wps:cNvSpPr>
                          <a:spLocks/>
                        </wps:cNvSpPr>
                        <wps:spPr bwMode="auto">
                          <a:xfrm>
                            <a:off x="2942615" y="2454227"/>
                            <a:ext cx="1146581" cy="676679"/>
                          </a:xfrm>
                          <a:prstGeom prst="flowChartDocument">
                            <a:avLst/>
                          </a:prstGeom>
                          <a:solidFill>
                            <a:srgbClr val="FFFFFF"/>
                          </a:solidFill>
                          <a:ln w="9525">
                            <a:solidFill>
                              <a:srgbClr val="000000"/>
                            </a:solidFill>
                            <a:miter lim="800000"/>
                            <a:headEnd/>
                            <a:tailEnd/>
                          </a:ln>
                        </wps:spPr>
                        <wps:txbx>
                          <w:txbxContent>
                            <w:p w14:paraId="59E5B7F2" w14:textId="77777777" w:rsidR="00EF4064" w:rsidRPr="00D246FF" w:rsidRDefault="00EF4064" w:rsidP="00F218AE">
                              <w:pPr>
                                <w:jc w:val="center"/>
                              </w:pPr>
                              <w:r>
                                <w:t xml:space="preserve">Évaluation </w:t>
                              </w:r>
                              <w:r>
                                <w:br/>
                                <w:t>du projet pour enquête</w:t>
                              </w:r>
                            </w:p>
                          </w:txbxContent>
                        </wps:txbx>
                        <wps:bodyPr rot="0" vert="horz" wrap="square" lIns="80714" tIns="40357" rIns="80714" bIns="40357" anchor="t" anchorCtr="0" upright="1">
                          <a:noAutofit/>
                        </wps:bodyPr>
                      </wps:wsp>
                      <wps:wsp>
                        <wps:cNvPr id="58" name="Text Box 60"/>
                        <wps:cNvSpPr txBox="1">
                          <a:spLocks/>
                        </wps:cNvSpPr>
                        <wps:spPr bwMode="auto">
                          <a:xfrm>
                            <a:off x="5017454" y="1957445"/>
                            <a:ext cx="970025" cy="575529"/>
                          </a:xfrm>
                          <a:prstGeom prst="rect">
                            <a:avLst/>
                          </a:prstGeom>
                          <a:solidFill>
                            <a:srgbClr val="FFFFFF"/>
                          </a:solidFill>
                          <a:ln w="9525">
                            <a:solidFill>
                              <a:srgbClr val="000000"/>
                            </a:solidFill>
                            <a:miter lim="800000"/>
                            <a:headEnd/>
                            <a:tailEnd/>
                          </a:ln>
                        </wps:spPr>
                        <wps:txbx>
                          <w:txbxContent>
                            <w:p w14:paraId="7C739988" w14:textId="77777777" w:rsidR="00EF4064" w:rsidRPr="009E2CA5" w:rsidRDefault="00EF4064" w:rsidP="00F218AE">
                              <w:pPr>
                                <w:jc w:val="center"/>
                              </w:pPr>
                              <w:r w:rsidRPr="009E2CA5">
                                <w:t xml:space="preserve">Pour info </w:t>
                              </w:r>
                              <w:r>
                                <w:t xml:space="preserve">et observations </w:t>
                              </w:r>
                              <w:r w:rsidRPr="009E2CA5">
                                <w:t>des</w:t>
                              </w:r>
                              <w:r w:rsidR="00B17F6F">
                                <w:t> </w:t>
                              </w:r>
                              <w:r w:rsidRPr="009E2CA5">
                                <w:t>délégations</w:t>
                              </w:r>
                            </w:p>
                          </w:txbxContent>
                        </wps:txbx>
                        <wps:bodyPr rot="0" vert="horz" wrap="square" lIns="31777" tIns="31777" rIns="31777" bIns="31777" anchor="t" anchorCtr="0" upright="1">
                          <a:noAutofit/>
                        </wps:bodyPr>
                      </wps:wsp>
                      <wps:wsp>
                        <wps:cNvPr id="59" name="Line 61"/>
                        <wps:cNvCnPr>
                          <a:cxnSpLocks/>
                        </wps:cNvCnPr>
                        <wps:spPr bwMode="auto">
                          <a:xfrm>
                            <a:off x="4001161" y="2177646"/>
                            <a:ext cx="1016292" cy="2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a:stCxn id="57" idx="3"/>
                          <a:endCxn id="58" idx="1"/>
                        </wps:cNvCnPr>
                        <wps:spPr bwMode="auto">
                          <a:xfrm flipV="1">
                            <a:off x="4089196" y="2245210"/>
                            <a:ext cx="928258" cy="54735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wps:cNvCnPr>
                        <wps:spPr bwMode="auto">
                          <a:xfrm flipH="1">
                            <a:off x="2108482" y="2653382"/>
                            <a:ext cx="818666"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4"/>
                        <wps:cNvCnPr>
                          <a:cxnSpLocks/>
                        </wps:cNvCnPr>
                        <wps:spPr bwMode="auto">
                          <a:xfrm>
                            <a:off x="2001316" y="2120935"/>
                            <a:ext cx="925833"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5"/>
                        <wps:cNvSpPr txBox="1">
                          <a:spLocks/>
                        </wps:cNvSpPr>
                        <wps:spPr bwMode="auto">
                          <a:xfrm>
                            <a:off x="1036814" y="3362237"/>
                            <a:ext cx="957872" cy="531343"/>
                          </a:xfrm>
                          <a:prstGeom prst="rect">
                            <a:avLst/>
                          </a:prstGeom>
                          <a:solidFill>
                            <a:srgbClr val="FFFFFF"/>
                          </a:solidFill>
                          <a:ln w="9525">
                            <a:solidFill>
                              <a:srgbClr val="000000"/>
                            </a:solidFill>
                            <a:miter lim="800000"/>
                            <a:headEnd/>
                            <a:tailEnd/>
                          </a:ln>
                        </wps:spPr>
                        <wps:txbx>
                          <w:txbxContent>
                            <w:p w14:paraId="20FAE97E" w14:textId="77777777" w:rsidR="00EF4064" w:rsidRPr="00080783" w:rsidRDefault="00EF4064" w:rsidP="00F218AE">
                              <w:pPr>
                                <w:jc w:val="center"/>
                              </w:pPr>
                              <w:r w:rsidRPr="00080783">
                                <w:t>Processus de rédaction pour vote f</w:t>
                              </w:r>
                              <w:r>
                                <w:t>ormel</w:t>
                              </w:r>
                            </w:p>
                          </w:txbxContent>
                        </wps:txbx>
                        <wps:bodyPr rot="0" vert="horz" wrap="square" lIns="31777" tIns="31777" rIns="31777" bIns="31777" anchor="t" anchorCtr="0" upright="1">
                          <a:noAutofit/>
                        </wps:bodyPr>
                      </wps:wsp>
                      <wps:wsp>
                        <wps:cNvPr id="64" name="Text Box 66"/>
                        <wps:cNvSpPr txBox="1">
                          <a:spLocks/>
                        </wps:cNvSpPr>
                        <wps:spPr bwMode="auto">
                          <a:xfrm>
                            <a:off x="1031290" y="4139167"/>
                            <a:ext cx="970025" cy="767741"/>
                          </a:xfrm>
                          <a:prstGeom prst="rect">
                            <a:avLst/>
                          </a:prstGeom>
                          <a:solidFill>
                            <a:srgbClr val="FFFFFF"/>
                          </a:solidFill>
                          <a:ln w="9525">
                            <a:solidFill>
                              <a:srgbClr val="000000"/>
                            </a:solidFill>
                            <a:miter lim="800000"/>
                            <a:headEnd/>
                            <a:tailEnd/>
                          </a:ln>
                        </wps:spPr>
                        <wps:txbx>
                          <w:txbxContent>
                            <w:p w14:paraId="21686744" w14:textId="77777777" w:rsidR="00EF4064" w:rsidRPr="00D246FF" w:rsidRDefault="00EF4064" w:rsidP="00B17F6F">
                              <w:pPr>
                                <w:spacing w:after="120"/>
                                <w:jc w:val="center"/>
                              </w:pPr>
                              <w:r>
                                <w:t>Préparation du texte final</w:t>
                              </w:r>
                            </w:p>
                            <w:p w14:paraId="3D4E6881" w14:textId="77777777" w:rsidR="00EF4064" w:rsidRPr="00D246FF" w:rsidRDefault="00EF4064" w:rsidP="00B17F6F">
                              <w:pPr>
                                <w:jc w:val="center"/>
                              </w:pPr>
                              <w:r w:rsidRPr="00D246FF">
                                <w:t>Ratification</w:t>
                              </w:r>
                            </w:p>
                          </w:txbxContent>
                        </wps:txbx>
                        <wps:bodyPr rot="0" vert="horz" wrap="square" lIns="31777" tIns="31777" rIns="31777" bIns="31777" anchor="t" anchorCtr="0" upright="1">
                          <a:noAutofit/>
                        </wps:bodyPr>
                      </wps:wsp>
                      <wps:wsp>
                        <wps:cNvPr id="65" name="AutoShape 67"/>
                        <wps:cNvSpPr>
                          <a:spLocks/>
                        </wps:cNvSpPr>
                        <wps:spPr bwMode="auto">
                          <a:xfrm>
                            <a:off x="2949192" y="3309552"/>
                            <a:ext cx="970025" cy="702566"/>
                          </a:xfrm>
                          <a:prstGeom prst="flowChartDocument">
                            <a:avLst/>
                          </a:prstGeom>
                          <a:solidFill>
                            <a:srgbClr val="FFFFFF"/>
                          </a:solidFill>
                          <a:ln w="9525">
                            <a:solidFill>
                              <a:srgbClr val="000000"/>
                            </a:solidFill>
                            <a:miter lim="800000"/>
                            <a:headEnd/>
                            <a:tailEnd/>
                          </a:ln>
                        </wps:spPr>
                        <wps:txbx>
                          <w:txbxContent>
                            <w:p w14:paraId="5B0F7D09" w14:textId="77777777" w:rsidR="00EF4064" w:rsidRPr="00D246FF" w:rsidRDefault="00EF4064" w:rsidP="00F218AE">
                              <w:pPr>
                                <w:jc w:val="center"/>
                              </w:pPr>
                              <w:r>
                                <w:t>P</w:t>
                              </w:r>
                              <w:r w:rsidRPr="003212FD">
                                <w:t xml:space="preserve">rojet pour vote formel </w:t>
                              </w:r>
                              <w:r>
                                <w:t>proposé</w:t>
                              </w:r>
                            </w:p>
                          </w:txbxContent>
                        </wps:txbx>
                        <wps:bodyPr rot="0" vert="horz" wrap="square" lIns="80714" tIns="40357" rIns="80714" bIns="40357" anchor="t" anchorCtr="0" upright="1">
                          <a:noAutofit/>
                        </wps:bodyPr>
                      </wps:wsp>
                      <wps:wsp>
                        <wps:cNvPr id="66" name="AutoShape 68"/>
                        <wps:cNvSpPr>
                          <a:spLocks/>
                        </wps:cNvSpPr>
                        <wps:spPr bwMode="auto">
                          <a:xfrm>
                            <a:off x="2927147" y="4058434"/>
                            <a:ext cx="1140103" cy="645240"/>
                          </a:xfrm>
                          <a:prstGeom prst="flowChartDocument">
                            <a:avLst/>
                          </a:prstGeom>
                          <a:solidFill>
                            <a:srgbClr val="FFFFFF"/>
                          </a:solidFill>
                          <a:ln w="9525">
                            <a:solidFill>
                              <a:srgbClr val="000000"/>
                            </a:solidFill>
                            <a:miter lim="800000"/>
                            <a:headEnd/>
                            <a:tailEnd/>
                          </a:ln>
                        </wps:spPr>
                        <wps:txbx>
                          <w:txbxContent>
                            <w:p w14:paraId="3C3ACFF9" w14:textId="77777777" w:rsidR="00EF4064" w:rsidRPr="003212FD" w:rsidRDefault="00EF4064" w:rsidP="00E9420A">
                              <w:pPr>
                                <w:spacing w:line="220" w:lineRule="atLeast"/>
                                <w:jc w:val="center"/>
                              </w:pPr>
                              <w:r w:rsidRPr="003212FD">
                                <w:t xml:space="preserve">Évaluation </w:t>
                              </w:r>
                              <w:r>
                                <w:br/>
                              </w:r>
                              <w:r w:rsidRPr="003212FD">
                                <w:t xml:space="preserve">du </w:t>
                              </w:r>
                              <w:bookmarkStart w:id="28" w:name="_Hlk55976132"/>
                              <w:r w:rsidRPr="003212FD">
                                <w:t>projet pour vote formel</w:t>
                              </w:r>
                              <w:bookmarkEnd w:id="28"/>
                            </w:p>
                          </w:txbxContent>
                        </wps:txbx>
                        <wps:bodyPr rot="0" vert="horz" wrap="square" lIns="80714" tIns="40357" rIns="80714" bIns="40357" anchor="t" anchorCtr="0" upright="1">
                          <a:noAutofit/>
                        </wps:bodyPr>
                      </wps:wsp>
                      <wps:wsp>
                        <wps:cNvPr id="67" name="Text Box 69"/>
                        <wps:cNvSpPr txBox="1">
                          <a:spLocks/>
                        </wps:cNvSpPr>
                        <wps:spPr bwMode="auto">
                          <a:xfrm>
                            <a:off x="5017454" y="3534903"/>
                            <a:ext cx="1116965" cy="594309"/>
                          </a:xfrm>
                          <a:prstGeom prst="rect">
                            <a:avLst/>
                          </a:prstGeom>
                          <a:solidFill>
                            <a:srgbClr val="FFFFFF"/>
                          </a:solidFill>
                          <a:ln w="9525">
                            <a:solidFill>
                              <a:srgbClr val="000000"/>
                            </a:solidFill>
                            <a:miter lim="800000"/>
                            <a:headEnd/>
                            <a:tailEnd/>
                          </a:ln>
                        </wps:spPr>
                        <wps:txbx>
                          <w:txbxContent>
                            <w:p w14:paraId="151CB7D1" w14:textId="77777777" w:rsidR="00EF4064" w:rsidRPr="00EB39AC" w:rsidRDefault="00EF4064" w:rsidP="00F218AE">
                              <w:pPr>
                                <w:jc w:val="center"/>
                              </w:pPr>
                              <w:r w:rsidRPr="00EB39AC">
                                <w:t>Pour info et observations des</w:t>
                              </w:r>
                              <w:r w:rsidR="00B17F6F">
                                <w:t> </w:t>
                              </w:r>
                              <w:r w:rsidRPr="00EB39AC">
                                <w:t>délégations</w:t>
                              </w:r>
                            </w:p>
                          </w:txbxContent>
                        </wps:txbx>
                        <wps:bodyPr rot="0" vert="horz" wrap="square" lIns="31777" tIns="31777" rIns="31777" bIns="31777" anchor="t" anchorCtr="0" upright="1">
                          <a:noAutofit/>
                        </wps:bodyPr>
                      </wps:wsp>
                      <wps:wsp>
                        <wps:cNvPr id="68" name="Line 70"/>
                        <wps:cNvCnPr>
                          <a:cxnSpLocks/>
                        </wps:cNvCnPr>
                        <wps:spPr bwMode="auto">
                          <a:xfrm flipV="1">
                            <a:off x="3918165" y="3775720"/>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1"/>
                        <wps:cNvCnPr>
                          <a:cxnSpLocks/>
                          <a:stCxn id="66" idx="3"/>
                          <a:endCxn id="67" idx="1"/>
                        </wps:cNvCnPr>
                        <wps:spPr bwMode="auto">
                          <a:xfrm flipV="1">
                            <a:off x="4067250" y="3832058"/>
                            <a:ext cx="950204" cy="5489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Line 72"/>
                        <wps:cNvCnPr>
                          <a:cxnSpLocks/>
                        </wps:cNvCnPr>
                        <wps:spPr bwMode="auto">
                          <a:xfrm flipH="1" flipV="1">
                            <a:off x="2001317" y="4295445"/>
                            <a:ext cx="911021" cy="69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a:cxnSpLocks/>
                          <a:endCxn id="65" idx="1"/>
                        </wps:cNvCnPr>
                        <wps:spPr bwMode="auto">
                          <a:xfrm flipV="1">
                            <a:off x="2019080" y="3660532"/>
                            <a:ext cx="930112" cy="129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4"/>
                        <wps:cNvSpPr txBox="1">
                          <a:spLocks/>
                        </wps:cNvSpPr>
                        <wps:spPr bwMode="auto">
                          <a:xfrm>
                            <a:off x="5017454" y="4189969"/>
                            <a:ext cx="1116965" cy="590995"/>
                          </a:xfrm>
                          <a:prstGeom prst="rect">
                            <a:avLst/>
                          </a:prstGeom>
                          <a:solidFill>
                            <a:srgbClr val="FFFFFF"/>
                          </a:solidFill>
                          <a:ln w="9525">
                            <a:solidFill>
                              <a:srgbClr val="000000"/>
                            </a:solidFill>
                            <a:miter lim="800000"/>
                            <a:headEnd/>
                            <a:tailEnd/>
                          </a:ln>
                        </wps:spPr>
                        <wps:txbx>
                          <w:txbxContent>
                            <w:p w14:paraId="560B1839" w14:textId="77777777" w:rsidR="00EF4064" w:rsidRPr="00076F7F" w:rsidRDefault="00EF4064" w:rsidP="00F218AE">
                              <w:pPr>
                                <w:jc w:val="center"/>
                              </w:pPr>
                              <w:r w:rsidRPr="00076F7F">
                                <w:t>Approbation/refus du renvoi par la Ré</w:t>
                              </w:r>
                              <w:r>
                                <w:t>union commune</w:t>
                              </w:r>
                            </w:p>
                          </w:txbxContent>
                        </wps:txbx>
                        <wps:bodyPr rot="0" vert="horz" wrap="square" lIns="31777" tIns="31777" rIns="31777" bIns="31777" anchor="t" anchorCtr="0" upright="1">
                          <a:noAutofit/>
                        </wps:bodyPr>
                      </wps:wsp>
                      <wps:wsp>
                        <wps:cNvPr id="73" name="Text Box 75"/>
                        <wps:cNvSpPr txBox="1">
                          <a:spLocks/>
                        </wps:cNvSpPr>
                        <wps:spPr bwMode="auto">
                          <a:xfrm>
                            <a:off x="6966343" y="3717173"/>
                            <a:ext cx="1164472" cy="354597"/>
                          </a:xfrm>
                          <a:prstGeom prst="rect">
                            <a:avLst/>
                          </a:prstGeom>
                          <a:solidFill>
                            <a:srgbClr val="FFFFFF"/>
                          </a:solidFill>
                          <a:ln w="9525">
                            <a:solidFill>
                              <a:srgbClr val="000000"/>
                            </a:solidFill>
                            <a:miter lim="800000"/>
                            <a:headEnd/>
                            <a:tailEnd/>
                          </a:ln>
                        </wps:spPr>
                        <wps:txbx>
                          <w:txbxContent>
                            <w:p w14:paraId="466C35B0" w14:textId="77777777" w:rsidR="00EF4064" w:rsidRPr="00D246FF" w:rsidRDefault="00EF4064" w:rsidP="00F218AE">
                              <w:pPr>
                                <w:jc w:val="center"/>
                              </w:pPr>
                              <w:r>
                                <w:t>Vote p</w:t>
                              </w:r>
                              <w:r w:rsidRPr="00D246FF">
                                <w:t>ositi</w:t>
                              </w:r>
                              <w:r>
                                <w:t>f</w:t>
                              </w:r>
                              <w:r w:rsidRPr="00D246FF">
                                <w:t>/</w:t>
                              </w:r>
                              <w:r>
                                <w:t>négatif</w:t>
                              </w:r>
                            </w:p>
                          </w:txbxContent>
                        </wps:txbx>
                        <wps:bodyPr rot="0" vert="horz" wrap="square" lIns="31777" tIns="31777" rIns="31777" bIns="31777" anchor="t" anchorCtr="0" upright="1">
                          <a:noAutofit/>
                        </wps:bodyPr>
                      </wps:wsp>
                      <wps:wsp>
                        <wps:cNvPr id="74" name="Line 76"/>
                        <wps:cNvCnPr>
                          <a:cxnSpLocks/>
                        </wps:cNvCnPr>
                        <wps:spPr bwMode="auto">
                          <a:xfrm flipV="1">
                            <a:off x="6129096" y="3893919"/>
                            <a:ext cx="828000"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7"/>
                        <wps:cNvCnPr>
                          <a:cxnSpLocks/>
                        </wps:cNvCnPr>
                        <wps:spPr bwMode="auto">
                          <a:xfrm>
                            <a:off x="2006601" y="4715329"/>
                            <a:ext cx="3016138" cy="11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6" name="AutoShape 78"/>
                        <wps:cNvCnPr>
                          <a:cxnSpLocks/>
                        </wps:cNvCnPr>
                        <wps:spPr bwMode="auto">
                          <a:xfrm rot="5400000">
                            <a:off x="4495317" y="-1192936"/>
                            <a:ext cx="538916" cy="555772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79"/>
                        <wps:cNvSpPr txBox="1">
                          <a:spLocks/>
                        </wps:cNvSpPr>
                        <wps:spPr bwMode="auto">
                          <a:xfrm>
                            <a:off x="6961685" y="2062388"/>
                            <a:ext cx="1164472" cy="469482"/>
                          </a:xfrm>
                          <a:prstGeom prst="rect">
                            <a:avLst/>
                          </a:prstGeom>
                          <a:solidFill>
                            <a:srgbClr val="FFFFFF"/>
                          </a:solidFill>
                          <a:ln w="9525">
                            <a:solidFill>
                              <a:srgbClr val="000000"/>
                            </a:solidFill>
                            <a:miter lim="800000"/>
                            <a:headEnd/>
                            <a:tailEnd/>
                          </a:ln>
                        </wps:spPr>
                        <wps:txbx>
                          <w:txbxContent>
                            <w:p w14:paraId="01CF25CD" w14:textId="77777777" w:rsidR="00EF4064" w:rsidRPr="00D246FF" w:rsidRDefault="00EF4064" w:rsidP="00F218AE">
                              <w:pPr>
                                <w:jc w:val="center"/>
                              </w:pPr>
                              <w:r w:rsidRPr="00FA275F">
                                <w:t>Pour examen à l’échelon national</w:t>
                              </w:r>
                            </w:p>
                          </w:txbxContent>
                        </wps:txbx>
                        <wps:bodyPr rot="0" vert="horz" wrap="square" lIns="31777" tIns="31777" rIns="31777" bIns="31777" anchor="t" anchorCtr="0" upright="1">
                          <a:noAutofit/>
                        </wps:bodyPr>
                      </wps:wsp>
                      <wps:wsp>
                        <wps:cNvPr id="78" name="AutoShape 80"/>
                        <wps:cNvCnPr>
                          <a:cxnSpLocks/>
                          <a:stCxn id="73" idx="2"/>
                        </wps:cNvCnPr>
                        <wps:spPr bwMode="auto">
                          <a:xfrm rot="5400000">
                            <a:off x="4402432" y="1679929"/>
                            <a:ext cx="754650" cy="55376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Line 81"/>
                        <wps:cNvCnPr>
                          <a:cxnSpLocks/>
                        </wps:cNvCnPr>
                        <wps:spPr bwMode="auto">
                          <a:xfrm flipV="1">
                            <a:off x="5986374" y="2298785"/>
                            <a:ext cx="97002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2"/>
                        <wps:cNvCnPr>
                          <a:cxnSpLocks/>
                        </wps:cNvCnPr>
                        <wps:spPr bwMode="auto">
                          <a:xfrm flipH="1">
                            <a:off x="7559627" y="2535183"/>
                            <a:ext cx="1105" cy="1181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3"/>
                        <wps:cNvCnPr>
                          <a:cxnSpLocks/>
                          <a:stCxn id="45" idx="0"/>
                          <a:endCxn id="44" idx="2"/>
                        </wps:cNvCnPr>
                        <wps:spPr bwMode="auto">
                          <a:xfrm flipV="1">
                            <a:off x="1516303" y="1014908"/>
                            <a:ext cx="278" cy="1021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4"/>
                        <wps:cNvCnPr>
                          <a:cxnSpLocks/>
                          <a:stCxn id="45" idx="2"/>
                          <a:endCxn id="52" idx="0"/>
                        </wps:cNvCnPr>
                        <wps:spPr bwMode="auto">
                          <a:xfrm flipH="1">
                            <a:off x="1515750" y="1653235"/>
                            <a:ext cx="553" cy="112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5"/>
                        <wps:cNvCnPr>
                          <a:cxnSpLocks/>
                          <a:stCxn id="52" idx="2"/>
                          <a:endCxn id="53" idx="0"/>
                        </wps:cNvCnPr>
                        <wps:spPr bwMode="auto">
                          <a:xfrm>
                            <a:off x="1515750" y="2289658"/>
                            <a:ext cx="554" cy="126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6"/>
                        <wps:cNvCnPr>
                          <a:cxnSpLocks/>
                          <a:stCxn id="53" idx="2"/>
                          <a:endCxn id="63" idx="0"/>
                        </wps:cNvCnPr>
                        <wps:spPr bwMode="auto">
                          <a:xfrm flipH="1">
                            <a:off x="1515750" y="3184725"/>
                            <a:ext cx="554" cy="177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7"/>
                        <wps:cNvCnPr>
                          <a:cxnSpLocks/>
                          <a:stCxn id="63" idx="2"/>
                          <a:endCxn id="64" idx="0"/>
                        </wps:cNvCnPr>
                        <wps:spPr bwMode="auto">
                          <a:xfrm>
                            <a:off x="1515750" y="3893580"/>
                            <a:ext cx="553" cy="245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8"/>
                        <wps:cNvCnPr>
                          <a:cxnSpLocks/>
                          <a:stCxn id="77" idx="0"/>
                          <a:endCxn id="50" idx="2"/>
                        </wps:cNvCnPr>
                        <wps:spPr bwMode="auto">
                          <a:xfrm flipV="1">
                            <a:off x="7543921" y="1311198"/>
                            <a:ext cx="9463" cy="75119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7" name="AutoShape 89"/>
                        <wps:cNvSpPr>
                          <a:spLocks/>
                        </wps:cNvSpPr>
                        <wps:spPr bwMode="auto">
                          <a:xfrm>
                            <a:off x="4756717" y="57383"/>
                            <a:ext cx="1731865" cy="403202"/>
                          </a:xfrm>
                          <a:prstGeom prst="flowChartProcess">
                            <a:avLst/>
                          </a:prstGeom>
                          <a:solidFill>
                            <a:srgbClr val="FFFF00"/>
                          </a:solidFill>
                          <a:ln w="9525">
                            <a:solidFill>
                              <a:srgbClr val="000000"/>
                            </a:solidFill>
                            <a:miter lim="800000"/>
                            <a:headEnd/>
                            <a:tailEnd/>
                          </a:ln>
                        </wps:spPr>
                        <wps:txbx>
                          <w:txbxContent>
                            <w:p w14:paraId="62F8EEFD" w14:textId="77777777" w:rsidR="00EF4064" w:rsidRPr="004A4525" w:rsidRDefault="00EF4064" w:rsidP="00F218AE">
                              <w:pPr>
                                <w:jc w:val="center"/>
                              </w:pPr>
                              <w:r w:rsidRPr="004A4525">
                                <w:t xml:space="preserve">Réunion commune/Groupe </w:t>
                              </w:r>
                              <w:r>
                                <w:br/>
                              </w:r>
                              <w:r w:rsidRPr="004A4525">
                                <w:t>de travail des normes</w:t>
                              </w:r>
                            </w:p>
                          </w:txbxContent>
                        </wps:txbx>
                        <wps:bodyPr rot="0" vert="horz" wrap="square" lIns="36000" tIns="36000" rIns="36000" bIns="36000" anchor="t" anchorCtr="0" upright="1">
                          <a:noAutofit/>
                        </wps:bodyPr>
                      </wps:wsp>
                    </wpc:wpc>
                  </a:graphicData>
                </a:graphic>
              </wp:inline>
            </w:drawing>
          </mc:Choice>
          <mc:Fallback>
            <w:pict>
              <v:group w14:anchorId="4FE1E5A8" id="Canvas 36" o:spid="_x0000_s1026" editas="canvas" style="width:640.6pt;height:386.7pt;mso-position-horizontal-relative:char;mso-position-vertical-relative:line" coordsize="81356,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356;height:49104;visibility:visible;mso-wrap-style:square" filled="t">
                  <v:fill o:detectmouseclick="t"/>
                  <v:path o:connecttype="none"/>
                </v:shape>
                <v:shapetype id="_x0000_t109" coordsize="21600,21600" o:spt="109" path="m,l,21600r21600,l21600,xe">
                  <v:stroke joinstyle="miter"/>
                  <v:path gradientshapeok="t" o:connecttype="rect"/>
                </v:shapetype>
                <v:shape id="AutoShape 38" o:spid="_x0000_s1028" type="#_x0000_t109" style="position:absolute;left:9241;top:822;width:116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" fillcolor="yellow">
                  <v:path arrowok="t"/>
                  <v:textbox inset=".88269mm,.88269mm,.88269mm,.88269mm">
                    <w:txbxContent>
                      <w:p w14:paraId="37A6CBA2" w14:textId="77777777" w:rsidR="00EF4064" w:rsidRPr="00D246FF" w:rsidRDefault="00EF4064" w:rsidP="00F218AE">
                        <w:pPr>
                          <w:jc w:val="center"/>
                        </w:pPr>
                        <w:r w:rsidRPr="00D246FF">
                          <w:t>CEN-CENELEC</w:t>
                        </w:r>
                      </w:p>
                    </w:txbxContent>
                  </v:textbox>
                </v:shape>
                <v:shape id="AutoShape 39" o:spid="_x0000_s1029" type="#_x0000_t109" style="position:absolute;left:22935;top:404;width:23366;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" fillcolor="yellow">
                  <v:path arrowok="t"/>
                  <v:textbox inset="0,.88269mm,0,.88269mm">
                    <w:txbxContent>
                      <w:p w14:paraId="42BA37AF" w14:textId="77777777" w:rsidR="00EF4064" w:rsidRPr="00771B38" w:rsidRDefault="00EF4064" w:rsidP="00F218AE">
                        <w:pPr>
                          <w:jc w:val="center"/>
                          <w:rPr>
                            <w:spacing w:val="-2"/>
                          </w:rPr>
                        </w:pPr>
                        <w:r w:rsidRPr="00771B38">
                          <w:rPr>
                            <w:spacing w:val="-2"/>
                          </w:rPr>
                          <w:t xml:space="preserve">Centre de gestion du CEN-CENELEC / </w:t>
                        </w:r>
                        <w:r w:rsidRPr="00771B38">
                          <w:rPr>
                            <w:bCs/>
                            <w:spacing w:val="-2"/>
                          </w:rPr>
                          <w:t>Conseiller pour les normes</w:t>
                        </w:r>
                        <w:r w:rsidRPr="00771B38">
                          <w:rPr>
                            <w:spacing w:val="-2"/>
                          </w:rPr>
                          <w:t xml:space="preserve"> Standards Advisor</w:t>
                        </w:r>
                      </w:p>
                    </w:txbxContent>
                  </v:textbox>
                </v:shape>
                <v:shapetype id="_x0000_t202" coordsize="21600,21600" o:spt="202" path="m,l,21600r21600,l21600,xe">
                  <v:stroke joinstyle="miter"/>
                  <v:path gradientshapeok="t" o:connecttype="rect"/>
                </v:shapetype>
                <v:shape id="Text Box 40" o:spid="_x0000_s1030" type="#_x0000_t202" style="position:absolute;left:1264;top:4661;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" stroked="f">
                  <v:path arrowok="t"/>
                  <v:textbox inset=".88269mm,.88269mm,.88269mm,.88269mm">
                    <w:txbxContent>
                      <w:p w14:paraId="2BFF550B" w14:textId="77777777" w:rsidR="00EF4064" w:rsidRPr="00D246FF" w:rsidRDefault="00EF4064" w:rsidP="00F218AE">
                        <w:pPr>
                          <w:jc w:val="center"/>
                        </w:pPr>
                        <w:r>
                          <w:t>Étape</w:t>
                        </w:r>
                        <w:r w:rsidRPr="00D246FF">
                          <w:t xml:space="preserve"> 1</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31" type="#_x0000_t114" style="position:absolute;left:29061;top:5345;width:10733;height:4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">
                  <v:path arrowok="t"/>
                  <v:textbox inset=".88269mm,.88269mm,.88269mm,.88269mm">
                    <w:txbxContent>
                      <w:p w14:paraId="0E9CC262" w14:textId="77777777" w:rsidR="00EF4064" w:rsidRPr="00EE4966" w:rsidRDefault="00EF4064" w:rsidP="00F218AE">
                        <w:pPr>
                          <w:jc w:val="center"/>
                        </w:pPr>
                        <w:r w:rsidRPr="00EE4966">
                          <w:t>Information sur les travaux en cours</w:t>
                        </w:r>
                      </w:p>
                    </w:txbxContent>
                  </v:textbox>
                </v:shape>
                <v:shape id="Text Box 42" o:spid="_x0000_s1032" type="#_x0000_t202" style="position:absolute;left:50384;top:5419;width:970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">
                  <v:path arrowok="t"/>
                  <v:textbox inset=".88269mm,.88269mm,.88269mm,.88269mm">
                    <w:txbxContent>
                      <w:p w14:paraId="77C69124" w14:textId="77777777" w:rsidR="00EF4064" w:rsidRDefault="00EF4064" w:rsidP="00F218AE">
                        <w:pPr>
                          <w:jc w:val="center"/>
                        </w:pPr>
                        <w:r>
                          <w:t>Pour info</w:t>
                        </w:r>
                      </w:p>
                      <w:p w14:paraId="17BB0625" w14:textId="77777777" w:rsidR="00EF4064" w:rsidRPr="00A87D64" w:rsidRDefault="00EF4064" w:rsidP="00F218AE">
                        <w:pPr>
                          <w:jc w:val="center"/>
                        </w:pPr>
                        <w:r>
                          <w:t>des délégations</w:t>
                        </w:r>
                      </w:p>
                    </w:txbxContent>
                  </v:textbox>
                </v:shape>
                <v:shape id="Text Box 43" o:spid="_x0000_s1033" type="#_x0000_t202" style="position:absolute;left:1264;top:25937;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" stroked="f">
                  <v:path arrowok="t"/>
                  <v:textbox inset=".88269mm,.88269mm,.88269mm,.88269mm">
                    <w:txbxContent>
                      <w:p w14:paraId="5760ECFD" w14:textId="77777777" w:rsidR="00EF4064" w:rsidRPr="00D246FF" w:rsidRDefault="00EF4064" w:rsidP="00F218AE">
                        <w:pPr>
                          <w:jc w:val="center"/>
                          <w:rPr>
                            <w:rFonts w:ascii="Arial Black" w:hAnsi="Arial Black" w:cs="Arial"/>
                            <w:b/>
                            <w:sz w:val="17"/>
                          </w:rPr>
                        </w:pPr>
                        <w:r>
                          <w:t>Étape</w:t>
                        </w:r>
                        <w:r w:rsidRPr="00D246FF">
                          <w:t xml:space="preserve"> 3</w:t>
                        </w:r>
                      </w:p>
                    </w:txbxContent>
                  </v:textbox>
                </v:shape>
                <v:shape id="Text Box 44" o:spid="_x0000_s1034" type="#_x0000_t202" style="position:absolute;left:1264;top:38939;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" stroked="f">
                  <v:path arrowok="t"/>
                  <v:textbox inset=".88269mm,.88269mm,.88269mm,.88269mm">
                    <w:txbxContent>
                      <w:p w14:paraId="42ED39E8" w14:textId="77777777" w:rsidR="00EF4064" w:rsidRPr="00D246FF" w:rsidRDefault="00EF4064" w:rsidP="00F218AE">
                        <w:pPr>
                          <w:jc w:val="center"/>
                        </w:pPr>
                        <w:r>
                          <w:t>Étape</w:t>
                        </w:r>
                        <w:r w:rsidRPr="00D246FF">
                          <w:t xml:space="preserve"> 4</w:t>
                        </w:r>
                      </w:p>
                    </w:txbxContent>
                  </v:textbox>
                </v:shape>
                <v:shape id="Text Box 45" o:spid="_x0000_s1035" type="#_x0000_t202" style="position:absolute;left:1264;top:18845;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" stroked="f">
                  <v:path arrowok="t"/>
                  <v:textbox inset=".88269mm,.88269mm,.88269mm,.88269mm">
                    <w:txbxContent>
                      <w:p w14:paraId="409EFB29" w14:textId="77777777" w:rsidR="00EF4064" w:rsidRPr="00D246FF" w:rsidRDefault="00EF4064" w:rsidP="00F218AE">
                        <w:pPr>
                          <w:jc w:val="center"/>
                        </w:pPr>
                        <w:r>
                          <w:t>Étape</w:t>
                        </w:r>
                        <w:r w:rsidRPr="00D246FF">
                          <w:t xml:space="preserve"> 2</w:t>
                        </w:r>
                      </w:p>
                    </w:txbxContent>
                  </v:textbox>
                </v:shape>
                <v:shape id="Text Box 46" o:spid="_x0000_s1036" type="#_x0000_t202" style="position:absolute;left:8925;top:4835;width:12481;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">
                  <v:path arrowok="t"/>
                  <v:textbox inset=".88269mm,.88269mm,.88269mm,.88269mm">
                    <w:txbxContent>
                      <w:p w14:paraId="256C4562" w14:textId="77777777" w:rsidR="00EF4064" w:rsidRPr="00E91031" w:rsidRDefault="00EF4064" w:rsidP="00F218AE">
                        <w:pPr>
                          <w:jc w:val="center"/>
                        </w:pPr>
                        <w:r>
                          <w:t xml:space="preserve">Établissement d’un </w:t>
                        </w:r>
                        <w:r w:rsidRPr="00E91031">
                          <w:t>nouveau</w:t>
                        </w:r>
                        <w:r>
                          <w:t xml:space="preserve"> point </w:t>
                        </w:r>
                        <w:r>
                          <w:br/>
                          <w:t xml:space="preserve">par le </w:t>
                        </w:r>
                        <w:r w:rsidRPr="00E91031">
                          <w:t>CEN</w:t>
                        </w:r>
                      </w:p>
                    </w:txbxContent>
                  </v:textbox>
                </v:shape>
                <v:shape id="Text Box 47" o:spid="_x0000_s1037" type="#_x0000_t202" style="position:absolute;left:10312;top:11170;width:9701;height:5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l/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">
                  <v:path arrowok="t"/>
                  <v:textbox inset=".88269mm,.88269mm,.88269mm,.88269mm">
                    <w:txbxContent>
                      <w:p w14:paraId="52D59BD9" w14:textId="77777777" w:rsidR="00EF4064" w:rsidRPr="00D246FF" w:rsidRDefault="00EF4064" w:rsidP="00F218AE">
                        <w:pPr>
                          <w:jc w:val="center"/>
                        </w:pPr>
                        <w:r>
                          <w:t>P</w:t>
                        </w:r>
                        <w:r w:rsidRPr="00A87D64">
                          <w:t xml:space="preserve">rocessus de </w:t>
                        </w:r>
                        <w:r>
                          <w:t xml:space="preserve">révision </w:t>
                        </w:r>
                        <w:r>
                          <w:br/>
                          <w:t>des normes</w:t>
                        </w:r>
                      </w:p>
                    </w:txbxContent>
                  </v:textbox>
                </v:shape>
                <v:line id="Line 48" o:spid="_x0000_s1038" style="position:absolute;visibility:visible;mso-wrap-style:square" from="21406,7491" to="29061,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o:lock v:ext="edit" shapetype="f"/>
                </v:line>
                <v:shapetype id="_x0000_t33" coordsize="21600,21600" o:spt="33" o:oned="t" path="m,l21600,r,21600e" filled="f">
                  <v:stroke joinstyle="miter"/>
                  <v:path arrowok="t" fillok="f" o:connecttype="none"/>
                  <o:lock v:ext="edit" shapetype="t"/>
                </v:shapetype>
                <v:shape id="AutoShape 49" o:spid="_x0000_s1039" type="#_x0000_t33" style="position:absolute;left:20013;top:7646;width:4949;height:620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">
                  <v:stroke endarrow="block"/>
                  <o:lock v:ext="edit" shapetype="f"/>
                </v:shape>
                <v:line id="Line 50" o:spid="_x0000_s1040" style="position:absolute;visibility:visible;mso-wrap-style:square" from="39905,7452" to="50384,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o:lock v:ext="edit" shapetype="f"/>
                </v:line>
                <v:shape id="Text Box 51" o:spid="_x0000_s1041" type="#_x0000_t202" style="position:absolute;left:50384;top:10751;width:9700;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">
                  <v:path arrowok="t"/>
                  <v:textbox inset=".88269mm,.88269mm,.88269mm,.88269mm">
                    <w:txbxContent>
                      <w:p w14:paraId="1995E755" w14:textId="77777777" w:rsidR="00EF4064" w:rsidRPr="00A87D64" w:rsidRDefault="00EF4064" w:rsidP="00F218AE">
                        <w:pPr>
                          <w:jc w:val="center"/>
                        </w:pPr>
                        <w:r>
                          <w:t>Participation ou</w:t>
                        </w:r>
                        <w:r w:rsidR="00B17F6F">
                          <w:t> </w:t>
                        </w:r>
                        <w:r>
                          <w:t>observations des membres</w:t>
                        </w:r>
                      </w:p>
                    </w:txbxContent>
                  </v:textbox>
                </v:shape>
                <v:shape id="Text Box 52" o:spid="_x0000_s1042" type="#_x0000_t202" style="position:absolute;left:69711;top:8384;width:11645;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">
                  <v:path arrowok="t"/>
                  <v:textbox inset=".88269mm,.88269mm,.88269mm,.88269mm">
                    <w:txbxContent>
                      <w:p w14:paraId="5432CF5E" w14:textId="77777777" w:rsidR="00EF4064" w:rsidRPr="00D246FF" w:rsidRDefault="00EF4064" w:rsidP="00F218AE">
                        <w:pPr>
                          <w:jc w:val="center"/>
                        </w:pPr>
                        <w:r>
                          <w:t>Pour examen à l’échelon national</w:t>
                        </w:r>
                      </w:p>
                    </w:txbxContent>
                  </v:textbox>
                </v:shape>
                <v:line id="Line 53" o:spid="_x0000_s1043" style="position:absolute;visibility:visible;mso-wrap-style:square" from="60096,11152" to="69773,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o:lock v:ext="edit" shapetype="f"/>
                </v:line>
                <v:shape id="Text Box 54" o:spid="_x0000_s1044" type="#_x0000_t202" style="position:absolute;left:10312;top:17661;width:9690;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">
                  <v:path arrowok="t"/>
                  <v:textbox inset=".88269mm,.88269mm,.88269mm,.88269mm">
                    <w:txbxContent>
                      <w:p w14:paraId="06F2EA22" w14:textId="77777777" w:rsidR="00EF4064" w:rsidRPr="000A7C03" w:rsidRDefault="00EF4064" w:rsidP="00F218AE">
                        <w:pPr>
                          <w:jc w:val="center"/>
                        </w:pPr>
                        <w:r>
                          <w:t xml:space="preserve">Processus de rédaction </w:t>
                        </w:r>
                        <w:r>
                          <w:br/>
                          <w:t>pour enquête</w:t>
                        </w:r>
                      </w:p>
                    </w:txbxContent>
                  </v:textbox>
                </v:shape>
                <v:shape id="Text Box 55" o:spid="_x0000_s1045" type="#_x0000_t202" style="position:absolute;left:9241;top:24158;width:11843;height:7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">
                  <v:path arrowok="t"/>
                  <v:textbox inset=".88269mm,.88269mm,.88269mm,.88269mm">
                    <w:txbxContent>
                      <w:p w14:paraId="75A5D6AB" w14:textId="77777777" w:rsidR="00EF4064" w:rsidRDefault="00EF4064" w:rsidP="00F218AE">
                        <w:pPr>
                          <w:jc w:val="center"/>
                        </w:pPr>
                        <w:r>
                          <w:t>Examen des observations</w:t>
                        </w:r>
                      </w:p>
                      <w:p w14:paraId="7629563A" w14:textId="77777777" w:rsidR="00EF4064" w:rsidRPr="00B30426" w:rsidRDefault="00EF4064" w:rsidP="00F218AE">
                        <w:pPr>
                          <w:jc w:val="center"/>
                        </w:pPr>
                        <w:r w:rsidRPr="00B30426">
                          <w:t>Préparation du texte p</w:t>
                        </w:r>
                        <w:r>
                          <w:t>our le vote formel</w:t>
                        </w:r>
                      </w:p>
                    </w:txbxContent>
                  </v:textbox>
                </v:shape>
                <v:shape id="Text Box 56" o:spid="_x0000_s1046" type="#_x0000_t202" style="position:absolute;left:50174;top:25933;width:9689;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o5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">
                  <v:path arrowok="t"/>
                  <v:textbox inset=".88269mm,.88269mm,.88269mm,.88269mm">
                    <w:txbxContent>
                      <w:p w14:paraId="202E16CC" w14:textId="77777777" w:rsidR="00EF4064" w:rsidRPr="009E2CA5" w:rsidRDefault="00EF4064" w:rsidP="00F218AE">
                        <w:pPr>
                          <w:jc w:val="center"/>
                        </w:pPr>
                        <w:r w:rsidRPr="009E2CA5">
                          <w:t>Observations du Groupe de travail des nor</w:t>
                        </w:r>
                        <w:r>
                          <w:t>mes</w:t>
                        </w:r>
                      </w:p>
                    </w:txbxContent>
                  </v:textbox>
                </v:shape>
                <v:line id="Line 57" o:spid="_x0000_s1047" style="position:absolute;flip:x;visibility:visible;mso-wrap-style:square" from="21084,29340" to="50278,2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o:lock v:ext="edit" shapetype="f"/>
                </v:line>
                <v:shape id="AutoShape 58" o:spid="_x0000_s1048" type="#_x0000_t114" style="position:absolute;left:29425;top:19221;width:10442;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">
                  <v:path arrowok="t"/>
                  <v:textbox inset="2.24206mm,1.121mm,2.24206mm,1.121mm">
                    <w:txbxContent>
                      <w:p w14:paraId="1EA593B4" w14:textId="77777777" w:rsidR="00EF4064" w:rsidRPr="00D246FF" w:rsidRDefault="00EF4064" w:rsidP="00F218AE">
                        <w:pPr>
                          <w:jc w:val="center"/>
                        </w:pPr>
                        <w:r w:rsidRPr="00D246FF">
                          <w:t>P</w:t>
                        </w:r>
                        <w:r>
                          <w:t>rojet pour enquête publique</w:t>
                        </w:r>
                      </w:p>
                    </w:txbxContent>
                  </v:textbox>
                </v:shape>
                <v:shape id="AutoShape 59" o:spid="_x0000_s1049" type="#_x0000_t114" style="position:absolute;left:29426;top:24542;width:11465;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">
                  <v:path arrowok="t"/>
                  <v:textbox inset="2.24206mm,1.121mm,2.24206mm,1.121mm">
                    <w:txbxContent>
                      <w:p w14:paraId="59E5B7F2" w14:textId="77777777" w:rsidR="00EF4064" w:rsidRPr="00D246FF" w:rsidRDefault="00EF4064" w:rsidP="00F218AE">
                        <w:pPr>
                          <w:jc w:val="center"/>
                        </w:pPr>
                        <w:r>
                          <w:t xml:space="preserve">Évaluation </w:t>
                        </w:r>
                        <w:r>
                          <w:br/>
                          <w:t>du projet pour enquête</w:t>
                        </w:r>
                      </w:p>
                    </w:txbxContent>
                  </v:textbox>
                </v:shape>
                <v:shape id="Text Box 60" o:spid="_x0000_s1050" type="#_x0000_t202" style="position:absolute;left:50174;top:19574;width:9700;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">
                  <v:path arrowok="t"/>
                  <v:textbox inset=".88269mm,.88269mm,.88269mm,.88269mm">
                    <w:txbxContent>
                      <w:p w14:paraId="7C739988" w14:textId="77777777" w:rsidR="00EF4064" w:rsidRPr="009E2CA5" w:rsidRDefault="00EF4064" w:rsidP="00F218AE">
                        <w:pPr>
                          <w:jc w:val="center"/>
                        </w:pPr>
                        <w:r w:rsidRPr="009E2CA5">
                          <w:t xml:space="preserve">Pour info </w:t>
                        </w:r>
                        <w:r>
                          <w:t xml:space="preserve">et observations </w:t>
                        </w:r>
                        <w:r w:rsidRPr="009E2CA5">
                          <w:t>des</w:t>
                        </w:r>
                        <w:r w:rsidR="00B17F6F">
                          <w:t> </w:t>
                        </w:r>
                        <w:r w:rsidRPr="009E2CA5">
                          <w:t>délégations</w:t>
                        </w:r>
                      </w:p>
                    </w:txbxContent>
                  </v:textbox>
                </v:shape>
                <v:line id="Line 61" o:spid="_x0000_s1051" style="position:absolute;visibility:visible;mso-wrap-style:square" from="40011,21776" to="50174,2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52" type="#_x0000_t34" style="position:absolute;left:40891;top:22452;width:9283;height:54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">
                  <v:stroke endarrow="block"/>
                  <o:lock v:ext="edit" shapetype="f"/>
                </v:shape>
                <v:line id="Line 63" o:spid="_x0000_s1053" style="position:absolute;flip:x;visibility:visible;mso-wrap-style:square" from="21084,26533" to="29271,2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o:lock v:ext="edit" shapetype="f"/>
                </v:line>
                <v:line id="Line 64" o:spid="_x0000_s1054" style="position:absolute;visibility:visible;mso-wrap-style:square" from="20013,21209" to="29271,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o:lock v:ext="edit" shapetype="f"/>
                </v:line>
                <v:shape id="Text Box 65" o:spid="_x0000_s1055" type="#_x0000_t202" style="position:absolute;left:10368;top:33622;width:9578;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">
                  <v:path arrowok="t"/>
                  <v:textbox inset=".88269mm,.88269mm,.88269mm,.88269mm">
                    <w:txbxContent>
                      <w:p w14:paraId="20FAE97E" w14:textId="77777777" w:rsidR="00EF4064" w:rsidRPr="00080783" w:rsidRDefault="00EF4064" w:rsidP="00F218AE">
                        <w:pPr>
                          <w:jc w:val="center"/>
                        </w:pPr>
                        <w:r w:rsidRPr="00080783">
                          <w:t>Processus de rédaction pour vote f</w:t>
                        </w:r>
                        <w:r>
                          <w:t>ormel</w:t>
                        </w:r>
                      </w:p>
                    </w:txbxContent>
                  </v:textbox>
                </v:shape>
                <v:shape id="Text Box 66" o:spid="_x0000_s1056" type="#_x0000_t202" style="position:absolute;left:10312;top:41391;width:9701;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">
                  <v:path arrowok="t"/>
                  <v:textbox inset=".88269mm,.88269mm,.88269mm,.88269mm">
                    <w:txbxContent>
                      <w:p w14:paraId="21686744" w14:textId="77777777" w:rsidR="00EF4064" w:rsidRPr="00D246FF" w:rsidRDefault="00EF4064" w:rsidP="00B17F6F">
                        <w:pPr>
                          <w:spacing w:after="120"/>
                          <w:jc w:val="center"/>
                        </w:pPr>
                        <w:r>
                          <w:t>Préparation du texte final</w:t>
                        </w:r>
                      </w:p>
                      <w:p w14:paraId="3D4E6881" w14:textId="77777777" w:rsidR="00EF4064" w:rsidRPr="00D246FF" w:rsidRDefault="00EF4064" w:rsidP="00B17F6F">
                        <w:pPr>
                          <w:jc w:val="center"/>
                        </w:pPr>
                        <w:r w:rsidRPr="00D246FF">
                          <w:t>Ratification</w:t>
                        </w:r>
                      </w:p>
                    </w:txbxContent>
                  </v:textbox>
                </v:shape>
                <v:shape id="AutoShape 67" o:spid="_x0000_s1057" type="#_x0000_t114" style="position:absolute;left:29491;top:33095;width:970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">
                  <v:path arrowok="t"/>
                  <v:textbox inset="2.24206mm,1.121mm,2.24206mm,1.121mm">
                    <w:txbxContent>
                      <w:p w14:paraId="5B0F7D09" w14:textId="77777777" w:rsidR="00EF4064" w:rsidRPr="00D246FF" w:rsidRDefault="00EF4064" w:rsidP="00F218AE">
                        <w:pPr>
                          <w:jc w:val="center"/>
                        </w:pPr>
                        <w:r>
                          <w:t>P</w:t>
                        </w:r>
                        <w:r w:rsidRPr="003212FD">
                          <w:t xml:space="preserve">rojet pour vote formel </w:t>
                        </w:r>
                        <w:r>
                          <w:t>proposé</w:t>
                        </w:r>
                      </w:p>
                    </w:txbxContent>
                  </v:textbox>
                </v:shape>
                <v:shape id="AutoShape 68" o:spid="_x0000_s1058" type="#_x0000_t114" style="position:absolute;left:29271;top:40584;width:11401;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">
                  <v:path arrowok="t"/>
                  <v:textbox inset="2.24206mm,1.121mm,2.24206mm,1.121mm">
                    <w:txbxContent>
                      <w:p w14:paraId="3C3ACFF9" w14:textId="77777777" w:rsidR="00EF4064" w:rsidRPr="003212FD" w:rsidRDefault="00EF4064" w:rsidP="00E9420A">
                        <w:pPr>
                          <w:spacing w:line="220" w:lineRule="atLeast"/>
                          <w:jc w:val="center"/>
                        </w:pPr>
                        <w:r w:rsidRPr="003212FD">
                          <w:t xml:space="preserve">Évaluation </w:t>
                        </w:r>
                        <w:r>
                          <w:br/>
                        </w:r>
                        <w:r w:rsidRPr="003212FD">
                          <w:t xml:space="preserve">du </w:t>
                        </w:r>
                        <w:bookmarkStart w:id="29" w:name="_Hlk55976132"/>
                        <w:r w:rsidRPr="003212FD">
                          <w:t>projet pour vote formel</w:t>
                        </w:r>
                        <w:bookmarkEnd w:id="29"/>
                      </w:p>
                    </w:txbxContent>
                  </v:textbox>
                </v:shape>
                <v:shape id="Text Box 69" o:spid="_x0000_s1059" type="#_x0000_t202" style="position:absolute;left:50174;top:35349;width:1117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">
                  <v:path arrowok="t"/>
                  <v:textbox inset=".88269mm,.88269mm,.88269mm,.88269mm">
                    <w:txbxContent>
                      <w:p w14:paraId="151CB7D1" w14:textId="77777777" w:rsidR="00EF4064" w:rsidRPr="00EB39AC" w:rsidRDefault="00EF4064" w:rsidP="00F218AE">
                        <w:pPr>
                          <w:jc w:val="center"/>
                        </w:pPr>
                        <w:r w:rsidRPr="00EB39AC">
                          <w:t>Pour info et observations des</w:t>
                        </w:r>
                        <w:r w:rsidR="00B17F6F">
                          <w:t> </w:t>
                        </w:r>
                        <w:r w:rsidRPr="00EB39AC">
                          <w:t>délégations</w:t>
                        </w:r>
                      </w:p>
                    </w:txbxContent>
                  </v:textbox>
                </v:shape>
                <v:line id="Line 70" o:spid="_x0000_s1060" style="position:absolute;flip:y;visibility:visible;mso-wrap-style:square" from="39181,37757" to="50174,3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o:lock v:ext="edit" shapetype="f"/>
                </v:line>
                <v:shape id="AutoShape 71" o:spid="_x0000_s1061" type="#_x0000_t34" style="position:absolute;left:40672;top:38320;width:9502;height:54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">
                  <v:stroke endarrow="block"/>
                  <o:lock v:ext="edit" shapetype="f"/>
                </v:shape>
                <v:line id="Line 72" o:spid="_x0000_s1062" style="position:absolute;flip:x y;visibility:visible;mso-wrap-style:square" from="20013,42954" to="29123,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">
                  <v:stroke endarrow="block"/>
                  <o:lock v:ext="edit" shapetype="f"/>
                </v:line>
                <v:line id="Line 73" o:spid="_x0000_s1063" style="position:absolute;flip:y;visibility:visible;mso-wrap-style:square" from="20190,36605" to="29491,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o:lock v:ext="edit" shapetype="f"/>
                </v:line>
                <v:shape id="Text Box 74" o:spid="_x0000_s1064" type="#_x0000_t202" style="position:absolute;left:50174;top:41899;width:11170;height: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">
                  <v:path arrowok="t"/>
                  <v:textbox inset=".88269mm,.88269mm,.88269mm,.88269mm">
                    <w:txbxContent>
                      <w:p w14:paraId="560B1839" w14:textId="77777777" w:rsidR="00EF4064" w:rsidRPr="00076F7F" w:rsidRDefault="00EF4064" w:rsidP="00F218AE">
                        <w:pPr>
                          <w:jc w:val="center"/>
                        </w:pPr>
                        <w:r w:rsidRPr="00076F7F">
                          <w:t>Approbation/refus du renvoi par la Ré</w:t>
                        </w:r>
                        <w:r>
                          <w:t>union commune</w:t>
                        </w:r>
                      </w:p>
                    </w:txbxContent>
                  </v:textbox>
                </v:shape>
                <v:shape id="Text Box 75" o:spid="_x0000_s1065" type="#_x0000_t202" style="position:absolute;left:69663;top:37171;width:11645;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">
                  <v:path arrowok="t"/>
                  <v:textbox inset=".88269mm,.88269mm,.88269mm,.88269mm">
                    <w:txbxContent>
                      <w:p w14:paraId="466C35B0" w14:textId="77777777" w:rsidR="00EF4064" w:rsidRPr="00D246FF" w:rsidRDefault="00EF4064" w:rsidP="00F218AE">
                        <w:pPr>
                          <w:jc w:val="center"/>
                        </w:pPr>
                        <w:r>
                          <w:t>Vote p</w:t>
                        </w:r>
                        <w:r w:rsidRPr="00D246FF">
                          <w:t>ositi</w:t>
                        </w:r>
                        <w:r>
                          <w:t>f</w:t>
                        </w:r>
                        <w:r w:rsidRPr="00D246FF">
                          <w:t>/</w:t>
                        </w:r>
                        <w:r>
                          <w:t>négatif</w:t>
                        </w:r>
                      </w:p>
                    </w:txbxContent>
                  </v:textbox>
                </v:shape>
                <v:line id="Line 76" o:spid="_x0000_s1066" style="position:absolute;flip:y;visibility:visible;mso-wrap-style:square" from="61290,38939" to="69570,3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o:lock v:ext="edit" shapetype="f"/>
                </v:line>
                <v:line id="Line 77" o:spid="_x0000_s1067" style="position:absolute;visibility:visible;mso-wrap-style:square" from="20066,47153" to="50227,4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">
                  <v:stroke startarrow="block"/>
                  <o:lock v:ext="edit" shapetype="f"/>
                </v:line>
                <v:shape id="AutoShape 78" o:spid="_x0000_s1068" type="#_x0000_t33" style="position:absolute;left:44953;top:-11930;width:5389;height:555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">
                  <v:stroke endarrow="block"/>
                  <o:lock v:ext="edit" shapetype="f"/>
                </v:shape>
                <v:shape id="Text Box 79" o:spid="_x0000_s1069" type="#_x0000_t202" style="position:absolute;left:69616;top:20623;width:11645;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">
                  <v:path arrowok="t"/>
                  <v:textbox inset=".88269mm,.88269mm,.88269mm,.88269mm">
                    <w:txbxContent>
                      <w:p w14:paraId="01CF25CD" w14:textId="77777777" w:rsidR="00EF4064" w:rsidRPr="00D246FF" w:rsidRDefault="00EF4064" w:rsidP="00F218AE">
                        <w:pPr>
                          <w:jc w:val="center"/>
                        </w:pPr>
                        <w:r w:rsidRPr="00FA275F">
                          <w:t>Pour examen à l’échelon national</w:t>
                        </w:r>
                      </w:p>
                    </w:txbxContent>
                  </v:textbox>
                </v:shape>
                <v:shape id="AutoShape 80" o:spid="_x0000_s1070" type="#_x0000_t33" style="position:absolute;left:44024;top:16799;width:7546;height:553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">
                  <v:stroke endarrow="block"/>
                  <o:lock v:ext="edit" shapetype="f"/>
                </v:shape>
                <v:line id="Line 81" o:spid="_x0000_s1071" style="position:absolute;flip:y;visibility:visible;mso-wrap-style:square" from="59863,22987" to="69563,2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o:lock v:ext="edit" shapetype="f"/>
                </v:line>
                <v:line id="Line 82" o:spid="_x0000_s1072" style="position:absolute;flip:x;visibility:visible;mso-wrap-style:square" from="75596,25351" to="75607,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o:lock v:ext="edit" shapetype="f"/>
                </v:line>
                <v:shapetype id="_x0000_t32" coordsize="21600,21600" o:spt="32" o:oned="t" path="m,l21600,21600e" filled="f">
                  <v:path arrowok="t" fillok="f" o:connecttype="none"/>
                  <o:lock v:ext="edit" shapetype="t"/>
                </v:shapetype>
                <v:shape id="AutoShape 83" o:spid="_x0000_s1073" type="#_x0000_t32" style="position:absolute;left:15163;top:10149;width:2;height:10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o:lock v:ext="edit" shapetype="f"/>
                </v:shape>
                <v:shape id="AutoShape 84" o:spid="_x0000_s1074" type="#_x0000_t32" style="position:absolute;left:15157;top:16532;width:6;height:11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o:lock v:ext="edit" shapetype="f"/>
                </v:shape>
                <v:shape id="AutoShape 85" o:spid="_x0000_s1075" type="#_x0000_t32" style="position:absolute;left:15157;top:22896;width:6;height:1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o:lock v:ext="edit" shapetype="f"/>
                </v:shape>
                <v:shape id="AutoShape 86" o:spid="_x0000_s1076" type="#_x0000_t32" style="position:absolute;left:15157;top:31847;width:6;height:17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o:lock v:ext="edit" shapetype="f"/>
                </v:shape>
                <v:shape id="AutoShape 87" o:spid="_x0000_s1077" type="#_x0000_t32" style="position:absolute;left:15157;top:38935;width:6;height:2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o:lock v:ext="edit" shapetype="f"/>
                </v:shape>
                <v:shape id="AutoShape 88" o:spid="_x0000_s1078" type="#_x0000_t32" style="position:absolute;left:75439;top:13111;width:94;height:7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">
                  <v:stroke startarrow="block"/>
                  <o:lock v:ext="edit" shapetype="f"/>
                </v:shape>
                <v:shape id="AutoShape 89" o:spid="_x0000_s1079" type="#_x0000_t109" style="position:absolute;left:47567;top:573;width:1731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" fillcolor="yellow">
                  <v:path arrowok="t"/>
                  <v:textbox inset="1mm,1mm,1mm,1mm">
                    <w:txbxContent>
                      <w:p w14:paraId="62F8EEFD" w14:textId="77777777" w:rsidR="00EF4064" w:rsidRPr="004A4525" w:rsidRDefault="00EF4064" w:rsidP="00F218AE">
                        <w:pPr>
                          <w:jc w:val="center"/>
                        </w:pPr>
                        <w:r w:rsidRPr="004A4525">
                          <w:t xml:space="preserve">Réunion commune/Groupe </w:t>
                        </w:r>
                        <w:r>
                          <w:br/>
                        </w:r>
                        <w:r w:rsidRPr="004A4525">
                          <w:t>de travail des normes</w:t>
                        </w:r>
                      </w:p>
                    </w:txbxContent>
                  </v:textbox>
                </v:shape>
                <w10:anchorlock/>
              </v:group>
            </w:pict>
          </mc:Fallback>
        </mc:AlternateContent>
      </w:r>
    </w:p>
    <w:p w14:paraId="0139E8DE" w14:textId="77777777" w:rsidR="00F218AE" w:rsidRPr="007C24E8" w:rsidRDefault="00F218AE" w:rsidP="00B17F6F">
      <w:pPr>
        <w:suppressAutoHyphens w:val="0"/>
        <w:spacing w:after="240" w:line="240" w:lineRule="auto"/>
        <w:jc w:val="center"/>
        <w:rPr>
          <w:b/>
          <w:bCs/>
        </w:rPr>
      </w:pPr>
      <w:r w:rsidRPr="007C24E8">
        <w:br w:type="page"/>
      </w:r>
      <w:r w:rsidRPr="007C24E8">
        <w:rPr>
          <w:b/>
          <w:bCs/>
        </w:rPr>
        <w:t>Diagramme de décision pour l’adoption de nouveaux renvois à des normes européennes à caractère général dans le RID, l’ADR et l’A</w:t>
      </w:r>
      <w:r w:rsidRPr="007C24E8">
        <w:rPr>
          <w:noProof/>
          <w:lang w:eastAsia="de-DE"/>
        </w:rPr>
        <mc:AlternateContent>
          <mc:Choice Requires="wps">
            <w:drawing>
              <wp:anchor distT="0" distB="0" distL="114300" distR="114300" simplePos="0" relativeHeight="251656704" behindDoc="0" locked="0" layoutInCell="1" allowOverlap="1" wp14:anchorId="78024427" wp14:editId="09FD8375">
                <wp:simplePos x="0" y="0"/>
                <wp:positionH relativeFrom="column">
                  <wp:posOffset>-370840</wp:posOffset>
                </wp:positionH>
                <wp:positionV relativeFrom="paragraph">
                  <wp:posOffset>153670</wp:posOffset>
                </wp:positionV>
                <wp:extent cx="400050" cy="266700"/>
                <wp:effectExtent l="0" t="0" r="0" b="0"/>
                <wp:wrapNone/>
                <wp:docPr id="8" name="Zone de texte 3"/>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19A025C6" w14:textId="77777777" w:rsidR="00EF4064" w:rsidRPr="00B01188" w:rsidRDefault="00EF4064" w:rsidP="00F218AE">
                            <w:pPr>
                              <w:jc w:val="right"/>
                              <w:rPr>
                                <w:u w:val="single"/>
                              </w:rPr>
                            </w:pPr>
                            <w:r>
                              <w:t>30</w:t>
                            </w:r>
                          </w:p>
                          <w:p w14:paraId="2FD5E025" w14:textId="77777777" w:rsidR="00EF4064" w:rsidRPr="00B01188" w:rsidRDefault="00EF4064" w:rsidP="00F218AE">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4427" id="Zone de texte 3" o:spid="_x0000_s1080" type="#_x0000_t202" style="position:absolute;left:0;text-align:left;margin-left:-29.2pt;margin-top:12.1pt;width:31.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" fillcolor="white [3201]" stroked="f" strokeweight=".5pt">
                <v:textbox style="layout-flow:vertical-ideographic">
                  <w:txbxContent>
                    <w:p w14:paraId="19A025C6" w14:textId="77777777" w:rsidR="00EF4064" w:rsidRPr="00B01188" w:rsidRDefault="00EF4064" w:rsidP="00F218AE">
                      <w:pPr>
                        <w:jc w:val="right"/>
                        <w:rPr>
                          <w:u w:val="single"/>
                        </w:rPr>
                      </w:pPr>
                      <w:r>
                        <w:t>30</w:t>
                      </w:r>
                    </w:p>
                    <w:p w14:paraId="2FD5E025" w14:textId="77777777" w:rsidR="00EF4064" w:rsidRPr="00B01188" w:rsidRDefault="00EF4064" w:rsidP="00F218AE">
                      <w:pPr>
                        <w:pBdr>
                          <w:left w:val="single" w:sz="4" w:space="1" w:color="auto"/>
                        </w:pBdr>
                        <w:jc w:val="right"/>
                        <w:rPr>
                          <w:u w:val="single"/>
                        </w:rPr>
                      </w:pPr>
                    </w:p>
                  </w:txbxContent>
                </v:textbox>
              </v:shape>
            </w:pict>
          </mc:Fallback>
        </mc:AlternateContent>
      </w:r>
      <w:r w:rsidRPr="007C24E8">
        <w:rPr>
          <w:b/>
          <w:bCs/>
        </w:rPr>
        <w:t>DN</w:t>
      </w:r>
    </w:p>
    <w:p w14:paraId="25A74599" w14:textId="77777777" w:rsidR="00F218AE" w:rsidRPr="007C24E8" w:rsidRDefault="00F218AE" w:rsidP="00771B38">
      <w:pPr>
        <w:pStyle w:val="SingleTxtG"/>
        <w:jc w:val="center"/>
      </w:pPr>
      <w:r w:rsidRPr="007C24E8">
        <w:rPr>
          <w:noProof/>
          <w:lang w:eastAsia="de-DE"/>
        </w:rPr>
        <mc:AlternateContent>
          <mc:Choice Requires="wpg">
            <w:drawing>
              <wp:inline distT="0" distB="0" distL="0" distR="0" wp14:anchorId="5DA8D992" wp14:editId="31AFAD7A">
                <wp:extent cx="7925435" cy="2848919"/>
                <wp:effectExtent l="0" t="0" r="18415" b="279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5435" cy="2848919"/>
                          <a:chOff x="2669" y="2754"/>
                          <a:chExt cx="12481" cy="4670"/>
                        </a:xfrm>
                      </wpg:grpSpPr>
                      <wps:wsp>
                        <wps:cNvPr id="20" name="AutoShape 20"/>
                        <wps:cNvCnPr>
                          <a:cxnSpLocks/>
                          <a:stCxn id="23" idx="2"/>
                          <a:endCxn id="31" idx="1"/>
                        </wps:cNvCnPr>
                        <wps:spPr bwMode="auto">
                          <a:xfrm rot="16200000" flipH="1">
                            <a:off x="7183" y="4777"/>
                            <a:ext cx="1424" cy="2800"/>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669" y="2754"/>
                            <a:ext cx="1598" cy="428"/>
                          </a:xfrm>
                          <a:prstGeom prst="flowChartProcess">
                            <a:avLst/>
                          </a:prstGeom>
                          <a:solidFill>
                            <a:srgbClr val="FFFF00"/>
                          </a:solidFill>
                          <a:ln w="9525">
                            <a:solidFill>
                              <a:srgbClr val="000000"/>
                            </a:solidFill>
                            <a:miter lim="800000"/>
                            <a:headEnd/>
                            <a:tailEnd/>
                          </a:ln>
                        </wps:spPr>
                        <wps:txbx>
                          <w:txbxContent>
                            <w:p w14:paraId="3E5F4BDE" w14:textId="77777777" w:rsidR="00EF4064" w:rsidRPr="00886441" w:rsidRDefault="00EF4064" w:rsidP="00F218AE">
                              <w:pPr>
                                <w:jc w:val="center"/>
                              </w:pPr>
                              <w:r w:rsidRPr="00886441">
                                <w:t>CEN-CENELEC</w:t>
                              </w:r>
                              <w:r>
                                <w:tab/>
                              </w:r>
                              <w:r>
                                <w:tab/>
                              </w:r>
                              <w:r>
                                <w:tab/>
                              </w:r>
                              <w:r>
                                <w:tab/>
                              </w:r>
                              <w:r>
                                <w:tab/>
                              </w:r>
                              <w:r>
                                <w:tab/>
                              </w:r>
                              <w:r>
                                <w:tab/>
                              </w:r>
                              <w:r>
                                <w:tab/>
                              </w:r>
                              <w:r>
                                <w:tab/>
                              </w:r>
                              <w:r>
                                <w:tab/>
                              </w:r>
                            </w:p>
                          </w:txbxContent>
                        </wps:txbx>
                        <wps:bodyPr rot="0" vert="horz" wrap="square" lIns="36000" tIns="36000" rIns="36000" bIns="36000" anchor="t" anchorCtr="0" upright="1">
                          <a:noAutofit/>
                        </wps:bodyPr>
                      </wps:wsp>
                      <wps:wsp>
                        <wps:cNvPr id="22" name="AutoShape 22"/>
                        <wps:cNvSpPr>
                          <a:spLocks/>
                        </wps:cNvSpPr>
                        <wps:spPr bwMode="auto">
                          <a:xfrm>
                            <a:off x="5368" y="2754"/>
                            <a:ext cx="2638" cy="642"/>
                          </a:xfrm>
                          <a:prstGeom prst="flowChartProcess">
                            <a:avLst/>
                          </a:prstGeom>
                          <a:solidFill>
                            <a:srgbClr val="FFFF00"/>
                          </a:solidFill>
                          <a:ln w="9525">
                            <a:solidFill>
                              <a:srgbClr val="000000"/>
                            </a:solidFill>
                            <a:miter lim="800000"/>
                            <a:headEnd/>
                            <a:tailEnd/>
                          </a:ln>
                        </wps:spPr>
                        <wps:txbx>
                          <w:txbxContent>
                            <w:p w14:paraId="1A322558" w14:textId="77777777" w:rsidR="00EF4064" w:rsidRPr="00917E9B" w:rsidRDefault="00EF4064" w:rsidP="00F218AE">
                              <w:pPr>
                                <w:jc w:val="center"/>
                              </w:pPr>
                              <w:r w:rsidRPr="00917E9B">
                                <w:t xml:space="preserve">Centre de gestion </w:t>
                              </w:r>
                              <w:r>
                                <w:br/>
                              </w:r>
                              <w:r w:rsidRPr="00917E9B">
                                <w:t>du CEN-CENELEC</w:t>
                              </w:r>
                            </w:p>
                          </w:txbxContent>
                        </wps:txbx>
                        <wps:bodyPr rot="0" vert="horz" wrap="square" lIns="36000" tIns="36000" rIns="36000" bIns="36000" anchor="t" anchorCtr="0" upright="1">
                          <a:noAutofit/>
                        </wps:bodyPr>
                      </wps:wsp>
                      <wps:wsp>
                        <wps:cNvPr id="23" name="AutoShape 23"/>
                        <wps:cNvSpPr>
                          <a:spLocks/>
                        </wps:cNvSpPr>
                        <wps:spPr bwMode="auto">
                          <a:xfrm>
                            <a:off x="5482" y="4466"/>
                            <a:ext cx="2026" cy="1070"/>
                          </a:xfrm>
                          <a:prstGeom prst="flowChartDocument">
                            <a:avLst/>
                          </a:prstGeom>
                          <a:solidFill>
                            <a:srgbClr val="FFFFFF"/>
                          </a:solidFill>
                          <a:ln w="9525">
                            <a:solidFill>
                              <a:srgbClr val="000000"/>
                            </a:solidFill>
                            <a:miter lim="800000"/>
                            <a:headEnd/>
                            <a:tailEnd/>
                          </a:ln>
                        </wps:spPr>
                        <wps:txbx>
                          <w:txbxContent>
                            <w:p w14:paraId="00B8BF1F" w14:textId="77777777" w:rsidR="00EF4064" w:rsidRPr="00771B38" w:rsidRDefault="00EF4064" w:rsidP="00F218AE">
                              <w:pPr>
                                <w:jc w:val="center"/>
                                <w:rPr>
                                  <w:bCs/>
                                  <w:sz w:val="18"/>
                                  <w:szCs w:val="18"/>
                                </w:rPr>
                              </w:pPr>
                              <w:r w:rsidRPr="00771B38">
                                <w:t>Affichage de proposition sur site Web protégé</w:t>
                              </w:r>
                            </w:p>
                          </w:txbxContent>
                        </wps:txbx>
                        <wps:bodyPr rot="0" vert="horz" wrap="square" lIns="36000" tIns="36000" rIns="36000" bIns="0" anchor="t" anchorCtr="0" upright="1">
                          <a:noAutofit/>
                        </wps:bodyPr>
                      </wps:wsp>
                      <wps:wsp>
                        <wps:cNvPr id="24" name="Text Box 24"/>
                        <wps:cNvSpPr txBox="1">
                          <a:spLocks/>
                        </wps:cNvSpPr>
                        <wps:spPr bwMode="auto">
                          <a:xfrm>
                            <a:off x="9422" y="3716"/>
                            <a:ext cx="1756" cy="964"/>
                          </a:xfrm>
                          <a:prstGeom prst="rect">
                            <a:avLst/>
                          </a:prstGeom>
                          <a:solidFill>
                            <a:srgbClr val="FFFFFF"/>
                          </a:solidFill>
                          <a:ln w="9525">
                            <a:solidFill>
                              <a:srgbClr val="000000"/>
                            </a:solidFill>
                            <a:miter lim="800000"/>
                            <a:headEnd/>
                            <a:tailEnd/>
                          </a:ln>
                        </wps:spPr>
                        <wps:txbx>
                          <w:txbxContent>
                            <w:p w14:paraId="778376C4" w14:textId="77777777" w:rsidR="00EF4064" w:rsidRPr="00F36880" w:rsidRDefault="00EF4064" w:rsidP="00F218AE">
                              <w:pPr>
                                <w:jc w:val="center"/>
                              </w:pPr>
                              <w:r w:rsidRPr="00F36880">
                                <w:t>Demande de nouve</w:t>
                              </w:r>
                              <w:r>
                                <w:t xml:space="preserve">au renvoi </w:t>
                              </w:r>
                              <w:r w:rsidRPr="00F36880">
                                <w:t>par</w:t>
                              </w:r>
                              <w:r>
                                <w:t> </w:t>
                              </w:r>
                              <w:r w:rsidRPr="00F36880">
                                <w:t>un membre</w:t>
                              </w:r>
                            </w:p>
                          </w:txbxContent>
                        </wps:txbx>
                        <wps:bodyPr rot="0" vert="horz" wrap="square" lIns="36000" tIns="36000" rIns="36000" bIns="36000" anchor="t" anchorCtr="0" upright="1">
                          <a:noAutofit/>
                        </wps:bodyPr>
                      </wps:wsp>
                      <wps:wsp>
                        <wps:cNvPr id="25" name="Line 25"/>
                        <wps:cNvCnPr>
                          <a:cxnSpLocks/>
                        </wps:cNvCnPr>
                        <wps:spPr bwMode="auto">
                          <a:xfrm>
                            <a:off x="6534" y="4038"/>
                            <a:ext cx="2888"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Text Box 26"/>
                        <wps:cNvSpPr txBox="1">
                          <a:spLocks/>
                        </wps:cNvSpPr>
                        <wps:spPr bwMode="auto">
                          <a:xfrm>
                            <a:off x="9422" y="4894"/>
                            <a:ext cx="1756" cy="857"/>
                          </a:xfrm>
                          <a:prstGeom prst="rect">
                            <a:avLst/>
                          </a:prstGeom>
                          <a:solidFill>
                            <a:srgbClr val="FFFFFF"/>
                          </a:solidFill>
                          <a:ln w="9525">
                            <a:solidFill>
                              <a:srgbClr val="000000"/>
                            </a:solidFill>
                            <a:miter lim="800000"/>
                            <a:headEnd/>
                            <a:tailEnd/>
                          </a:ln>
                        </wps:spPr>
                        <wps:txbx>
                          <w:txbxContent>
                            <w:p w14:paraId="305582F3" w14:textId="77777777" w:rsidR="00EF4064" w:rsidRPr="00FD3DA4" w:rsidRDefault="00EF4064" w:rsidP="00F218AE">
                              <w:pPr>
                                <w:jc w:val="center"/>
                              </w:pPr>
                              <w:r w:rsidRPr="00FD3DA4">
                                <w:t>Pour info des</w:t>
                              </w:r>
                              <w:r>
                                <w:t> </w:t>
                              </w:r>
                              <w:r w:rsidRPr="00FD3DA4">
                                <w:t>délégations</w:t>
                              </w:r>
                            </w:p>
                          </w:txbxContent>
                        </wps:txbx>
                        <wps:bodyPr rot="0" vert="horz" wrap="square" lIns="36000" tIns="36000" rIns="36000" bIns="36000" anchor="t" anchorCtr="0" upright="1">
                          <a:noAutofit/>
                        </wps:bodyPr>
                      </wps:wsp>
                      <wps:wsp>
                        <wps:cNvPr id="27" name="AutoShape 27"/>
                        <wps:cNvSpPr>
                          <a:spLocks/>
                        </wps:cNvSpPr>
                        <wps:spPr bwMode="auto">
                          <a:xfrm>
                            <a:off x="9063" y="2754"/>
                            <a:ext cx="2347" cy="642"/>
                          </a:xfrm>
                          <a:prstGeom prst="flowChartProcess">
                            <a:avLst/>
                          </a:prstGeom>
                          <a:solidFill>
                            <a:srgbClr val="FFFF00"/>
                          </a:solidFill>
                          <a:ln w="9525">
                            <a:solidFill>
                              <a:srgbClr val="000000"/>
                            </a:solidFill>
                            <a:miter lim="800000"/>
                            <a:headEnd/>
                            <a:tailEnd/>
                          </a:ln>
                        </wps:spPr>
                        <wps:txbx>
                          <w:txbxContent>
                            <w:p w14:paraId="5A6EE1A2" w14:textId="77777777" w:rsidR="00EF4064" w:rsidRPr="0072640D" w:rsidRDefault="00EF4064" w:rsidP="00F218AE">
                              <w:pPr>
                                <w:jc w:val="center"/>
                              </w:pPr>
                              <w:r w:rsidRPr="0072640D">
                                <w:t>Réunion commune/Groupe de travail des normes</w:t>
                              </w:r>
                            </w:p>
                          </w:txbxContent>
                        </wps:txbx>
                        <wps:bodyPr rot="0" vert="horz" wrap="square" lIns="36000" tIns="36000" rIns="36000" bIns="36000" anchor="t" anchorCtr="0" upright="1">
                          <a:noAutofit/>
                        </wps:bodyPr>
                      </wps:wsp>
                      <wps:wsp>
                        <wps:cNvPr id="28" name="AutoShape 28"/>
                        <wps:cNvSpPr>
                          <a:spLocks/>
                        </wps:cNvSpPr>
                        <wps:spPr bwMode="auto">
                          <a:xfrm>
                            <a:off x="12658" y="2754"/>
                            <a:ext cx="2492" cy="674"/>
                          </a:xfrm>
                          <a:prstGeom prst="flowChartProcess">
                            <a:avLst/>
                          </a:prstGeom>
                          <a:solidFill>
                            <a:srgbClr val="FFFF00"/>
                          </a:solidFill>
                          <a:ln w="9525">
                            <a:solidFill>
                              <a:srgbClr val="000000"/>
                            </a:solidFill>
                            <a:miter lim="800000"/>
                            <a:headEnd/>
                            <a:tailEnd/>
                          </a:ln>
                        </wps:spPr>
                        <wps:txbx>
                          <w:txbxContent>
                            <w:p w14:paraId="3AEDCEAA" w14:textId="77777777" w:rsidR="00EF4064" w:rsidRPr="00886441" w:rsidRDefault="00EF4064" w:rsidP="00F218AE">
                              <w:pPr>
                                <w:jc w:val="center"/>
                              </w:pPr>
                              <w:r>
                                <w:t xml:space="preserve">Organismes </w:t>
                              </w:r>
                              <w:r w:rsidRPr="00B31D1A">
                                <w:t>nationaux de</w:t>
                              </w:r>
                              <w:r>
                                <w:t> </w:t>
                              </w:r>
                              <w:r w:rsidRPr="00B31D1A">
                                <w:t>normalisation</w:t>
                              </w:r>
                            </w:p>
                          </w:txbxContent>
                        </wps:txbx>
                        <wps:bodyPr rot="0" vert="horz" wrap="square" lIns="0" tIns="36000" rIns="0" bIns="36000" anchor="t" anchorCtr="0" upright="1">
                          <a:noAutofit/>
                        </wps:bodyPr>
                      </wps:wsp>
                      <wps:wsp>
                        <wps:cNvPr id="29" name="Line 29"/>
                        <wps:cNvCnPr>
                          <a:cxnSpLocks/>
                        </wps:cNvCnPr>
                        <wps:spPr bwMode="auto">
                          <a:xfrm>
                            <a:off x="6536" y="3396"/>
                            <a:ext cx="2" cy="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7510" y="5108"/>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9295" y="6354"/>
                            <a:ext cx="2026" cy="1070"/>
                          </a:xfrm>
                          <a:prstGeom prst="flowChartDocument">
                            <a:avLst/>
                          </a:prstGeom>
                          <a:solidFill>
                            <a:srgbClr val="FFFFFF"/>
                          </a:solidFill>
                          <a:ln w="9525">
                            <a:solidFill>
                              <a:srgbClr val="000000"/>
                            </a:solidFill>
                            <a:miter lim="800000"/>
                            <a:headEnd/>
                            <a:tailEnd/>
                          </a:ln>
                        </wps:spPr>
                        <wps:txbx>
                          <w:txbxContent>
                            <w:p w14:paraId="315996CE" w14:textId="77777777" w:rsidR="00EF4064" w:rsidRPr="00FD3DA4" w:rsidRDefault="00EF4064" w:rsidP="00F218AE">
                              <w:pPr>
                                <w:jc w:val="center"/>
                              </w:pPr>
                              <w:r w:rsidRPr="00330344">
                                <w:t>Avis du</w:t>
                              </w:r>
                              <w:r w:rsidRPr="00B17F6F">
                                <w:t xml:space="preserve"> </w:t>
                              </w:r>
                              <w:r w:rsidRPr="00FD3DA4">
                                <w:rPr>
                                  <w:u w:val="single"/>
                                </w:rPr>
                                <w:t>Groupe de travail des normes</w:t>
                              </w:r>
                              <w:r w:rsidRPr="00330344">
                                <w:t xml:space="preserve"> sur </w:t>
                              </w:r>
                              <w:r w:rsidRPr="003D5BE4">
                                <w:rPr>
                                  <w:u w:val="single"/>
                                </w:rPr>
                                <w:t>la conformité</w:t>
                              </w:r>
                            </w:p>
                          </w:txbxContent>
                        </wps:txbx>
                        <wps:bodyPr rot="0" vert="horz" wrap="square" lIns="36000" tIns="36000" rIns="36000" bIns="36000" anchor="t" anchorCtr="0" upright="1">
                          <a:noAutofit/>
                        </wps:bodyPr>
                      </wps:wsp>
                    </wpg:wgp>
                  </a:graphicData>
                </a:graphic>
              </wp:inline>
            </w:drawing>
          </mc:Choice>
          <mc:Fallback>
            <w:pict>
              <v:group w14:anchorId="5DA8D992" id="Group 19" o:spid="_x0000_s1081" style="width:624.05pt;height:224.3pt;mso-position-horizontal-relative:char;mso-position-vertical-relative:line" coordorigin="2669,2754" coordsize="12481,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">
                <v:shape id="AutoShape 20" o:spid="_x0000_s1082" type="#_x0000_t33" style="position:absolute;left:7183;top:4777;width:1424;height:28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">
                  <v:stroke endarrow="block" joinstyle="round"/>
                  <o:lock v:ext="edit" shapetype="f"/>
                </v:shape>
                <v:shape id="AutoShape 21" o:spid="_x0000_s1083" type="#_x0000_t109" style="position:absolute;left:2669;top:2754;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" fillcolor="yellow">
                  <v:path arrowok="t"/>
                  <v:textbox inset="1mm,1mm,1mm,1mm">
                    <w:txbxContent>
                      <w:p w14:paraId="3E5F4BDE" w14:textId="77777777" w:rsidR="00EF4064" w:rsidRPr="00886441" w:rsidRDefault="00EF4064" w:rsidP="00F218AE">
                        <w:pPr>
                          <w:jc w:val="center"/>
                        </w:pPr>
                        <w:r w:rsidRPr="00886441">
                          <w:t>CEN-CENELEC</w:t>
                        </w:r>
                        <w:r>
                          <w:tab/>
                        </w:r>
                        <w:r>
                          <w:tab/>
                        </w:r>
                        <w:r>
                          <w:tab/>
                        </w:r>
                        <w:r>
                          <w:tab/>
                        </w:r>
                        <w:r>
                          <w:tab/>
                        </w:r>
                        <w:r>
                          <w:tab/>
                        </w:r>
                        <w:r>
                          <w:tab/>
                        </w:r>
                        <w:r>
                          <w:tab/>
                        </w:r>
                        <w:r>
                          <w:tab/>
                        </w:r>
                        <w:r>
                          <w:tab/>
                        </w:r>
                      </w:p>
                    </w:txbxContent>
                  </v:textbox>
                </v:shape>
                <v:shape id="AutoShape 22" o:spid="_x0000_s1084" type="#_x0000_t109" style="position:absolute;left:5368;top:2754;width:2638;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" fillcolor="yellow">
                  <v:path arrowok="t"/>
                  <v:textbox inset="1mm,1mm,1mm,1mm">
                    <w:txbxContent>
                      <w:p w14:paraId="1A322558" w14:textId="77777777" w:rsidR="00EF4064" w:rsidRPr="00917E9B" w:rsidRDefault="00EF4064" w:rsidP="00F218AE">
                        <w:pPr>
                          <w:jc w:val="center"/>
                        </w:pPr>
                        <w:r w:rsidRPr="00917E9B">
                          <w:t xml:space="preserve">Centre de gestion </w:t>
                        </w:r>
                        <w:r>
                          <w:br/>
                        </w:r>
                        <w:r w:rsidRPr="00917E9B">
                          <w:t>du CEN-CENELEC</w:t>
                        </w:r>
                      </w:p>
                    </w:txbxContent>
                  </v:textbox>
                </v:shape>
                <v:shape id="AutoShape 23" o:spid="_x0000_s1085" type="#_x0000_t114" style="position:absolute;left:5482;top:4466;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">
                  <v:path arrowok="t"/>
                  <v:textbox inset="1mm,1mm,1mm,0">
                    <w:txbxContent>
                      <w:p w14:paraId="00B8BF1F" w14:textId="77777777" w:rsidR="00EF4064" w:rsidRPr="00771B38" w:rsidRDefault="00EF4064" w:rsidP="00F218AE">
                        <w:pPr>
                          <w:jc w:val="center"/>
                          <w:rPr>
                            <w:bCs/>
                            <w:sz w:val="18"/>
                            <w:szCs w:val="18"/>
                          </w:rPr>
                        </w:pPr>
                        <w:r w:rsidRPr="00771B38">
                          <w:t>Affichage de proposition sur site Web protégé</w:t>
                        </w:r>
                      </w:p>
                    </w:txbxContent>
                  </v:textbox>
                </v:shape>
                <v:shape id="Text Box 24" o:spid="_x0000_s1086" type="#_x0000_t202" style="position:absolute;left:9422;top:3716;width:1756;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">
                  <v:path arrowok="t"/>
                  <v:textbox inset="1mm,1mm,1mm,1mm">
                    <w:txbxContent>
                      <w:p w14:paraId="778376C4" w14:textId="77777777" w:rsidR="00EF4064" w:rsidRPr="00F36880" w:rsidRDefault="00EF4064" w:rsidP="00F218AE">
                        <w:pPr>
                          <w:jc w:val="center"/>
                        </w:pPr>
                        <w:r w:rsidRPr="00F36880">
                          <w:t>Demande de nouve</w:t>
                        </w:r>
                        <w:r>
                          <w:t xml:space="preserve">au renvoi </w:t>
                        </w:r>
                        <w:r w:rsidRPr="00F36880">
                          <w:t>par</w:t>
                        </w:r>
                        <w:r>
                          <w:t> </w:t>
                        </w:r>
                        <w:r w:rsidRPr="00F36880">
                          <w:t>un membre</w:t>
                        </w:r>
                      </w:p>
                    </w:txbxContent>
                  </v:textbox>
                </v:shape>
                <v:line id="Line 25" o:spid="_x0000_s1087" style="position:absolute;visibility:visible;mso-wrap-style:square" from="6534,4038" to="942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">
                  <v:stroke startarrow="block"/>
                  <o:lock v:ext="edit" shapetype="f"/>
                </v:line>
                <v:shape id="Text Box 26" o:spid="_x0000_s1088" type="#_x0000_t202" style="position:absolute;left:9422;top:4894;width:175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">
                  <v:path arrowok="t"/>
                  <v:textbox inset="1mm,1mm,1mm,1mm">
                    <w:txbxContent>
                      <w:p w14:paraId="305582F3" w14:textId="77777777" w:rsidR="00EF4064" w:rsidRPr="00FD3DA4" w:rsidRDefault="00EF4064" w:rsidP="00F218AE">
                        <w:pPr>
                          <w:jc w:val="center"/>
                        </w:pPr>
                        <w:r w:rsidRPr="00FD3DA4">
                          <w:t>Pour info des</w:t>
                        </w:r>
                        <w:r>
                          <w:t> </w:t>
                        </w:r>
                        <w:r w:rsidRPr="00FD3DA4">
                          <w:t>délégations</w:t>
                        </w:r>
                      </w:p>
                    </w:txbxContent>
                  </v:textbox>
                </v:shape>
                <v:shape id="AutoShape 27" o:spid="_x0000_s1089" type="#_x0000_t109" style="position:absolute;left:9063;top:2754;width:2347;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" fillcolor="yellow">
                  <v:path arrowok="t"/>
                  <v:textbox inset="1mm,1mm,1mm,1mm">
                    <w:txbxContent>
                      <w:p w14:paraId="5A6EE1A2" w14:textId="77777777" w:rsidR="00EF4064" w:rsidRPr="0072640D" w:rsidRDefault="00EF4064" w:rsidP="00F218AE">
                        <w:pPr>
                          <w:jc w:val="center"/>
                        </w:pPr>
                        <w:r w:rsidRPr="0072640D">
                          <w:t>Réunion commune/Groupe de travail des normes</w:t>
                        </w:r>
                      </w:p>
                    </w:txbxContent>
                  </v:textbox>
                </v:shape>
                <v:shape id="AutoShape 28" o:spid="_x0000_s1090" type="#_x0000_t109" style="position:absolute;left:12658;top:275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" fillcolor="yellow">
                  <v:path arrowok="t"/>
                  <v:textbox inset="0,1mm,0,1mm">
                    <w:txbxContent>
                      <w:p w14:paraId="3AEDCEAA" w14:textId="77777777" w:rsidR="00EF4064" w:rsidRPr="00886441" w:rsidRDefault="00EF4064" w:rsidP="00F218AE">
                        <w:pPr>
                          <w:jc w:val="center"/>
                        </w:pPr>
                        <w:r>
                          <w:t xml:space="preserve">Organismes </w:t>
                        </w:r>
                        <w:r w:rsidRPr="00B31D1A">
                          <w:t>nationaux de</w:t>
                        </w:r>
                        <w:r>
                          <w:t> </w:t>
                        </w:r>
                        <w:r w:rsidRPr="00B31D1A">
                          <w:t>normalisation</w:t>
                        </w:r>
                      </w:p>
                    </w:txbxContent>
                  </v:textbox>
                </v:shape>
                <v:line id="Line 29" o:spid="_x0000_s1091" style="position:absolute;visibility:visible;mso-wrap-style:square" from="6536,3396" to="6538,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line id="Line 30" o:spid="_x0000_s1092" style="position:absolute;visibility:visible;mso-wrap-style:square" from="7510,5108" to="9382,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shapetype="f"/>
                </v:line>
                <v:shape id="AutoShape 31" o:spid="_x0000_s1093" type="#_x0000_t114" style="position:absolute;left:9295;top:6354;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">
                  <v:path arrowok="t"/>
                  <v:textbox inset="1mm,1mm,1mm,1mm">
                    <w:txbxContent>
                      <w:p w14:paraId="315996CE" w14:textId="77777777" w:rsidR="00EF4064" w:rsidRPr="00FD3DA4" w:rsidRDefault="00EF4064" w:rsidP="00F218AE">
                        <w:pPr>
                          <w:jc w:val="center"/>
                        </w:pPr>
                        <w:r w:rsidRPr="00330344">
                          <w:t>Avis du</w:t>
                        </w:r>
                        <w:r w:rsidRPr="00B17F6F">
                          <w:t xml:space="preserve"> </w:t>
                        </w:r>
                        <w:r w:rsidRPr="00FD3DA4">
                          <w:rPr>
                            <w:u w:val="single"/>
                          </w:rPr>
                          <w:t>Groupe de travail des normes</w:t>
                        </w:r>
                        <w:r w:rsidRPr="00330344">
                          <w:t xml:space="preserve"> sur </w:t>
                        </w:r>
                        <w:r w:rsidRPr="003D5BE4">
                          <w:rPr>
                            <w:u w:val="single"/>
                          </w:rPr>
                          <w:t>la conformité</w:t>
                        </w:r>
                      </w:p>
                    </w:txbxContent>
                  </v:textbox>
                </v:shape>
                <w10:anchorlock/>
              </v:group>
            </w:pict>
          </mc:Fallback>
        </mc:AlternateContent>
      </w:r>
    </w:p>
    <w:p w14:paraId="1D25B3DC" w14:textId="77777777" w:rsidR="00F218AE" w:rsidRPr="007C24E8" w:rsidRDefault="00F218AE" w:rsidP="00B17F6F">
      <w:pPr>
        <w:suppressAutoHyphens w:val="0"/>
        <w:spacing w:after="240" w:line="240" w:lineRule="auto"/>
        <w:jc w:val="center"/>
        <w:rPr>
          <w:b/>
          <w:bCs/>
        </w:rPr>
      </w:pPr>
      <w:r w:rsidRPr="007C24E8">
        <w:br w:type="page"/>
      </w:r>
      <w:bookmarkStart w:id="30" w:name="_Hlk55992692"/>
      <w:r w:rsidRPr="007C24E8">
        <w:rPr>
          <w:noProof/>
          <w:lang w:eastAsia="de-DE"/>
        </w:rPr>
        <mc:AlternateContent>
          <mc:Choice Requires="wps">
            <w:drawing>
              <wp:anchor distT="0" distB="0" distL="114300" distR="114300" simplePos="0" relativeHeight="251657728" behindDoc="0" locked="0" layoutInCell="1" allowOverlap="1" wp14:anchorId="3B9EE954" wp14:editId="5A6A0458">
                <wp:simplePos x="0" y="0"/>
                <wp:positionH relativeFrom="column">
                  <wp:posOffset>9265285</wp:posOffset>
                </wp:positionH>
                <wp:positionV relativeFrom="paragraph">
                  <wp:posOffset>69215</wp:posOffset>
                </wp:positionV>
                <wp:extent cx="343535" cy="5941060"/>
                <wp:effectExtent l="0" t="0" r="0" b="2540"/>
                <wp:wrapNone/>
                <wp:docPr id="10" name="Zone de texte 3"/>
                <wp:cNvGraphicFramePr/>
                <a:graphic xmlns:a="http://schemas.openxmlformats.org/drawingml/2006/main">
                  <a:graphicData uri="http://schemas.microsoft.com/office/word/2010/wordprocessingShape">
                    <wps:wsp>
                      <wps:cNvSpPr txBox="1"/>
                      <wps:spPr>
                        <a:xfrm>
                          <a:off x="0" y="0"/>
                          <a:ext cx="343535" cy="5941060"/>
                        </a:xfrm>
                        <a:prstGeom prst="rect">
                          <a:avLst/>
                        </a:prstGeom>
                        <a:solidFill>
                          <a:schemeClr val="lt1"/>
                        </a:solidFill>
                        <a:ln w="6350">
                          <a:noFill/>
                        </a:ln>
                      </wps:spPr>
                      <wps:txbx>
                        <w:txbxContent>
                          <w:p w14:paraId="435F28AD" w14:textId="77777777" w:rsidR="00EF4064" w:rsidRPr="00B01188" w:rsidRDefault="0007376B" w:rsidP="00F218AE">
                            <w:pPr>
                              <w:pBdr>
                                <w:bottom w:val="single" w:sz="4" w:space="1" w:color="auto"/>
                              </w:pBdr>
                              <w:jc w:val="right"/>
                              <w:rPr>
                                <w:u w:val="single"/>
                              </w:rPr>
                            </w:pPr>
                            <w:r>
                              <w:fldChar w:fldCharType="begin"/>
                            </w:r>
                            <w:r>
                              <w:instrText xml:space="preserve"> TITLE  "ECE/TRANS/WP.15/AC.1/2020/R.2 consolidated"  \* MERGEFORMAT </w:instrText>
                            </w:r>
                            <w:r>
                              <w:fldChar w:fldCharType="separate"/>
                            </w:r>
                            <w:r w:rsidR="00EF4064">
                              <w:t>ECE/TRANS/WP.15/AC.1/</w:t>
                            </w:r>
                            <w:r>
                              <w:fldChar w:fldCharType="end"/>
                            </w:r>
                            <w:r w:rsidR="00EF4064">
                              <w:t>158</w:t>
                            </w:r>
                          </w:p>
                          <w:p w14:paraId="34A851FC" w14:textId="77777777" w:rsidR="00EF4064" w:rsidRPr="00B01188" w:rsidRDefault="00EF4064" w:rsidP="00F218AE">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EE954" id="_x0000_s1094" type="#_x0000_t202" style="position:absolute;left:0;text-align:left;margin-left:729.55pt;margin-top:5.45pt;width:27.05pt;height:4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" fillcolor="white [3201]" stroked="f" strokeweight=".5pt">
                <v:textbox style="layout-flow:vertical-ideographic">
                  <w:txbxContent>
                    <w:p w14:paraId="435F28AD" w14:textId="77777777" w:rsidR="00EF4064" w:rsidRPr="00B01188" w:rsidRDefault="0007376B" w:rsidP="00F218AE">
                      <w:pPr>
                        <w:pBdr>
                          <w:bottom w:val="single" w:sz="4" w:space="1" w:color="auto"/>
                        </w:pBdr>
                        <w:jc w:val="right"/>
                        <w:rPr>
                          <w:u w:val="single"/>
                        </w:rPr>
                      </w:pPr>
                      <w:r>
                        <w:fldChar w:fldCharType="begin"/>
                      </w:r>
                      <w:r>
                        <w:instrText xml:space="preserve"> TITLE  "ECE/TRANS/WP.15/AC.1/2020/R.2 consolidated"  \* MERGEFORMAT </w:instrText>
                      </w:r>
                      <w:r>
                        <w:fldChar w:fldCharType="separate"/>
                      </w:r>
                      <w:r w:rsidR="00EF4064">
                        <w:t>ECE/TRANS/WP.15/AC.1/</w:t>
                      </w:r>
                      <w:r>
                        <w:fldChar w:fldCharType="end"/>
                      </w:r>
                      <w:r w:rsidR="00EF4064">
                        <w:t>158</w:t>
                      </w:r>
                    </w:p>
                    <w:p w14:paraId="34A851FC" w14:textId="77777777" w:rsidR="00EF4064" w:rsidRPr="00B01188" w:rsidRDefault="00EF4064" w:rsidP="00F218AE">
                      <w:pPr>
                        <w:pBdr>
                          <w:left w:val="single" w:sz="4" w:space="1" w:color="auto"/>
                        </w:pBdr>
                        <w:jc w:val="right"/>
                        <w:rPr>
                          <w:u w:val="single"/>
                        </w:rPr>
                      </w:pPr>
                    </w:p>
                  </w:txbxContent>
                </v:textbox>
              </v:shape>
            </w:pict>
          </mc:Fallback>
        </mc:AlternateContent>
      </w:r>
      <w:r w:rsidR="00FB1F62" w:rsidRPr="007C24E8">
        <w:rPr>
          <w:b/>
          <w:bCs/>
          <w:noProof/>
          <w:lang w:val="fr-FR" w:eastAsia="de-DE"/>
        </w:rPr>
        <w:t>Diagramme de décision pour l’adoption de normes européennes à caractère général révisées dans le RID, l’ADR et l’ADN</w:t>
      </w:r>
    </w:p>
    <w:p w14:paraId="4A71C385" w14:textId="77777777" w:rsidR="00F218AE" w:rsidRPr="007C24E8" w:rsidRDefault="00F218AE" w:rsidP="00F218AE">
      <w:pPr>
        <w:jc w:val="center"/>
      </w:pPr>
      <w:r w:rsidRPr="007C24E8">
        <w:rPr>
          <w:noProof/>
          <w:lang w:eastAsia="de-DE"/>
        </w:rPr>
        <mc:AlternateContent>
          <mc:Choice Requires="wpg">
            <w:drawing>
              <wp:inline distT="0" distB="0" distL="0" distR="0" wp14:anchorId="30359317" wp14:editId="12589B25">
                <wp:extent cx="8195310" cy="2208530"/>
                <wp:effectExtent l="0" t="0" r="15240" b="203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310" cy="2208530"/>
                          <a:chOff x="2268" y="2574"/>
                          <a:chExt cx="12906" cy="3478"/>
                        </a:xfrm>
                      </wpg:grpSpPr>
                      <wps:wsp>
                        <wps:cNvPr id="33" name="AutoShape 4"/>
                        <wps:cNvSpPr>
                          <a:spLocks/>
                        </wps:cNvSpPr>
                        <wps:spPr bwMode="auto">
                          <a:xfrm>
                            <a:off x="2346" y="2696"/>
                            <a:ext cx="1598" cy="428"/>
                          </a:xfrm>
                          <a:prstGeom prst="flowChartProcess">
                            <a:avLst/>
                          </a:prstGeom>
                          <a:solidFill>
                            <a:srgbClr val="FFFF00"/>
                          </a:solidFill>
                          <a:ln w="9525">
                            <a:solidFill>
                              <a:srgbClr val="000000"/>
                            </a:solidFill>
                            <a:miter lim="800000"/>
                            <a:headEnd/>
                            <a:tailEnd/>
                          </a:ln>
                        </wps:spPr>
                        <wps:txbx>
                          <w:txbxContent>
                            <w:p w14:paraId="097C7841" w14:textId="77777777" w:rsidR="00EF4064" w:rsidRPr="00FB1F62" w:rsidRDefault="00EF4064" w:rsidP="00F218AE">
                              <w:pPr>
                                <w:jc w:val="center"/>
                                <w:rPr>
                                  <w:sz w:val="18"/>
                                  <w:szCs w:val="18"/>
                                </w:rPr>
                              </w:pPr>
                              <w:r w:rsidRPr="00FB1F62">
                                <w:t>CEN-CENELEC</w:t>
                              </w:r>
                            </w:p>
                          </w:txbxContent>
                        </wps:txbx>
                        <wps:bodyPr rot="0" vert="horz" wrap="square" lIns="36000" tIns="36000" rIns="36000" bIns="36000" anchor="t" anchorCtr="0" upright="1">
                          <a:noAutofit/>
                        </wps:bodyPr>
                      </wps:wsp>
                      <wps:wsp>
                        <wps:cNvPr id="34" name="AutoShape 5"/>
                        <wps:cNvSpPr>
                          <a:spLocks/>
                        </wps:cNvSpPr>
                        <wps:spPr bwMode="auto">
                          <a:xfrm>
                            <a:off x="5310" y="2590"/>
                            <a:ext cx="2638" cy="592"/>
                          </a:xfrm>
                          <a:prstGeom prst="flowChartProcess">
                            <a:avLst/>
                          </a:prstGeom>
                          <a:solidFill>
                            <a:srgbClr val="FFFF00"/>
                          </a:solidFill>
                          <a:ln w="9525">
                            <a:solidFill>
                              <a:srgbClr val="000000"/>
                            </a:solidFill>
                            <a:miter lim="800000"/>
                            <a:headEnd/>
                            <a:tailEnd/>
                          </a:ln>
                        </wps:spPr>
                        <wps:txbx>
                          <w:txbxContent>
                            <w:p w14:paraId="270A609F" w14:textId="77777777" w:rsidR="00EF4064" w:rsidRPr="00644F6A" w:rsidRDefault="00EF4064" w:rsidP="00F218AE">
                              <w:pPr>
                                <w:jc w:val="center"/>
                              </w:pPr>
                              <w:r w:rsidRPr="00E02AE1">
                                <w:t xml:space="preserve">Centre de gestion </w:t>
                              </w:r>
                              <w:r>
                                <w:br/>
                              </w:r>
                              <w:r w:rsidRPr="00E02AE1">
                                <w:t>du CEN-CENELEC</w:t>
                              </w:r>
                            </w:p>
                          </w:txbxContent>
                        </wps:txbx>
                        <wps:bodyPr rot="0" vert="horz" wrap="square" lIns="36000" tIns="36000" rIns="36000" bIns="36000" anchor="t" anchorCtr="0" upright="1">
                          <a:noAutofit/>
                        </wps:bodyPr>
                      </wps:wsp>
                      <wps:wsp>
                        <wps:cNvPr id="35" name="AutoShape 6"/>
                        <wps:cNvSpPr>
                          <a:spLocks/>
                        </wps:cNvSpPr>
                        <wps:spPr bwMode="auto">
                          <a:xfrm>
                            <a:off x="9288" y="2590"/>
                            <a:ext cx="2262" cy="642"/>
                          </a:xfrm>
                          <a:prstGeom prst="flowChartProcess">
                            <a:avLst/>
                          </a:prstGeom>
                          <a:solidFill>
                            <a:srgbClr val="FFFF00"/>
                          </a:solidFill>
                          <a:ln w="9525">
                            <a:solidFill>
                              <a:srgbClr val="000000"/>
                            </a:solidFill>
                            <a:miter lim="800000"/>
                            <a:headEnd/>
                            <a:tailEnd/>
                          </a:ln>
                        </wps:spPr>
                        <wps:txbx>
                          <w:txbxContent>
                            <w:p w14:paraId="5932BE3A" w14:textId="77777777" w:rsidR="00EF4064" w:rsidRPr="00FB1F62" w:rsidRDefault="00EF4064" w:rsidP="00F218AE">
                              <w:pPr>
                                <w:jc w:val="center"/>
                                <w:rPr>
                                  <w:spacing w:val="-2"/>
                                </w:rPr>
                              </w:pPr>
                              <w:r w:rsidRPr="00FB1F62">
                                <w:rPr>
                                  <w:spacing w:val="-2"/>
                                </w:rPr>
                                <w:t>Réunion commune/Groupe de travail des normes</w:t>
                              </w:r>
                            </w:p>
                          </w:txbxContent>
                        </wps:txbx>
                        <wps:bodyPr rot="0" vert="horz" wrap="square" lIns="36000" tIns="36000" rIns="36000" bIns="36000" anchor="t" anchorCtr="0" upright="1">
                          <a:noAutofit/>
                        </wps:bodyPr>
                      </wps:wsp>
                      <wps:wsp>
                        <wps:cNvPr id="89" name="AutoShape 7"/>
                        <wps:cNvSpPr>
                          <a:spLocks/>
                        </wps:cNvSpPr>
                        <wps:spPr bwMode="auto">
                          <a:xfrm>
                            <a:off x="12682" y="2574"/>
                            <a:ext cx="2492" cy="674"/>
                          </a:xfrm>
                          <a:prstGeom prst="flowChartProcess">
                            <a:avLst/>
                          </a:prstGeom>
                          <a:solidFill>
                            <a:srgbClr val="FFFF00"/>
                          </a:solidFill>
                          <a:ln w="9525">
                            <a:solidFill>
                              <a:srgbClr val="000000"/>
                            </a:solidFill>
                            <a:miter lim="800000"/>
                            <a:headEnd/>
                            <a:tailEnd/>
                          </a:ln>
                        </wps:spPr>
                        <wps:txbx>
                          <w:txbxContent>
                            <w:p w14:paraId="69704037" w14:textId="77777777" w:rsidR="00EF4064" w:rsidRPr="00644F6A" w:rsidRDefault="00EF4064" w:rsidP="00F218AE">
                              <w:pPr>
                                <w:jc w:val="center"/>
                              </w:pPr>
                              <w:r w:rsidRPr="00E02AE1">
                                <w:t xml:space="preserve">Organismes nationaux </w:t>
                              </w:r>
                              <w:r>
                                <w:br/>
                              </w:r>
                              <w:r w:rsidRPr="00E02AE1">
                                <w:t>de normalisation</w:t>
                              </w:r>
                            </w:p>
                          </w:txbxContent>
                        </wps:txbx>
                        <wps:bodyPr rot="0" vert="horz" wrap="square" lIns="0" tIns="36000" rIns="0" bIns="36000" anchor="t" anchorCtr="0" upright="1">
                          <a:noAutofit/>
                        </wps:bodyPr>
                      </wps:wsp>
                      <wps:wsp>
                        <wps:cNvPr id="90" name="Line 8"/>
                        <wps:cNvCnPr>
                          <a:cxnSpLocks/>
                          <a:stCxn id="94" idx="2"/>
                          <a:endCxn id="95" idx="1"/>
                        </wps:cNvCnPr>
                        <wps:spPr bwMode="auto">
                          <a:xfrm rot="16200000" flipH="1">
                            <a:off x="7583" y="3812"/>
                            <a:ext cx="749" cy="2660"/>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1" name="Group 91"/>
                        <wpg:cNvGrpSpPr>
                          <a:grpSpLocks/>
                        </wpg:cNvGrpSpPr>
                        <wpg:grpSpPr bwMode="auto">
                          <a:xfrm>
                            <a:off x="2268" y="3270"/>
                            <a:ext cx="9046" cy="2782"/>
                            <a:chOff x="3474" y="6409"/>
                            <a:chExt cx="4523" cy="1391"/>
                          </a:xfrm>
                        </wpg:grpSpPr>
                        <wps:wsp>
                          <wps:cNvPr id="92" name="Text Box 92"/>
                          <wps:cNvSpPr txBox="1">
                            <a:spLocks/>
                          </wps:cNvSpPr>
                          <wps:spPr bwMode="auto">
                            <a:xfrm>
                              <a:off x="3474" y="6462"/>
                              <a:ext cx="867" cy="749"/>
                            </a:xfrm>
                            <a:prstGeom prst="rect">
                              <a:avLst/>
                            </a:prstGeom>
                            <a:solidFill>
                              <a:srgbClr val="FFFFFF"/>
                            </a:solidFill>
                            <a:ln w="9525">
                              <a:solidFill>
                                <a:srgbClr val="000000"/>
                              </a:solidFill>
                              <a:miter lim="800000"/>
                              <a:headEnd/>
                              <a:tailEnd/>
                            </a:ln>
                          </wps:spPr>
                          <wps:txbx>
                            <w:txbxContent>
                              <w:p w14:paraId="7DAFED4A" w14:textId="77777777" w:rsidR="00EF4064" w:rsidRPr="00644F6A" w:rsidRDefault="00EF4064" w:rsidP="00F218AE">
                                <w:pPr>
                                  <w:jc w:val="center"/>
                                </w:pPr>
                                <w:r w:rsidRPr="00FB1F62">
                                  <w:t>Examen systématique</w:t>
                                </w:r>
                                <w:r w:rsidR="00B17F6F">
                                  <w:t xml:space="preserve"> </w:t>
                                </w:r>
                                <w:r w:rsidRPr="00FB1F62">
                                  <w:t>des</w:t>
                                </w:r>
                                <w:r w:rsidR="00B17F6F">
                                  <w:t> </w:t>
                                </w:r>
                                <w:r w:rsidRPr="00FB1F62">
                                  <w:t>renvois</w:t>
                                </w:r>
                                <w:r w:rsidR="00B17F6F">
                                  <w:t xml:space="preserve"> </w:t>
                                </w:r>
                                <w:r w:rsidRPr="00FB1F62">
                                  <w:t>aux</w:t>
                                </w:r>
                                <w:r w:rsidR="00B17F6F">
                                  <w:t> </w:t>
                                </w:r>
                                <w:r w:rsidRPr="00FB1F62">
                                  <w:t>normes européennes</w:t>
                                </w:r>
                              </w:p>
                            </w:txbxContent>
                          </wps:txbx>
                          <wps:bodyPr rot="0" vert="horz" wrap="square" lIns="36000" tIns="36000" rIns="36000" bIns="36000" anchor="t" anchorCtr="0" upright="1">
                            <a:noAutofit/>
                          </wps:bodyPr>
                        </wps:wsp>
                        <wps:wsp>
                          <wps:cNvPr id="93" name="Text Box 93"/>
                          <wps:cNvSpPr txBox="1">
                            <a:spLocks/>
                          </wps:cNvSpPr>
                          <wps:spPr bwMode="auto">
                            <a:xfrm>
                              <a:off x="7111" y="6462"/>
                              <a:ext cx="878" cy="427"/>
                            </a:xfrm>
                            <a:prstGeom prst="rect">
                              <a:avLst/>
                            </a:prstGeom>
                            <a:solidFill>
                              <a:srgbClr val="FFFFFF"/>
                            </a:solidFill>
                            <a:ln w="9525">
                              <a:solidFill>
                                <a:srgbClr val="000000"/>
                              </a:solidFill>
                              <a:miter lim="800000"/>
                              <a:headEnd/>
                              <a:tailEnd/>
                            </a:ln>
                          </wps:spPr>
                          <wps:txbx>
                            <w:txbxContent>
                              <w:p w14:paraId="6C3A57CE" w14:textId="77777777" w:rsidR="00EF4064" w:rsidRPr="00644F6A" w:rsidRDefault="00EF4064" w:rsidP="00F218AE">
                                <w:pPr>
                                  <w:jc w:val="center"/>
                                </w:pPr>
                                <w:r w:rsidRPr="00E02AE1">
                                  <w:t xml:space="preserve">Pour info </w:t>
                                </w:r>
                                <w:r>
                                  <w:br/>
                                </w:r>
                                <w:r w:rsidRPr="00E02AE1">
                                  <w:t>des délégations</w:t>
                                </w:r>
                              </w:p>
                            </w:txbxContent>
                          </wps:txbx>
                          <wps:bodyPr rot="0" vert="horz" wrap="square" lIns="36000" tIns="36000" rIns="36000" bIns="36000" anchor="ctr" anchorCtr="0" upright="1">
                            <a:noAutofit/>
                          </wps:bodyPr>
                        </wps:wsp>
                        <wps:wsp>
                          <wps:cNvPr id="94" name="AutoShape 12"/>
                          <wps:cNvSpPr>
                            <a:spLocks/>
                          </wps:cNvSpPr>
                          <wps:spPr bwMode="auto">
                            <a:xfrm>
                              <a:off x="5147" y="6409"/>
                              <a:ext cx="1014" cy="802"/>
                            </a:xfrm>
                            <a:prstGeom prst="flowChartDocument">
                              <a:avLst/>
                            </a:prstGeom>
                            <a:solidFill>
                              <a:srgbClr val="FFFFFF"/>
                            </a:solidFill>
                            <a:ln w="9525">
                              <a:solidFill>
                                <a:srgbClr val="000000"/>
                              </a:solidFill>
                              <a:miter lim="800000"/>
                              <a:headEnd/>
                              <a:tailEnd/>
                            </a:ln>
                          </wps:spPr>
                          <wps:txbx>
                            <w:txbxContent>
                              <w:p w14:paraId="712D4E72" w14:textId="77777777" w:rsidR="00EF4064" w:rsidRPr="00644F6A" w:rsidRDefault="00EF4064" w:rsidP="00F218AE">
                                <w:pPr>
                                  <w:jc w:val="center"/>
                                </w:pPr>
                                <w:r w:rsidRPr="00E02AE1">
                                  <w:rPr>
                                    <w:rFonts w:eastAsia="DengXian"/>
                                    <w:lang w:eastAsia="zh-CN"/>
                                  </w:rPr>
                                  <w:t>Infos sur révision</w:t>
                                </w:r>
                                <w:r w:rsidR="00B17F6F">
                                  <w:rPr>
                                    <w:rFonts w:eastAsia="DengXian"/>
                                    <w:lang w:eastAsia="zh-CN"/>
                                  </w:rPr>
                                  <w:t xml:space="preserve"> </w:t>
                                </w:r>
                                <w:r w:rsidRPr="00E02AE1">
                                  <w:rPr>
                                    <w:rFonts w:eastAsia="DengXian"/>
                                    <w:lang w:eastAsia="zh-CN"/>
                                  </w:rPr>
                                  <w:t>de</w:t>
                                </w:r>
                                <w:r w:rsidR="00B17F6F">
                                  <w:rPr>
                                    <w:rFonts w:eastAsia="DengXian"/>
                                    <w:lang w:eastAsia="zh-CN"/>
                                  </w:rPr>
                                  <w:t> </w:t>
                                </w:r>
                                <w:r w:rsidRPr="00E02AE1">
                                  <w:rPr>
                                    <w:rFonts w:eastAsia="DengXian"/>
                                    <w:lang w:eastAsia="zh-CN"/>
                                  </w:rPr>
                                  <w:t>normes à caractère général + affichage</w:t>
                                </w:r>
                                <w:r w:rsidR="00B17F6F">
                                  <w:rPr>
                                    <w:rFonts w:eastAsia="DengXian"/>
                                    <w:lang w:eastAsia="zh-CN"/>
                                  </w:rPr>
                                  <w:t xml:space="preserve"> </w:t>
                                </w:r>
                                <w:r w:rsidRPr="00E02AE1">
                                  <w:rPr>
                                    <w:rFonts w:eastAsia="DengXian"/>
                                    <w:lang w:eastAsia="zh-CN"/>
                                  </w:rPr>
                                  <w:t>de</w:t>
                                </w:r>
                                <w:r w:rsidR="00B17F6F">
                                  <w:rPr>
                                    <w:rFonts w:eastAsia="DengXian"/>
                                    <w:lang w:eastAsia="zh-CN"/>
                                  </w:rPr>
                                  <w:t> </w:t>
                                </w:r>
                                <w:r w:rsidRPr="00E02AE1">
                                  <w:rPr>
                                    <w:rFonts w:eastAsia="DengXian"/>
                                    <w:lang w:eastAsia="zh-CN"/>
                                  </w:rPr>
                                  <w:t>proposition sur</w:t>
                                </w:r>
                                <w:r w:rsidR="00B17F6F">
                                  <w:rPr>
                                    <w:rFonts w:eastAsia="DengXian"/>
                                    <w:lang w:eastAsia="zh-CN"/>
                                  </w:rPr>
                                  <w:t xml:space="preserve"> </w:t>
                                </w:r>
                                <w:r w:rsidRPr="00E02AE1">
                                  <w:rPr>
                                    <w:rFonts w:eastAsia="DengXian"/>
                                    <w:lang w:eastAsia="zh-CN"/>
                                  </w:rPr>
                                  <w:t>site</w:t>
                                </w:r>
                                <w:r w:rsidR="00B17F6F">
                                  <w:rPr>
                                    <w:rFonts w:eastAsia="DengXian"/>
                                    <w:lang w:eastAsia="zh-CN"/>
                                  </w:rPr>
                                  <w:t> </w:t>
                                </w:r>
                                <w:r w:rsidRPr="00E02AE1">
                                  <w:rPr>
                                    <w:rFonts w:eastAsia="DengXian"/>
                                    <w:lang w:eastAsia="zh-CN"/>
                                  </w:rPr>
                                  <w:t>Web protégé</w:t>
                                </w:r>
                              </w:p>
                            </w:txbxContent>
                          </wps:txbx>
                          <wps:bodyPr rot="0" vert="horz" wrap="square" lIns="54000" tIns="10800" rIns="54000" bIns="10800" anchor="t" anchorCtr="0" upright="1">
                            <a:noAutofit/>
                          </wps:bodyPr>
                        </wps:wsp>
                        <wps:wsp>
                          <wps:cNvPr id="95" name="AutoShape 13"/>
                          <wps:cNvSpPr>
                            <a:spLocks/>
                          </wps:cNvSpPr>
                          <wps:spPr bwMode="auto">
                            <a:xfrm>
                              <a:off x="6984" y="7265"/>
                              <a:ext cx="1013" cy="535"/>
                            </a:xfrm>
                            <a:prstGeom prst="flowChartDocument">
                              <a:avLst/>
                            </a:prstGeom>
                            <a:solidFill>
                              <a:srgbClr val="FFFFFF"/>
                            </a:solidFill>
                            <a:ln w="9525">
                              <a:solidFill>
                                <a:srgbClr val="000000"/>
                              </a:solidFill>
                              <a:miter lim="800000"/>
                              <a:headEnd/>
                              <a:tailEnd/>
                            </a:ln>
                          </wps:spPr>
                          <wps:txbx>
                            <w:txbxContent>
                              <w:p w14:paraId="6A5EA07D" w14:textId="77777777" w:rsidR="00EF4064" w:rsidRPr="00644F6A" w:rsidRDefault="00EF4064" w:rsidP="00F218AE">
                                <w:pPr>
                                  <w:jc w:val="center"/>
                                </w:pPr>
                                <w:r w:rsidRPr="00E02AE1">
                                  <w:t>Avis du Groupe de</w:t>
                                </w:r>
                                <w:r w:rsidR="00B17F6F">
                                  <w:t> </w:t>
                                </w:r>
                                <w:r w:rsidRPr="00E02AE1">
                                  <w:t>travail des normes sur la conformité</w:t>
                                </w:r>
                              </w:p>
                            </w:txbxContent>
                          </wps:txbx>
                          <wps:bodyPr rot="0" vert="horz" wrap="square" lIns="36000" tIns="36000" rIns="36000" bIns="36000" anchor="t" anchorCtr="0" upright="1">
                            <a:noAutofit/>
                          </wps:bodyPr>
                        </wps:wsp>
                        <wps:wsp>
                          <wps:cNvPr id="96" name="Line 14"/>
                          <wps:cNvCnPr>
                            <a:cxnSpLocks/>
                          </wps:cNvCnPr>
                          <wps:spPr bwMode="auto">
                            <a:xfrm>
                              <a:off x="4352" y="6783"/>
                              <a:ext cx="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5"/>
                          <wps:cNvCnPr>
                            <a:cxnSpLocks/>
                          </wps:cNvCnPr>
                          <wps:spPr bwMode="auto">
                            <a:xfrm>
                              <a:off x="6185" y="6783"/>
                              <a:ext cx="91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6"/>
                          <wps:cNvCnPr>
                            <a:cxnSpLocks/>
                          </wps:cNvCnPr>
                          <wps:spPr bwMode="auto">
                            <a:xfrm rot="16200000" flipV="1">
                              <a:off x="7302" y="7077"/>
                              <a:ext cx="37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0359317" id="Group 18" o:spid="_x0000_s1095" style="width:645.3pt;height:173.9pt;mso-position-horizontal-relative:char;mso-position-vertical-relative:line" coordorigin="2268,2574" coordsize="1290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">
                <v:shape id="AutoShape 4" o:spid="_x0000_s1096" type="#_x0000_t109" style="position:absolute;left:2346;top:2696;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" fillcolor="yellow">
                  <v:path arrowok="t"/>
                  <v:textbox inset="1mm,1mm,1mm,1mm">
                    <w:txbxContent>
                      <w:p w14:paraId="097C7841" w14:textId="77777777" w:rsidR="00EF4064" w:rsidRPr="00FB1F62" w:rsidRDefault="00EF4064" w:rsidP="00F218AE">
                        <w:pPr>
                          <w:jc w:val="center"/>
                          <w:rPr>
                            <w:sz w:val="18"/>
                            <w:szCs w:val="18"/>
                          </w:rPr>
                        </w:pPr>
                        <w:r w:rsidRPr="00FB1F62">
                          <w:t>CEN-CENELEC</w:t>
                        </w:r>
                      </w:p>
                    </w:txbxContent>
                  </v:textbox>
                </v:shape>
                <v:shape id="AutoShape 5" o:spid="_x0000_s1097" type="#_x0000_t109" style="position:absolute;left:5310;top:2590;width:263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" fillcolor="yellow">
                  <v:path arrowok="t"/>
                  <v:textbox inset="1mm,1mm,1mm,1mm">
                    <w:txbxContent>
                      <w:p w14:paraId="270A609F" w14:textId="77777777" w:rsidR="00EF4064" w:rsidRPr="00644F6A" w:rsidRDefault="00EF4064" w:rsidP="00F218AE">
                        <w:pPr>
                          <w:jc w:val="center"/>
                        </w:pPr>
                        <w:r w:rsidRPr="00E02AE1">
                          <w:t xml:space="preserve">Centre de gestion </w:t>
                        </w:r>
                        <w:r>
                          <w:br/>
                        </w:r>
                        <w:r w:rsidRPr="00E02AE1">
                          <w:t>du CEN-CENELEC</w:t>
                        </w:r>
                      </w:p>
                    </w:txbxContent>
                  </v:textbox>
                </v:shape>
                <v:shape id="AutoShape 6" o:spid="_x0000_s1098" type="#_x0000_t109" style="position:absolute;left:9288;top:2590;width:226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" fillcolor="yellow">
                  <v:path arrowok="t"/>
                  <v:textbox inset="1mm,1mm,1mm,1mm">
                    <w:txbxContent>
                      <w:p w14:paraId="5932BE3A" w14:textId="77777777" w:rsidR="00EF4064" w:rsidRPr="00FB1F62" w:rsidRDefault="00EF4064" w:rsidP="00F218AE">
                        <w:pPr>
                          <w:jc w:val="center"/>
                          <w:rPr>
                            <w:spacing w:val="-2"/>
                          </w:rPr>
                        </w:pPr>
                        <w:r w:rsidRPr="00FB1F62">
                          <w:rPr>
                            <w:spacing w:val="-2"/>
                          </w:rPr>
                          <w:t>Réunion commune/Groupe de travail des normes</w:t>
                        </w:r>
                      </w:p>
                    </w:txbxContent>
                  </v:textbox>
                </v:shape>
                <v:shape id="AutoShape 7" o:spid="_x0000_s1099" type="#_x0000_t109" style="position:absolute;left:12682;top:257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" fillcolor="yellow">
                  <v:path arrowok="t"/>
                  <v:textbox inset="0,1mm,0,1mm">
                    <w:txbxContent>
                      <w:p w14:paraId="69704037" w14:textId="77777777" w:rsidR="00EF4064" w:rsidRPr="00644F6A" w:rsidRDefault="00EF4064" w:rsidP="00F218AE">
                        <w:pPr>
                          <w:jc w:val="center"/>
                        </w:pPr>
                        <w:r w:rsidRPr="00E02AE1">
                          <w:t xml:space="preserve">Organismes nationaux </w:t>
                        </w:r>
                        <w:r>
                          <w:br/>
                        </w:r>
                        <w:r w:rsidRPr="00E02AE1">
                          <w:t>de normalisation</w:t>
                        </w:r>
                      </w:p>
                    </w:txbxContent>
                  </v:textbox>
                </v:shape>
                <v:shape id="Line 8" o:spid="_x0000_s1100" type="#_x0000_t33" style="position:absolute;left:7583;top:3812;width:749;height:26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">
                  <v:stroke endarrow="block" joinstyle="round"/>
                  <o:lock v:ext="edit" shapetype="f"/>
                </v:shape>
                <v:group id="Group 91" o:spid="_x0000_s1101" style="position:absolute;left:2268;top:3270;width:9046;height:2782" coordorigin="3474,6409" coordsize="452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92" o:spid="_x0000_s1102" type="#_x0000_t202" style="position:absolute;left:3474;top:6462;width:86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">
                    <v:path arrowok="t"/>
                    <v:textbox inset="1mm,1mm,1mm,1mm">
                      <w:txbxContent>
                        <w:p w14:paraId="7DAFED4A" w14:textId="77777777" w:rsidR="00EF4064" w:rsidRPr="00644F6A" w:rsidRDefault="00EF4064" w:rsidP="00F218AE">
                          <w:pPr>
                            <w:jc w:val="center"/>
                          </w:pPr>
                          <w:r w:rsidRPr="00FB1F62">
                            <w:t>Examen systématique</w:t>
                          </w:r>
                          <w:r w:rsidR="00B17F6F">
                            <w:t xml:space="preserve"> </w:t>
                          </w:r>
                          <w:r w:rsidRPr="00FB1F62">
                            <w:t>des</w:t>
                          </w:r>
                          <w:r w:rsidR="00B17F6F">
                            <w:t> </w:t>
                          </w:r>
                          <w:r w:rsidRPr="00FB1F62">
                            <w:t>renvois</w:t>
                          </w:r>
                          <w:r w:rsidR="00B17F6F">
                            <w:t xml:space="preserve"> </w:t>
                          </w:r>
                          <w:r w:rsidRPr="00FB1F62">
                            <w:t>aux</w:t>
                          </w:r>
                          <w:r w:rsidR="00B17F6F">
                            <w:t> </w:t>
                          </w:r>
                          <w:r w:rsidRPr="00FB1F62">
                            <w:t>normes européennes</w:t>
                          </w:r>
                        </w:p>
                      </w:txbxContent>
                    </v:textbox>
                  </v:shape>
                  <v:shape id="Text Box 93" o:spid="_x0000_s1103" type="#_x0000_t202" style="position:absolute;left:7111;top:6462;width:878;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">
                    <v:path arrowok="t"/>
                    <v:textbox inset="1mm,1mm,1mm,1mm">
                      <w:txbxContent>
                        <w:p w14:paraId="6C3A57CE" w14:textId="77777777" w:rsidR="00EF4064" w:rsidRPr="00644F6A" w:rsidRDefault="00EF4064" w:rsidP="00F218AE">
                          <w:pPr>
                            <w:jc w:val="center"/>
                          </w:pPr>
                          <w:r w:rsidRPr="00E02AE1">
                            <w:t xml:space="preserve">Pour info </w:t>
                          </w:r>
                          <w:r>
                            <w:br/>
                          </w:r>
                          <w:r w:rsidRPr="00E02AE1">
                            <w:t>des délégations</w:t>
                          </w:r>
                        </w:p>
                      </w:txbxContent>
                    </v:textbox>
                  </v:shape>
                  <v:shape id="AutoShape 12" o:spid="_x0000_s1104" type="#_x0000_t114" style="position:absolute;left:5147;top:6409;width:101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">
                    <v:path arrowok="t"/>
                    <v:textbox inset="1.5mm,.3mm,1.5mm,.3mm">
                      <w:txbxContent>
                        <w:p w14:paraId="712D4E72" w14:textId="77777777" w:rsidR="00EF4064" w:rsidRPr="00644F6A" w:rsidRDefault="00EF4064" w:rsidP="00F218AE">
                          <w:pPr>
                            <w:jc w:val="center"/>
                          </w:pPr>
                          <w:r w:rsidRPr="00E02AE1">
                            <w:rPr>
                              <w:rFonts w:eastAsia="DengXian"/>
                              <w:lang w:eastAsia="zh-CN"/>
                            </w:rPr>
                            <w:t>Infos sur révision</w:t>
                          </w:r>
                          <w:r w:rsidR="00B17F6F">
                            <w:rPr>
                              <w:rFonts w:eastAsia="DengXian"/>
                              <w:lang w:eastAsia="zh-CN"/>
                            </w:rPr>
                            <w:t xml:space="preserve"> </w:t>
                          </w:r>
                          <w:r w:rsidRPr="00E02AE1">
                            <w:rPr>
                              <w:rFonts w:eastAsia="DengXian"/>
                              <w:lang w:eastAsia="zh-CN"/>
                            </w:rPr>
                            <w:t>de</w:t>
                          </w:r>
                          <w:r w:rsidR="00B17F6F">
                            <w:rPr>
                              <w:rFonts w:eastAsia="DengXian"/>
                              <w:lang w:eastAsia="zh-CN"/>
                            </w:rPr>
                            <w:t> </w:t>
                          </w:r>
                          <w:r w:rsidRPr="00E02AE1">
                            <w:rPr>
                              <w:rFonts w:eastAsia="DengXian"/>
                              <w:lang w:eastAsia="zh-CN"/>
                            </w:rPr>
                            <w:t>normes à caractère général + affichage</w:t>
                          </w:r>
                          <w:r w:rsidR="00B17F6F">
                            <w:rPr>
                              <w:rFonts w:eastAsia="DengXian"/>
                              <w:lang w:eastAsia="zh-CN"/>
                            </w:rPr>
                            <w:t xml:space="preserve"> </w:t>
                          </w:r>
                          <w:r w:rsidRPr="00E02AE1">
                            <w:rPr>
                              <w:rFonts w:eastAsia="DengXian"/>
                              <w:lang w:eastAsia="zh-CN"/>
                            </w:rPr>
                            <w:t>de</w:t>
                          </w:r>
                          <w:r w:rsidR="00B17F6F">
                            <w:rPr>
                              <w:rFonts w:eastAsia="DengXian"/>
                              <w:lang w:eastAsia="zh-CN"/>
                            </w:rPr>
                            <w:t> </w:t>
                          </w:r>
                          <w:r w:rsidRPr="00E02AE1">
                            <w:rPr>
                              <w:rFonts w:eastAsia="DengXian"/>
                              <w:lang w:eastAsia="zh-CN"/>
                            </w:rPr>
                            <w:t>proposition sur</w:t>
                          </w:r>
                          <w:r w:rsidR="00B17F6F">
                            <w:rPr>
                              <w:rFonts w:eastAsia="DengXian"/>
                              <w:lang w:eastAsia="zh-CN"/>
                            </w:rPr>
                            <w:t xml:space="preserve"> </w:t>
                          </w:r>
                          <w:r w:rsidRPr="00E02AE1">
                            <w:rPr>
                              <w:rFonts w:eastAsia="DengXian"/>
                              <w:lang w:eastAsia="zh-CN"/>
                            </w:rPr>
                            <w:t>site</w:t>
                          </w:r>
                          <w:r w:rsidR="00B17F6F">
                            <w:rPr>
                              <w:rFonts w:eastAsia="DengXian"/>
                              <w:lang w:eastAsia="zh-CN"/>
                            </w:rPr>
                            <w:t> </w:t>
                          </w:r>
                          <w:r w:rsidRPr="00E02AE1">
                            <w:rPr>
                              <w:rFonts w:eastAsia="DengXian"/>
                              <w:lang w:eastAsia="zh-CN"/>
                            </w:rPr>
                            <w:t>Web protégé</w:t>
                          </w:r>
                        </w:p>
                      </w:txbxContent>
                    </v:textbox>
                  </v:shape>
                  <v:shape id="AutoShape 13" o:spid="_x0000_s1105" type="#_x0000_t114" style="position:absolute;left:6984;top:7265;width:1013;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">
                    <v:path arrowok="t"/>
                    <v:textbox inset="1mm,1mm,1mm,1mm">
                      <w:txbxContent>
                        <w:p w14:paraId="6A5EA07D" w14:textId="77777777" w:rsidR="00EF4064" w:rsidRPr="00644F6A" w:rsidRDefault="00EF4064" w:rsidP="00F218AE">
                          <w:pPr>
                            <w:jc w:val="center"/>
                          </w:pPr>
                          <w:r w:rsidRPr="00E02AE1">
                            <w:t>Avis du Groupe de</w:t>
                          </w:r>
                          <w:r w:rsidR="00B17F6F">
                            <w:t> </w:t>
                          </w:r>
                          <w:r w:rsidRPr="00E02AE1">
                            <w:t>travail des normes sur la conformité</w:t>
                          </w:r>
                        </w:p>
                      </w:txbxContent>
                    </v:textbox>
                  </v:shape>
                  <v:line id="Line 14" o:spid="_x0000_s1106" style="position:absolute;visibility:visible;mso-wrap-style:square" from="4352,6783" to="515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o:lock v:ext="edit" shapetype="f"/>
                  </v:line>
                  <v:line id="Line 15" o:spid="_x0000_s1107" style="position:absolute;visibility:visible;mso-wrap-style:square" from="6185,6783" to="71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o:lock v:ext="edit" shapetype="f"/>
                  </v:line>
                  <v:shape id="AutoShape 16" o:spid="_x0000_s1108" type="#_x0000_t34" style="position:absolute;left:7302;top:7077;width:376;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">
                    <v:stroke endarrow="block"/>
                    <o:lock v:ext="edit" shapetype="f"/>
                  </v:shape>
                </v:group>
                <w10:anchorlock/>
              </v:group>
            </w:pict>
          </mc:Fallback>
        </mc:AlternateContent>
      </w:r>
    </w:p>
    <w:bookmarkEnd w:id="30"/>
    <w:p w14:paraId="0966972E" w14:textId="77777777" w:rsidR="00F218AE" w:rsidRPr="00CA33B2" w:rsidRDefault="00F218AE" w:rsidP="00771B38">
      <w:pPr>
        <w:pStyle w:val="SingleTxtG"/>
        <w:spacing w:before="240"/>
        <w:rPr>
          <w:i/>
          <w:iCs/>
        </w:rPr>
      </w:pPr>
      <w:r w:rsidRPr="007C24E8">
        <w:rPr>
          <w:i/>
          <w:iCs/>
        </w:rPr>
        <w:t>(Document de référence</w:t>
      </w:r>
      <w:r w:rsidR="004E3C2D" w:rsidRPr="007C24E8">
        <w:rPr>
          <w:i/>
          <w:iCs/>
        </w:rPr>
        <w:t> :</w:t>
      </w:r>
      <w:r w:rsidRPr="007C24E8">
        <w:rPr>
          <w:i/>
          <w:iCs/>
        </w:rPr>
        <w:t xml:space="preserve"> document </w:t>
      </w:r>
      <w:bookmarkStart w:id="31" w:name="_Hlk51740311"/>
      <w:r w:rsidRPr="007C24E8">
        <w:rPr>
          <w:i/>
          <w:iCs/>
        </w:rPr>
        <w:t>ECE/TRANS/WP.15/AC.1/2020/52</w:t>
      </w:r>
      <w:bookmarkEnd w:id="31"/>
      <w:r w:rsidRPr="007C24E8">
        <w:rPr>
          <w:i/>
          <w:iCs/>
        </w:rPr>
        <w:t>, tel que modifié)</w:t>
      </w:r>
    </w:p>
    <w:p w14:paraId="3FC27104" w14:textId="77777777" w:rsidR="005E3367" w:rsidRPr="00CA33B2" w:rsidRDefault="00771B38" w:rsidP="00771B38">
      <w:pPr>
        <w:pStyle w:val="SingleTxtG"/>
        <w:spacing w:before="240" w:after="0"/>
        <w:jc w:val="center"/>
        <w:rPr>
          <w:u w:val="single"/>
        </w:rPr>
      </w:pPr>
      <w:r w:rsidRPr="00CA33B2">
        <w:rPr>
          <w:u w:val="single"/>
        </w:rPr>
        <w:tab/>
      </w:r>
      <w:r w:rsidRPr="00CA33B2">
        <w:rPr>
          <w:u w:val="single"/>
        </w:rPr>
        <w:tab/>
      </w:r>
      <w:r w:rsidRPr="00CA33B2">
        <w:rPr>
          <w:u w:val="single"/>
        </w:rPr>
        <w:tab/>
      </w:r>
    </w:p>
    <w:sectPr w:rsidR="005E3367" w:rsidRPr="00CA33B2" w:rsidSect="00F218AE">
      <w:headerReference w:type="even" r:id="rId32"/>
      <w:headerReference w:type="default" r:id="rId33"/>
      <w:footerReference w:type="even" r:id="rId34"/>
      <w:footerReference w:type="default" r:id="rId35"/>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81C5" w14:textId="77777777" w:rsidR="00EF4064" w:rsidRDefault="00EF4064" w:rsidP="00F95C08">
      <w:pPr>
        <w:spacing w:line="240" w:lineRule="auto"/>
      </w:pPr>
    </w:p>
  </w:endnote>
  <w:endnote w:type="continuationSeparator" w:id="0">
    <w:p w14:paraId="116AA560" w14:textId="77777777" w:rsidR="00EF4064" w:rsidRPr="00AC3823" w:rsidRDefault="00EF4064" w:rsidP="00AC3823">
      <w:pPr>
        <w:pStyle w:val="Footer"/>
      </w:pPr>
    </w:p>
  </w:endnote>
  <w:endnote w:type="continuationNotice" w:id="1">
    <w:p w14:paraId="7F5CBB5C" w14:textId="77777777" w:rsidR="00EF4064" w:rsidRDefault="00EF4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1B52" w14:textId="77777777" w:rsidR="00EF4064" w:rsidRPr="005E3367" w:rsidRDefault="00EF4064" w:rsidP="005E3367">
    <w:pPr>
      <w:pStyle w:val="Footer"/>
      <w:tabs>
        <w:tab w:val="right" w:pos="9638"/>
      </w:tabs>
    </w:pPr>
    <w:r w:rsidRPr="005E3367">
      <w:rPr>
        <w:b/>
        <w:sz w:val="18"/>
      </w:rPr>
      <w:fldChar w:fldCharType="begin"/>
    </w:r>
    <w:r w:rsidRPr="005E3367">
      <w:rPr>
        <w:b/>
        <w:sz w:val="18"/>
      </w:rPr>
      <w:instrText xml:space="preserve"> PAGE  \* MERGEFORMAT </w:instrText>
    </w:r>
    <w:r w:rsidRPr="005E3367">
      <w:rPr>
        <w:b/>
        <w:sz w:val="18"/>
      </w:rPr>
      <w:fldChar w:fldCharType="separate"/>
    </w:r>
    <w:r w:rsidRPr="005E3367">
      <w:rPr>
        <w:b/>
        <w:noProof/>
        <w:sz w:val="18"/>
      </w:rPr>
      <w:t>2</w:t>
    </w:r>
    <w:r w:rsidRPr="005E3367">
      <w:rPr>
        <w:b/>
        <w:sz w:val="18"/>
      </w:rPr>
      <w:fldChar w:fldCharType="end"/>
    </w:r>
    <w:r>
      <w:rPr>
        <w:b/>
        <w:sz w:val="18"/>
      </w:rPr>
      <w:tab/>
    </w:r>
    <w:r>
      <w:t>GE.20-13421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865C" w14:textId="77777777" w:rsidR="00EF4064" w:rsidRPr="005E3367" w:rsidRDefault="00EF4064" w:rsidP="005E3367">
    <w:pPr>
      <w:pStyle w:val="Footer"/>
      <w:tabs>
        <w:tab w:val="right" w:pos="9638"/>
      </w:tabs>
      <w:rPr>
        <w:b/>
        <w:sz w:val="18"/>
      </w:rPr>
    </w:pPr>
    <w:r>
      <w:t>GE.20-13421</w:t>
    </w:r>
    <w:r>
      <w:tab/>
    </w:r>
    <w:r w:rsidRPr="005E3367">
      <w:rPr>
        <w:b/>
        <w:sz w:val="18"/>
      </w:rPr>
      <w:fldChar w:fldCharType="begin"/>
    </w:r>
    <w:r w:rsidRPr="005E3367">
      <w:rPr>
        <w:b/>
        <w:sz w:val="18"/>
      </w:rPr>
      <w:instrText xml:space="preserve"> PAGE  \* MERGEFORMAT </w:instrText>
    </w:r>
    <w:r w:rsidRPr="005E3367">
      <w:rPr>
        <w:b/>
        <w:sz w:val="18"/>
      </w:rPr>
      <w:fldChar w:fldCharType="separate"/>
    </w:r>
    <w:r w:rsidRPr="005E3367">
      <w:rPr>
        <w:b/>
        <w:noProof/>
        <w:sz w:val="18"/>
      </w:rPr>
      <w:t>3</w:t>
    </w:r>
    <w:r w:rsidRPr="005E33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C546" w14:textId="77777777" w:rsidR="00EF4064" w:rsidRPr="005E3367" w:rsidRDefault="00EF4064" w:rsidP="005E3367">
    <w:pPr>
      <w:pStyle w:val="Footer"/>
      <w:spacing w:before="120"/>
      <w:rPr>
        <w:sz w:val="20"/>
      </w:rPr>
    </w:pPr>
    <w:r>
      <w:rPr>
        <w:sz w:val="20"/>
      </w:rPr>
      <w:t>GE.</w:t>
    </w:r>
    <w:r>
      <w:rPr>
        <w:noProof/>
        <w:lang w:eastAsia="fr-CH"/>
      </w:rPr>
      <w:drawing>
        <wp:anchor distT="0" distB="0" distL="114300" distR="114300" simplePos="0" relativeHeight="251669504" behindDoc="0" locked="0" layoutInCell="1" allowOverlap="0" wp14:anchorId="1A7FC8A1" wp14:editId="334081A9">
          <wp:simplePos x="0" y="0"/>
          <wp:positionH relativeFrom="margin">
            <wp:posOffset>4319905</wp:posOffset>
          </wp:positionH>
          <wp:positionV relativeFrom="margin">
            <wp:posOffset>9144000</wp:posOffset>
          </wp:positionV>
          <wp:extent cx="1105200" cy="234000"/>
          <wp:effectExtent l="0" t="0" r="0" b="0"/>
          <wp:wrapNone/>
          <wp:docPr id="9" name="Image 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20-13421  (F)    111120    1</w:t>
    </w:r>
    <w:r w:rsidR="006F010C">
      <w:rPr>
        <w:sz w:val="20"/>
      </w:rPr>
      <w:t>2</w:t>
    </w:r>
    <w:r>
      <w:rPr>
        <w:sz w:val="20"/>
      </w:rPr>
      <w:t>1120</w:t>
    </w:r>
    <w:r>
      <w:rPr>
        <w:sz w:val="20"/>
      </w:rPr>
      <w:br/>
    </w:r>
    <w:r w:rsidRPr="005E3367">
      <w:rPr>
        <w:rFonts w:ascii="C39T30Lfz" w:hAnsi="C39T30Lfz"/>
        <w:sz w:val="56"/>
      </w:rPr>
      <w:t>*2013421*</w:t>
    </w:r>
    <w:r>
      <w:rPr>
        <w:noProof/>
        <w:sz w:val="20"/>
      </w:rPr>
      <w:drawing>
        <wp:anchor distT="0" distB="0" distL="114300" distR="114300" simplePos="0" relativeHeight="251697152" behindDoc="0" locked="0" layoutInCell="1" allowOverlap="1" wp14:anchorId="4CBAFA93" wp14:editId="3C2BAC80">
          <wp:simplePos x="0" y="0"/>
          <wp:positionH relativeFrom="margin">
            <wp:posOffset>5489575</wp:posOffset>
          </wp:positionH>
          <wp:positionV relativeFrom="margin">
            <wp:posOffset>8891905</wp:posOffset>
          </wp:positionV>
          <wp:extent cx="638175" cy="638175"/>
          <wp:effectExtent l="0" t="0" r="9525" b="9525"/>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5033" w14:textId="77777777" w:rsidR="00EF4064" w:rsidRPr="00F218AE" w:rsidRDefault="00EF4064" w:rsidP="00F218AE">
    <w:pPr>
      <w:pStyle w:val="Footer"/>
    </w:pPr>
    <w:r>
      <w:rPr>
        <w:noProof/>
      </w:rPr>
      <mc:AlternateContent>
        <mc:Choice Requires="wps">
          <w:drawing>
            <wp:anchor distT="0" distB="0" distL="114300" distR="114300" simplePos="0" relativeHeight="251679744" behindDoc="0" locked="0" layoutInCell="1" allowOverlap="1" wp14:anchorId="35E951B7" wp14:editId="52F0AB9A">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61EC76A" w14:textId="77777777" w:rsidR="00EF4064" w:rsidRPr="005E3367" w:rsidRDefault="00EF4064" w:rsidP="00F218AE">
                          <w:pPr>
                            <w:pStyle w:val="Footer"/>
                            <w:tabs>
                              <w:tab w:val="right" w:pos="9638"/>
                            </w:tabs>
                          </w:pPr>
                          <w:r w:rsidRPr="005E3367">
                            <w:rPr>
                              <w:b/>
                              <w:sz w:val="18"/>
                            </w:rPr>
                            <w:fldChar w:fldCharType="begin"/>
                          </w:r>
                          <w:r w:rsidRPr="005E3367">
                            <w:rPr>
                              <w:b/>
                              <w:sz w:val="18"/>
                            </w:rPr>
                            <w:instrText xml:space="preserve"> PAGE  \* MERGEFORMAT </w:instrText>
                          </w:r>
                          <w:r w:rsidRPr="005E3367">
                            <w:rPr>
                              <w:b/>
                              <w:sz w:val="18"/>
                            </w:rPr>
                            <w:fldChar w:fldCharType="separate"/>
                          </w:r>
                          <w:r>
                            <w:rPr>
                              <w:b/>
                              <w:sz w:val="18"/>
                            </w:rPr>
                            <w:t>32</w:t>
                          </w:r>
                          <w:r w:rsidRPr="005E3367">
                            <w:rPr>
                              <w:b/>
                              <w:sz w:val="18"/>
                            </w:rPr>
                            <w:fldChar w:fldCharType="end"/>
                          </w:r>
                          <w:r>
                            <w:rPr>
                              <w:b/>
                              <w:sz w:val="18"/>
                            </w:rPr>
                            <w:tab/>
                          </w:r>
                          <w:r>
                            <w:t>GE.20-13421</w:t>
                          </w:r>
                        </w:p>
                        <w:p w14:paraId="65D4E088" w14:textId="77777777" w:rsidR="00EF4064" w:rsidRDefault="00EF40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E951B7" id="_x0000_t202" coordsize="21600,21600" o:spt="202" path="m,l,21600r21600,l21600,xe">
              <v:stroke joinstyle="miter"/>
              <v:path gradientshapeok="t" o:connecttype="rect"/>
            </v:shapetype>
            <v:shape id="Zone de texte 7" o:spid="_x0000_s1111" type="#_x0000_t202" style="position:absolute;margin-left:-34pt;margin-top:0;width:17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61EC76A" w14:textId="77777777" w:rsidR="00EF4064" w:rsidRPr="005E3367" w:rsidRDefault="00EF4064" w:rsidP="00F218AE">
                    <w:pPr>
                      <w:pStyle w:val="Footer"/>
                      <w:tabs>
                        <w:tab w:val="right" w:pos="9638"/>
                      </w:tabs>
                    </w:pPr>
                    <w:r w:rsidRPr="005E3367">
                      <w:rPr>
                        <w:b/>
                        <w:sz w:val="18"/>
                      </w:rPr>
                      <w:fldChar w:fldCharType="begin"/>
                    </w:r>
                    <w:r w:rsidRPr="005E3367">
                      <w:rPr>
                        <w:b/>
                        <w:sz w:val="18"/>
                      </w:rPr>
                      <w:instrText xml:space="preserve"> PAGE  \* MERGEFORMAT </w:instrText>
                    </w:r>
                    <w:r w:rsidRPr="005E3367">
                      <w:rPr>
                        <w:b/>
                        <w:sz w:val="18"/>
                      </w:rPr>
                      <w:fldChar w:fldCharType="separate"/>
                    </w:r>
                    <w:r>
                      <w:rPr>
                        <w:b/>
                        <w:sz w:val="18"/>
                      </w:rPr>
                      <w:t>32</w:t>
                    </w:r>
                    <w:r w:rsidRPr="005E3367">
                      <w:rPr>
                        <w:b/>
                        <w:sz w:val="18"/>
                      </w:rPr>
                      <w:fldChar w:fldCharType="end"/>
                    </w:r>
                    <w:r>
                      <w:rPr>
                        <w:b/>
                        <w:sz w:val="18"/>
                      </w:rPr>
                      <w:tab/>
                    </w:r>
                    <w:r>
                      <w:t>GE.20-13421</w:t>
                    </w:r>
                  </w:p>
                  <w:p w14:paraId="65D4E088" w14:textId="77777777" w:rsidR="00EF4064" w:rsidRDefault="00EF406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6F48" w14:textId="77777777" w:rsidR="00EF4064" w:rsidRPr="00F218AE" w:rsidRDefault="00EF4064" w:rsidP="00F218AE">
    <w:pPr>
      <w:pStyle w:val="Footer"/>
    </w:pPr>
    <w:r>
      <w:rPr>
        <w:noProof/>
      </w:rPr>
      <mc:AlternateContent>
        <mc:Choice Requires="wps">
          <w:drawing>
            <wp:anchor distT="0" distB="0" distL="114300" distR="114300" simplePos="0" relativeHeight="251635712" behindDoc="0" locked="0" layoutInCell="1" allowOverlap="1" wp14:anchorId="75F40FC7" wp14:editId="2F0E4785">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670C364" w14:textId="77777777" w:rsidR="00EF4064" w:rsidRPr="005E3367" w:rsidRDefault="00EF4064" w:rsidP="00F218AE">
                          <w:pPr>
                            <w:pStyle w:val="Footer"/>
                            <w:tabs>
                              <w:tab w:val="right" w:pos="9638"/>
                            </w:tabs>
                            <w:rPr>
                              <w:b/>
                              <w:sz w:val="18"/>
                            </w:rPr>
                          </w:pPr>
                          <w:r>
                            <w:t>GE.20-13421</w:t>
                          </w:r>
                          <w:r>
                            <w:tab/>
                          </w:r>
                          <w:r w:rsidRPr="005E3367">
                            <w:rPr>
                              <w:b/>
                              <w:sz w:val="18"/>
                            </w:rPr>
                            <w:fldChar w:fldCharType="begin"/>
                          </w:r>
                          <w:r w:rsidRPr="005E3367">
                            <w:rPr>
                              <w:b/>
                              <w:sz w:val="18"/>
                            </w:rPr>
                            <w:instrText xml:space="preserve"> PAGE  \* MERGEFORMAT </w:instrText>
                          </w:r>
                          <w:r w:rsidRPr="005E3367">
                            <w:rPr>
                              <w:b/>
                              <w:sz w:val="18"/>
                            </w:rPr>
                            <w:fldChar w:fldCharType="separate"/>
                          </w:r>
                          <w:r>
                            <w:rPr>
                              <w:b/>
                              <w:sz w:val="18"/>
                            </w:rPr>
                            <w:t>31</w:t>
                          </w:r>
                          <w:r w:rsidRPr="005E3367">
                            <w:rPr>
                              <w:b/>
                              <w:sz w:val="18"/>
                            </w:rPr>
                            <w:fldChar w:fldCharType="end"/>
                          </w:r>
                        </w:p>
                        <w:p w14:paraId="4F049F4E" w14:textId="77777777" w:rsidR="00EF4064" w:rsidRDefault="00EF40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F40FC7" id="_x0000_t202" coordsize="21600,21600" o:spt="202" path="m,l,21600r21600,l21600,xe">
              <v:stroke joinstyle="miter"/>
              <v:path gradientshapeok="t" o:connecttype="rect"/>
            </v:shapetype>
            <v:shape id="Zone de texte 5" o:spid="_x0000_s1112" type="#_x0000_t202" style="position:absolute;margin-left:-34pt;margin-top:0;width:17pt;height:481.9pt;z-index:2516357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2670C364" w14:textId="77777777" w:rsidR="00EF4064" w:rsidRPr="005E3367" w:rsidRDefault="00EF4064" w:rsidP="00F218AE">
                    <w:pPr>
                      <w:pStyle w:val="Footer"/>
                      <w:tabs>
                        <w:tab w:val="right" w:pos="9638"/>
                      </w:tabs>
                      <w:rPr>
                        <w:b/>
                        <w:sz w:val="18"/>
                      </w:rPr>
                    </w:pPr>
                    <w:r>
                      <w:t>GE.20-13421</w:t>
                    </w:r>
                    <w:r>
                      <w:tab/>
                    </w:r>
                    <w:r w:rsidRPr="005E3367">
                      <w:rPr>
                        <w:b/>
                        <w:sz w:val="18"/>
                      </w:rPr>
                      <w:fldChar w:fldCharType="begin"/>
                    </w:r>
                    <w:r w:rsidRPr="005E3367">
                      <w:rPr>
                        <w:b/>
                        <w:sz w:val="18"/>
                      </w:rPr>
                      <w:instrText xml:space="preserve"> PAGE  \* MERGEFORMAT </w:instrText>
                    </w:r>
                    <w:r w:rsidRPr="005E3367">
                      <w:rPr>
                        <w:b/>
                        <w:sz w:val="18"/>
                      </w:rPr>
                      <w:fldChar w:fldCharType="separate"/>
                    </w:r>
                    <w:r>
                      <w:rPr>
                        <w:b/>
                        <w:sz w:val="18"/>
                      </w:rPr>
                      <w:t>31</w:t>
                    </w:r>
                    <w:r w:rsidRPr="005E3367">
                      <w:rPr>
                        <w:b/>
                        <w:sz w:val="18"/>
                      </w:rPr>
                      <w:fldChar w:fldCharType="end"/>
                    </w:r>
                  </w:p>
                  <w:p w14:paraId="4F049F4E" w14:textId="77777777" w:rsidR="00EF4064" w:rsidRDefault="00EF406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623B" w14:textId="77777777" w:rsidR="00EF4064" w:rsidRPr="00AC3823" w:rsidRDefault="00EF4064" w:rsidP="00AC3823">
      <w:pPr>
        <w:pStyle w:val="Footer"/>
        <w:tabs>
          <w:tab w:val="right" w:pos="2155"/>
        </w:tabs>
        <w:spacing w:after="80" w:line="240" w:lineRule="atLeast"/>
        <w:ind w:left="680"/>
        <w:rPr>
          <w:u w:val="single"/>
        </w:rPr>
      </w:pPr>
      <w:r>
        <w:rPr>
          <w:u w:val="single"/>
        </w:rPr>
        <w:tab/>
      </w:r>
    </w:p>
  </w:footnote>
  <w:footnote w:type="continuationSeparator" w:id="0">
    <w:p w14:paraId="2A69AB12" w14:textId="77777777" w:rsidR="00EF4064" w:rsidRPr="00AC3823" w:rsidRDefault="00EF4064" w:rsidP="00AC3823">
      <w:pPr>
        <w:pStyle w:val="Footer"/>
        <w:tabs>
          <w:tab w:val="right" w:pos="2155"/>
        </w:tabs>
        <w:spacing w:after="80" w:line="240" w:lineRule="atLeast"/>
        <w:ind w:left="680"/>
        <w:rPr>
          <w:u w:val="single"/>
        </w:rPr>
      </w:pPr>
      <w:r>
        <w:rPr>
          <w:u w:val="single"/>
        </w:rPr>
        <w:tab/>
      </w:r>
    </w:p>
  </w:footnote>
  <w:footnote w:type="continuationNotice" w:id="1">
    <w:p w14:paraId="240A368D" w14:textId="77777777" w:rsidR="00EF4064" w:rsidRPr="00AC3823" w:rsidRDefault="00EF4064">
      <w:pPr>
        <w:spacing w:line="240" w:lineRule="auto"/>
        <w:rPr>
          <w:sz w:val="2"/>
          <w:szCs w:val="2"/>
        </w:rPr>
      </w:pPr>
    </w:p>
  </w:footnote>
  <w:footnote w:id="2">
    <w:p w14:paraId="51DA8777" w14:textId="77777777" w:rsidR="00EF4064" w:rsidRPr="0097522F" w:rsidRDefault="00EF4064">
      <w:pPr>
        <w:pStyle w:val="FootnoteText"/>
      </w:pPr>
      <w:r>
        <w:rPr>
          <w:rStyle w:val="FootnoteReference"/>
        </w:rPr>
        <w:tab/>
      </w:r>
      <w:r w:rsidRPr="0097522F">
        <w:rPr>
          <w:rStyle w:val="FootnoteReference"/>
          <w:sz w:val="20"/>
          <w:vertAlign w:val="baseline"/>
        </w:rPr>
        <w:t>*</w:t>
      </w:r>
      <w:r>
        <w:rPr>
          <w:rStyle w:val="FootnoteReference"/>
          <w:sz w:val="20"/>
          <w:vertAlign w:val="baseline"/>
        </w:rPr>
        <w:tab/>
      </w:r>
      <w:r w:rsidRPr="00FB1F62">
        <w:t>Diffusé par l’Organisation intergouvernementale pour les transports internationaux ferroviaires (OTIF), sous la cote OTIF/RID/RC/2020-</w:t>
      </w:r>
      <w:r w:rsidRPr="00FB1F62">
        <w:rPr>
          <w:lang w:val="de-CH"/>
        </w:rPr>
        <w:t>A</w:t>
      </w:r>
      <w:r w:rsidRPr="00FB1F62">
        <w:t>. Sauf indication contraire, les autres documents auxquels renvoie le présent rapport et qui portent une cote ECE/TRANS/WP.15/AC.1/ suivie de l’année et d’un numéro de série ont été diffusés par l’OTIF, sous la cote OTIF/RID/RC/ suivie de l’année et du même numéro de série.</w:t>
      </w:r>
    </w:p>
  </w:footnote>
  <w:footnote w:id="3">
    <w:p w14:paraId="478BCB61" w14:textId="77777777" w:rsidR="00EF4064" w:rsidRPr="00E83EED" w:rsidRDefault="00EF4064">
      <w:pPr>
        <w:pStyle w:val="FootnoteText"/>
      </w:pPr>
      <w:r>
        <w:rPr>
          <w:rStyle w:val="FootnoteReference"/>
        </w:rPr>
        <w:tab/>
      </w:r>
      <w:r w:rsidRPr="00E83EED">
        <w:rPr>
          <w:rStyle w:val="FootnoteReference"/>
          <w:sz w:val="20"/>
          <w:vertAlign w:val="baseline"/>
        </w:rPr>
        <w:t>**</w:t>
      </w:r>
      <w:r>
        <w:rPr>
          <w:rStyle w:val="FootnoteReference"/>
          <w:sz w:val="20"/>
          <w:vertAlign w:val="baseline"/>
        </w:rPr>
        <w:tab/>
      </w:r>
      <w:r w:rsidRPr="00054F62">
        <w:rPr>
          <w:sz w:val="20"/>
        </w:rPr>
        <w:t>Pour des raisons pratiques, l’annexe I est reproduite sous forme d’additif au présent document, sous la cote ECE/TRANS/WP.15/AC.1/158/Add.1.</w:t>
      </w:r>
    </w:p>
  </w:footnote>
  <w:footnote w:id="4">
    <w:p w14:paraId="59061856" w14:textId="77777777" w:rsidR="00EF4064" w:rsidRDefault="00EF4064">
      <w:pPr>
        <w:pStyle w:val="FootnoteText"/>
      </w:pPr>
      <w:r>
        <w:tab/>
      </w:r>
      <w:r>
        <w:rPr>
          <w:rStyle w:val="FootnoteReference"/>
        </w:rPr>
        <w:footnoteRef/>
      </w:r>
      <w:r>
        <w:tab/>
      </w:r>
      <w:r w:rsidRPr="008B4BCC">
        <w:rPr>
          <w:rFonts w:eastAsia="Calibri"/>
          <w:lang w:val="fr-FR"/>
        </w:rPr>
        <w:t>Numérotation de l</w:t>
      </w:r>
      <w:r>
        <w:rPr>
          <w:rFonts w:eastAsia="Calibri"/>
          <w:lang w:val="fr-FR"/>
        </w:rPr>
        <w:t>’</w:t>
      </w:r>
      <w:r w:rsidRPr="008B4BCC">
        <w:rPr>
          <w:rFonts w:eastAsia="Calibri"/>
          <w:lang w:val="fr-FR"/>
        </w:rPr>
        <w:t>envoi</w:t>
      </w:r>
      <w:r w:rsidRPr="008E4FB0">
        <w:t>.</w:t>
      </w:r>
    </w:p>
  </w:footnote>
  <w:footnote w:id="5">
    <w:p w14:paraId="59E07BC0" w14:textId="77777777" w:rsidR="001177B9" w:rsidRPr="00942C24" w:rsidRDefault="001177B9" w:rsidP="001177B9">
      <w:pPr>
        <w:pStyle w:val="FootnoteText"/>
        <w:rPr>
          <w:szCs w:val="18"/>
        </w:rPr>
      </w:pPr>
      <w:r>
        <w:tab/>
      </w:r>
      <w:r w:rsidRPr="0066011F">
        <w:rPr>
          <w:rStyle w:val="FootnoteReference"/>
        </w:rPr>
        <w:footnoteRef/>
      </w:r>
      <w:r>
        <w:tab/>
      </w:r>
      <w:r w:rsidRPr="00942C24">
        <w:rPr>
          <w:szCs w:val="18"/>
        </w:rPr>
        <w:t>Participant au sens de l’article 1</w:t>
      </w:r>
      <w:r w:rsidRPr="001177B9">
        <w:rPr>
          <w:szCs w:val="18"/>
          <w:vertAlign w:val="superscript"/>
        </w:rPr>
        <w:t>er</w:t>
      </w:r>
      <w:r w:rsidRPr="00942C24">
        <w:rPr>
          <w:szCs w:val="18"/>
        </w:rPr>
        <w:t xml:space="preserve"> du Règlement intérieur de la Réunion commune</w:t>
      </w:r>
      <w:r w:rsidRPr="00942C24">
        <w:rPr>
          <w:rFonts w:eastAsia="Calibri"/>
          <w:szCs w:val="18"/>
        </w:rPr>
        <w:t xml:space="preserve"> </w:t>
      </w:r>
      <w:r w:rsidRPr="00942C24">
        <w:rPr>
          <w:szCs w:val="18"/>
        </w:rPr>
        <w:t xml:space="preserve">de la Commission d’experts du RID et du Groupe de travail des transports de marchandises dangereuses (WP.15) (Réunion commune RID/ADR/ADN) </w:t>
      </w:r>
      <w:r w:rsidRPr="00942C24">
        <w:rPr>
          <w:rFonts w:eastAsia="Calibri"/>
          <w:spacing w:val="-2"/>
          <w:szCs w:val="18"/>
          <w:lang w:val="fr-FR"/>
        </w:rPr>
        <w:t xml:space="preserve">publié sous la cote </w:t>
      </w:r>
      <w:r w:rsidRPr="00942C24">
        <w:rPr>
          <w:szCs w:val="18"/>
        </w:rPr>
        <w:t>ECE/TRANS/WP.15/AC.1/112/Add.2.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5F79" w14:textId="77777777" w:rsidR="00EF4064" w:rsidRPr="005E3367" w:rsidRDefault="0007376B">
    <w:pPr>
      <w:pStyle w:val="Header"/>
    </w:pPr>
    <w:r>
      <w:fldChar w:fldCharType="begin"/>
    </w:r>
    <w:r>
      <w:instrText xml:space="preserve"> TITLE  \* MERGEFORMAT </w:instrText>
    </w:r>
    <w:r>
      <w:fldChar w:fldCharType="separate"/>
    </w:r>
    <w:r w:rsidR="00EF4064">
      <w:t>ECE/TRANS/WP.15/AC.1/158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E784" w14:textId="77777777" w:rsidR="00EF4064" w:rsidRPr="005E3367" w:rsidRDefault="0007376B" w:rsidP="005E3367">
    <w:pPr>
      <w:pStyle w:val="Header"/>
      <w:jc w:val="right"/>
    </w:pPr>
    <w:r>
      <w:fldChar w:fldCharType="begin"/>
    </w:r>
    <w:r>
      <w:instrText xml:space="preserve"> TITLE  \* MERGEFORMAT </w:instrText>
    </w:r>
    <w:r>
      <w:fldChar w:fldCharType="separate"/>
    </w:r>
    <w:r w:rsidR="00EF4064">
      <w:t>ECE/TRANS/WP.15/AC.1/158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2B7E" w14:textId="77777777" w:rsidR="00EF4064" w:rsidRPr="00F218AE" w:rsidRDefault="00EF4064" w:rsidP="00F218AE">
    <w:r>
      <w:rPr>
        <w:noProof/>
      </w:rPr>
      <mc:AlternateContent>
        <mc:Choice Requires="wps">
          <w:drawing>
            <wp:anchor distT="0" distB="0" distL="114300" distR="114300" simplePos="0" relativeHeight="251646976" behindDoc="0" locked="0" layoutInCell="1" allowOverlap="1" wp14:anchorId="72856ED5" wp14:editId="03F9D466">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9EFD633" w14:textId="77777777" w:rsidR="00EF4064" w:rsidRPr="005E3367" w:rsidRDefault="0007376B" w:rsidP="00F218AE">
                          <w:pPr>
                            <w:pStyle w:val="Header"/>
                          </w:pPr>
                          <w:r>
                            <w:fldChar w:fldCharType="begin"/>
                          </w:r>
                          <w:r>
                            <w:instrText xml:space="preserve"> TITLE  \* MERGEFORMAT </w:instrText>
                          </w:r>
                          <w:r>
                            <w:fldChar w:fldCharType="separate"/>
                          </w:r>
                          <w:r w:rsidR="00EF4064">
                            <w:t>ECE/TRANS/WP.15/AC.1/158</w:t>
                          </w:r>
                          <w:r>
                            <w:fldChar w:fldCharType="end"/>
                          </w:r>
                        </w:p>
                        <w:p w14:paraId="60F95B16" w14:textId="77777777" w:rsidR="00EF4064" w:rsidRDefault="00EF40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856ED5" id="_x0000_t202" coordsize="21600,21600" o:spt="202" path="m,l,21600r21600,l21600,xe">
              <v:stroke joinstyle="miter"/>
              <v:path gradientshapeok="t" o:connecttype="rect"/>
            </v:shapetype>
            <v:shape id="Zone de texte 6" o:spid="_x0000_s1109" type="#_x0000_t202" style="position:absolute;margin-left:782.35pt;margin-top:0;width:17pt;height:481.9pt;z-index:2516469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59EFD633" w14:textId="77777777" w:rsidR="00EF4064" w:rsidRPr="005E3367" w:rsidRDefault="0007376B" w:rsidP="00F218AE">
                    <w:pPr>
                      <w:pStyle w:val="Header"/>
                    </w:pPr>
                    <w:r>
                      <w:fldChar w:fldCharType="begin"/>
                    </w:r>
                    <w:r>
                      <w:instrText xml:space="preserve"> TITLE  \* MERGEFORMAT </w:instrText>
                    </w:r>
                    <w:r>
                      <w:fldChar w:fldCharType="separate"/>
                    </w:r>
                    <w:r w:rsidR="00EF4064">
                      <w:t>ECE/TRANS/WP.15/AC.1/158</w:t>
                    </w:r>
                    <w:r>
                      <w:fldChar w:fldCharType="end"/>
                    </w:r>
                  </w:p>
                  <w:p w14:paraId="60F95B16" w14:textId="77777777" w:rsidR="00EF4064" w:rsidRDefault="00EF406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E378" w14:textId="77777777" w:rsidR="00EF4064" w:rsidRPr="00F218AE" w:rsidRDefault="00EF4064" w:rsidP="00F218AE">
    <w:r>
      <w:rPr>
        <w:noProof/>
      </w:rPr>
      <mc:AlternateContent>
        <mc:Choice Requires="wps">
          <w:drawing>
            <wp:anchor distT="0" distB="0" distL="114300" distR="114300" simplePos="0" relativeHeight="251625472" behindDoc="0" locked="0" layoutInCell="1" allowOverlap="1" wp14:anchorId="2255F9A4" wp14:editId="5756BEFA">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FDEFD9" w14:textId="77777777" w:rsidR="00EF4064" w:rsidRPr="005E3367" w:rsidRDefault="0007376B" w:rsidP="00F218AE">
                          <w:pPr>
                            <w:pStyle w:val="Header"/>
                            <w:jc w:val="right"/>
                          </w:pPr>
                          <w:r>
                            <w:fldChar w:fldCharType="begin"/>
                          </w:r>
                          <w:r>
                            <w:instrText xml:space="preserve"> TITLE  \* MERGEFORMAT </w:instrText>
                          </w:r>
                          <w:r>
                            <w:fldChar w:fldCharType="separate"/>
                          </w:r>
                          <w:r w:rsidR="00EF4064">
                            <w:t>ECE/TRANS/WP.15/AC.1/158</w:t>
                          </w:r>
                          <w:r>
                            <w:fldChar w:fldCharType="end"/>
                          </w:r>
                        </w:p>
                        <w:p w14:paraId="63E74C92" w14:textId="77777777" w:rsidR="00EF4064" w:rsidRDefault="00EF406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55F9A4" id="_x0000_t202" coordsize="21600,21600" o:spt="202" path="m,l,21600r21600,l21600,xe">
              <v:stroke joinstyle="miter"/>
              <v:path gradientshapeok="t" o:connecttype="rect"/>
            </v:shapetype>
            <v:shape id="Zone de texte 4" o:spid="_x0000_s1110" type="#_x0000_t202" style="position:absolute;margin-left:782.35pt;margin-top:0;width:17pt;height:481.9pt;z-index:2516254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77FDEFD9" w14:textId="77777777" w:rsidR="00EF4064" w:rsidRPr="005E3367" w:rsidRDefault="0007376B" w:rsidP="00F218AE">
                    <w:pPr>
                      <w:pStyle w:val="Header"/>
                      <w:jc w:val="right"/>
                    </w:pPr>
                    <w:r>
                      <w:fldChar w:fldCharType="begin"/>
                    </w:r>
                    <w:r>
                      <w:instrText xml:space="preserve"> TITLE  \* MERGEFORMAT </w:instrText>
                    </w:r>
                    <w:r>
                      <w:fldChar w:fldCharType="separate"/>
                    </w:r>
                    <w:r w:rsidR="00EF4064">
                      <w:t>ECE/TRANS/WP.15/AC.1/158</w:t>
                    </w:r>
                    <w:r>
                      <w:fldChar w:fldCharType="end"/>
                    </w:r>
                  </w:p>
                  <w:p w14:paraId="63E74C92" w14:textId="77777777" w:rsidR="00EF4064" w:rsidRDefault="00EF406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F5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2E4C62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35613"/>
    <w:multiLevelType w:val="hybridMultilevel"/>
    <w:tmpl w:val="968ACE50"/>
    <w:lvl w:ilvl="0" w:tplc="8AB84D14">
      <w:start w:val="1"/>
      <w:numFmt w:val="lowerLetter"/>
      <w:lvlText w:val="%1)"/>
      <w:lvlJc w:val="left"/>
      <w:pPr>
        <w:ind w:left="1689" w:hanging="555"/>
      </w:pPr>
      <w:rPr>
        <w:rFonts w:ascii="Times New Roman" w:eastAsia="Times New Roman" w:hAnsi="Times New Roman" w:cs="Times New Roman"/>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5162A18"/>
    <w:multiLevelType w:val="hybridMultilevel"/>
    <w:tmpl w:val="B70AB1A8"/>
    <w:lvl w:ilvl="0" w:tplc="8098E88A">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720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4"/>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1"/>
  </w:num>
  <w:num w:numId="16">
    <w:abstractNumId w:val="11"/>
  </w:num>
  <w:num w:numId="17">
    <w:abstractNumId w:val="18"/>
  </w:num>
  <w:num w:numId="18">
    <w:abstractNumId w:val="14"/>
  </w:num>
  <w:num w:numId="19">
    <w:abstractNumId w:val="10"/>
  </w:num>
  <w:num w:numId="20">
    <w:abstractNumId w:val="12"/>
  </w:num>
  <w:num w:numId="21">
    <w:abstractNumId w:val="19"/>
  </w:num>
  <w:num w:numId="22">
    <w:abstractNumId w:val="13"/>
  </w:num>
  <w:num w:numId="23">
    <w:abstractNumId w:val="23"/>
  </w:num>
  <w:num w:numId="24">
    <w:abstractNumId w:val="25"/>
  </w:num>
  <w:num w:numId="25">
    <w:abstractNumId w:val="26"/>
  </w:num>
  <w:num w:numId="26">
    <w:abstractNumId w:val="17"/>
  </w:num>
  <w:num w:numId="27">
    <w:abstractNumId w:val="15"/>
  </w:num>
  <w:num w:numId="28">
    <w:abstractNumId w:val="27"/>
  </w:num>
  <w:num w:numId="29">
    <w:abstractNumId w:val="16"/>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0B"/>
    <w:rsid w:val="00017F94"/>
    <w:rsid w:val="00023842"/>
    <w:rsid w:val="000334F9"/>
    <w:rsid w:val="00045FEB"/>
    <w:rsid w:val="00054F62"/>
    <w:rsid w:val="000574CE"/>
    <w:rsid w:val="0007376B"/>
    <w:rsid w:val="0007796D"/>
    <w:rsid w:val="000B7790"/>
    <w:rsid w:val="000E51D6"/>
    <w:rsid w:val="000F4772"/>
    <w:rsid w:val="00110257"/>
    <w:rsid w:val="00111F2F"/>
    <w:rsid w:val="001177B9"/>
    <w:rsid w:val="0014365E"/>
    <w:rsid w:val="00143C66"/>
    <w:rsid w:val="00160264"/>
    <w:rsid w:val="00176178"/>
    <w:rsid w:val="001F525A"/>
    <w:rsid w:val="00223272"/>
    <w:rsid w:val="0024779E"/>
    <w:rsid w:val="00257168"/>
    <w:rsid w:val="00266329"/>
    <w:rsid w:val="002744B8"/>
    <w:rsid w:val="002832AC"/>
    <w:rsid w:val="002B35FC"/>
    <w:rsid w:val="002D330B"/>
    <w:rsid w:val="002D7C93"/>
    <w:rsid w:val="00305801"/>
    <w:rsid w:val="003916DE"/>
    <w:rsid w:val="00421996"/>
    <w:rsid w:val="00441C3B"/>
    <w:rsid w:val="00446FE5"/>
    <w:rsid w:val="00452396"/>
    <w:rsid w:val="00472ED6"/>
    <w:rsid w:val="004837D8"/>
    <w:rsid w:val="004A6A39"/>
    <w:rsid w:val="004C7726"/>
    <w:rsid w:val="004E2EED"/>
    <w:rsid w:val="004E3C2D"/>
    <w:rsid w:val="004E468C"/>
    <w:rsid w:val="005505B7"/>
    <w:rsid w:val="00573BE5"/>
    <w:rsid w:val="00586ED3"/>
    <w:rsid w:val="00596AA9"/>
    <w:rsid w:val="005A12ED"/>
    <w:rsid w:val="005E3367"/>
    <w:rsid w:val="006F010C"/>
    <w:rsid w:val="0071601D"/>
    <w:rsid w:val="00771B38"/>
    <w:rsid w:val="007A62E6"/>
    <w:rsid w:val="007C24E8"/>
    <w:rsid w:val="007F20FA"/>
    <w:rsid w:val="0080684C"/>
    <w:rsid w:val="008176EF"/>
    <w:rsid w:val="00871C75"/>
    <w:rsid w:val="008776DC"/>
    <w:rsid w:val="00890555"/>
    <w:rsid w:val="0094142F"/>
    <w:rsid w:val="00942C24"/>
    <w:rsid w:val="009446C0"/>
    <w:rsid w:val="009705C8"/>
    <w:rsid w:val="0097522F"/>
    <w:rsid w:val="009B1F20"/>
    <w:rsid w:val="009C1CF4"/>
    <w:rsid w:val="009F6B74"/>
    <w:rsid w:val="00A3029F"/>
    <w:rsid w:val="00A30353"/>
    <w:rsid w:val="00AC3823"/>
    <w:rsid w:val="00AE323C"/>
    <w:rsid w:val="00AF0CB5"/>
    <w:rsid w:val="00B00181"/>
    <w:rsid w:val="00B00B0D"/>
    <w:rsid w:val="00B17F6F"/>
    <w:rsid w:val="00B45F2E"/>
    <w:rsid w:val="00B659C5"/>
    <w:rsid w:val="00B765F7"/>
    <w:rsid w:val="00B835DE"/>
    <w:rsid w:val="00BA0CA9"/>
    <w:rsid w:val="00C02897"/>
    <w:rsid w:val="00C8440E"/>
    <w:rsid w:val="00C97039"/>
    <w:rsid w:val="00CA0005"/>
    <w:rsid w:val="00CA33B2"/>
    <w:rsid w:val="00D0087F"/>
    <w:rsid w:val="00D3439C"/>
    <w:rsid w:val="00D609C8"/>
    <w:rsid w:val="00D717DB"/>
    <w:rsid w:val="00D945A2"/>
    <w:rsid w:val="00DB1831"/>
    <w:rsid w:val="00DD3BFD"/>
    <w:rsid w:val="00DF6678"/>
    <w:rsid w:val="00E0299A"/>
    <w:rsid w:val="00E47DD9"/>
    <w:rsid w:val="00E65BD0"/>
    <w:rsid w:val="00E83EED"/>
    <w:rsid w:val="00E85C74"/>
    <w:rsid w:val="00E9420A"/>
    <w:rsid w:val="00EA6547"/>
    <w:rsid w:val="00EB1270"/>
    <w:rsid w:val="00EF2E22"/>
    <w:rsid w:val="00EF4064"/>
    <w:rsid w:val="00F218AE"/>
    <w:rsid w:val="00F35BAF"/>
    <w:rsid w:val="00F660DF"/>
    <w:rsid w:val="00F94664"/>
    <w:rsid w:val="00F9573C"/>
    <w:rsid w:val="00F95C08"/>
    <w:rsid w:val="00FA456F"/>
    <w:rsid w:val="00FB1F62"/>
    <w:rsid w:val="00FC28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65889"/>
  <w15:docId w15:val="{586DD057-3C07-4B00-8B01-B1012B12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E3367"/>
    <w:rPr>
      <w:rFonts w:ascii="Times New Roman" w:eastAsiaTheme="minorHAnsi" w:hAnsi="Times New Roman" w:cs="Times New Roman"/>
      <w:sz w:val="20"/>
      <w:szCs w:val="20"/>
      <w:lang w:eastAsia="en-US"/>
    </w:rPr>
  </w:style>
  <w:style w:type="table" w:styleId="Table3Deffects1">
    <w:name w:val="Table 3D effects 1"/>
    <w:basedOn w:val="TableNormal"/>
    <w:semiHidden/>
    <w:rsid w:val="005E3367"/>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3367"/>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3367"/>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336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336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336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3367"/>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3367"/>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3367"/>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336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3367"/>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3367"/>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3367"/>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5E3367"/>
    <w:rPr>
      <w:rFonts w:ascii="Times New Roman" w:eastAsiaTheme="minorHAnsi" w:hAnsi="Times New Roman" w:cs="Times New Roman"/>
      <w:b/>
      <w:sz w:val="24"/>
      <w:szCs w:val="20"/>
      <w:lang w:eastAsia="en-US"/>
    </w:rPr>
  </w:style>
  <w:style w:type="table" w:customStyle="1" w:styleId="TableGrid10">
    <w:name w:val="Table Grid1"/>
    <w:basedOn w:val="TableNormal"/>
    <w:next w:val="TableGrid"/>
    <w:semiHidden/>
    <w:rsid w:val="005E336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5E3367"/>
    <w:rPr>
      <w:rFonts w:ascii="Times New Roman" w:eastAsiaTheme="minorHAnsi" w:hAnsi="Times New Roman" w:cs="Times New Roman"/>
      <w:b/>
      <w:sz w:val="28"/>
      <w:szCs w:val="20"/>
      <w:lang w:eastAsia="en-US"/>
    </w:rPr>
  </w:style>
  <w:style w:type="character" w:customStyle="1" w:styleId="H23GChar">
    <w:name w:val="_ H_2/3_G Char"/>
    <w:link w:val="H23G"/>
    <w:rsid w:val="005E3367"/>
    <w:rPr>
      <w:rFonts w:ascii="Times New Roman" w:eastAsiaTheme="minorHAnsi" w:hAnsi="Times New Roman" w:cs="Times New Roman"/>
      <w:b/>
      <w:sz w:val="20"/>
      <w:szCs w:val="20"/>
      <w:lang w:eastAsia="en-US"/>
    </w:rPr>
  </w:style>
  <w:style w:type="paragraph" w:styleId="Revision">
    <w:name w:val="Revision"/>
    <w:hidden/>
    <w:uiPriority w:val="99"/>
    <w:semiHidden/>
    <w:rsid w:val="005E3367"/>
    <w:pPr>
      <w:spacing w:after="0" w:line="240" w:lineRule="auto"/>
    </w:pPr>
    <w:rPr>
      <w:rFonts w:ascii="Times New Roman" w:hAnsi="Times New Roman" w:cs="Times New Roman"/>
      <w:sz w:val="20"/>
      <w:szCs w:val="20"/>
      <w:lang w:val="en-GB" w:eastAsia="en-US"/>
    </w:rPr>
  </w:style>
  <w:style w:type="character" w:customStyle="1" w:styleId="tlid-translation">
    <w:name w:val="tlid-translation"/>
    <w:basedOn w:val="DefaultParagraphFont"/>
    <w:rsid w:val="005E3367"/>
  </w:style>
  <w:style w:type="character" w:styleId="UnresolvedMention">
    <w:name w:val="Unresolved Mention"/>
    <w:basedOn w:val="DefaultParagraphFont"/>
    <w:uiPriority w:val="99"/>
    <w:semiHidden/>
    <w:unhideWhenUsed/>
    <w:rsid w:val="0094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tm.org" TargetMode="External"/><Relationship Id="rId18" Type="http://schemas.openxmlformats.org/officeDocument/2006/relationships/hyperlink" Target="http://www.icao.org" TargetMode="External"/><Relationship Id="rId26" Type="http://schemas.openxmlformats.org/officeDocument/2006/relationships/hyperlink" Target="https://ec.europa.eu/transport/themes/dangerous_good/risk_management_framework_en" TargetMode="External"/><Relationship Id="rId3" Type="http://schemas.openxmlformats.org/officeDocument/2006/relationships/customXml" Target="../customXml/item3.xml"/><Relationship Id="rId21" Type="http://schemas.openxmlformats.org/officeDocument/2006/relationships/hyperlink" Target="http://www.en.osjd.org"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iaea.org" TargetMode="External"/><Relationship Id="rId17" Type="http://schemas.openxmlformats.org/officeDocument/2006/relationships/hyperlink" Target="http://www.iso.org" TargetMode="External"/><Relationship Id="rId25" Type="http://schemas.openxmlformats.org/officeDocument/2006/relationships/hyperlink" Target="https://ec.europa.eu/transport/themes/dangerous_good/risk_management_framework_en"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otif.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gillingham@dft.gov.uk" TargetMode="External"/><Relationship Id="rId24" Type="http://schemas.openxmlformats.org/officeDocument/2006/relationships/hyperlink" Target="https://www.era.europa.eu/activities/transport-dangerous-goods/inland-tdg_en"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ganet.com" TargetMode="External"/><Relationship Id="rId23" Type="http://schemas.openxmlformats.org/officeDocument/2006/relationships/hyperlink" Target="https://ec.europa.eu/transport/themes/dangerous_good/risk_management_framework_en"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imo.org"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ce.org" TargetMode="External"/><Relationship Id="rId22" Type="http://schemas.openxmlformats.org/officeDocument/2006/relationships/hyperlink" Target="http://www.uic.or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00406-9C0A-4056-B7C4-1E6DA1830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F2BC9-C7A8-4585-A565-24AA86A77CE1}">
  <ds:schemaRefs>
    <ds:schemaRef ds:uri="http://schemas.microsoft.com/sharepoint/v3/contenttype/forms"/>
  </ds:schemaRefs>
</ds:datastoreItem>
</file>

<file path=customXml/itemProps3.xml><?xml version="1.0" encoding="utf-8"?>
<ds:datastoreItem xmlns:ds="http://schemas.openxmlformats.org/officeDocument/2006/customXml" ds:itemID="{A62DAC4C-ED6A-4050-8BCC-547F08D4AD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11993</Words>
  <Characters>68365</Characters>
  <Application>Microsoft Office Word</Application>
  <DocSecurity>0</DocSecurity>
  <Lines>569</Lines>
  <Paragraphs>160</Paragraphs>
  <ScaleCrop>false</ScaleCrop>
  <HeadingPairs>
    <vt:vector size="2" baseType="variant">
      <vt:variant>
        <vt:lpstr>Titre</vt:lpstr>
      </vt:variant>
      <vt:variant>
        <vt:i4>1</vt:i4>
      </vt:variant>
    </vt:vector>
  </HeadingPairs>
  <TitlesOfParts>
    <vt:vector size="1" baseType="lpstr">
      <vt:lpstr>ECE/TRANS/WP.15/AC.1/158</vt:lpstr>
    </vt:vector>
  </TitlesOfParts>
  <Company>DCM</Company>
  <LinksUpToDate>false</LinksUpToDate>
  <CharactersWithSpaces>80198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dc:title>
  <dc:subject/>
  <dc:creator>Nicolas MORIN</dc:creator>
  <cp:keywords/>
  <cp:lastModifiedBy>Christine Barrio-Champeau</cp:lastModifiedBy>
  <cp:revision>2</cp:revision>
  <cp:lastPrinted>2014-05-14T10:59:00Z</cp:lastPrinted>
  <dcterms:created xsi:type="dcterms:W3CDTF">2020-11-12T11:09:00Z</dcterms:created>
  <dcterms:modified xsi:type="dcterms:W3CDTF">2020-11-12T11:09:00Z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