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751B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751B8" w:rsidP="00C751B8">
            <w:pPr>
              <w:jc w:val="right"/>
            </w:pPr>
            <w:r w:rsidRPr="00C751B8">
              <w:rPr>
                <w:sz w:val="40"/>
              </w:rPr>
              <w:t>ECE</w:t>
            </w:r>
            <w:r>
              <w:t>/TRANS/WP.29/GRVA/2019/27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751B8" w:rsidP="00C97039">
            <w:pPr>
              <w:spacing w:before="240"/>
            </w:pPr>
            <w:r>
              <w:t>Distr. générale</w:t>
            </w:r>
          </w:p>
          <w:p w:rsidR="00C751B8" w:rsidRDefault="00C751B8" w:rsidP="00C751B8">
            <w:pPr>
              <w:spacing w:line="240" w:lineRule="exact"/>
            </w:pPr>
            <w:r>
              <w:t>11 juillet 2019</w:t>
            </w:r>
          </w:p>
          <w:p w:rsidR="00C751B8" w:rsidRDefault="00C751B8" w:rsidP="00C751B8">
            <w:pPr>
              <w:spacing w:line="240" w:lineRule="exact"/>
            </w:pPr>
            <w:r>
              <w:t>Français</w:t>
            </w:r>
          </w:p>
          <w:p w:rsidR="00C751B8" w:rsidRPr="00DB58B5" w:rsidRDefault="00C751B8" w:rsidP="00C751B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751B8" w:rsidRDefault="00C751B8"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751B8" w:rsidRDefault="00C751B8"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9B5D89" w:rsidRPr="009A530C">
        <w:rPr>
          <w:rStyle w:val="Appelnotedebasdep"/>
          <w:rFonts w:eastAsia="Times New Roman"/>
          <w:bCs/>
          <w:sz w:val="20"/>
          <w:vertAlign w:val="baseline"/>
        </w:rPr>
        <w:footnoteReference w:customMarkFollows="1" w:id="2"/>
        <w:t>*</w:t>
      </w:r>
    </w:p>
    <w:p w:rsidR="00C751B8" w:rsidRDefault="00C751B8" w:rsidP="00A3029F">
      <w:pPr>
        <w:spacing w:before="120"/>
        <w:rPr>
          <w:b/>
        </w:rPr>
      </w:pPr>
      <w:r w:rsidRPr="005C7386">
        <w:rPr>
          <w:b/>
          <w:bCs/>
        </w:rPr>
        <w:t>Quatrième</w:t>
      </w:r>
      <w:r>
        <w:rPr>
          <w:b/>
        </w:rPr>
        <w:t xml:space="preserve"> session</w:t>
      </w:r>
    </w:p>
    <w:p w:rsidR="00C751B8" w:rsidRDefault="00C751B8" w:rsidP="00A3029F">
      <w:pPr>
        <w:spacing w:line="240" w:lineRule="exact"/>
      </w:pPr>
      <w:r>
        <w:t xml:space="preserve">Genève, </w:t>
      </w:r>
      <w:r w:rsidRPr="005C7386">
        <w:t>24-27 septembre 2019</w:t>
      </w:r>
    </w:p>
    <w:p w:rsidR="00C751B8" w:rsidRDefault="00C751B8" w:rsidP="00A3029F">
      <w:pPr>
        <w:spacing w:line="240" w:lineRule="exact"/>
      </w:pPr>
      <w:r>
        <w:t>Point </w:t>
      </w:r>
      <w:r w:rsidRPr="005C7386">
        <w:rPr>
          <w:lang w:eastAsia="fr-FR"/>
        </w:rPr>
        <w:t>6</w:t>
      </w:r>
      <w:r>
        <w:rPr>
          <w:lang w:eastAsia="fr-FR"/>
        </w:rPr>
        <w:t> </w:t>
      </w:r>
      <w:r w:rsidRPr="005C7386">
        <w:rPr>
          <w:lang w:eastAsia="fr-FR"/>
        </w:rPr>
        <w:t xml:space="preserve">a) </w:t>
      </w:r>
      <w:r>
        <w:t>de l’ordre du jour provisoire</w:t>
      </w:r>
    </w:p>
    <w:p w:rsidR="00C84163" w:rsidRPr="005C7386" w:rsidRDefault="00C84163" w:rsidP="00C84163">
      <w:pPr>
        <w:rPr>
          <w:b/>
          <w:lang w:eastAsia="fr-FR"/>
        </w:rPr>
      </w:pPr>
      <w:r w:rsidRPr="005C7386">
        <w:rPr>
          <w:b/>
          <w:lang w:eastAsia="fr-FR"/>
        </w:rPr>
        <w:t>Règlement ONU n</w:t>
      </w:r>
      <w:r w:rsidRPr="005C7386">
        <w:rPr>
          <w:b/>
          <w:vertAlign w:val="superscript"/>
          <w:lang w:eastAsia="fr-FR"/>
        </w:rPr>
        <w:t>o</w:t>
      </w:r>
      <w:r w:rsidRPr="005C7386">
        <w:rPr>
          <w:b/>
          <w:lang w:eastAsia="fr-FR"/>
        </w:rPr>
        <w:t> 79</w:t>
      </w:r>
      <w:r w:rsidR="00EB042C">
        <w:rPr>
          <w:b/>
          <w:lang w:eastAsia="fr-FR"/>
        </w:rPr>
        <w:t> </w:t>
      </w:r>
      <w:r w:rsidRPr="005C7386">
        <w:rPr>
          <w:b/>
          <w:lang w:eastAsia="fr-FR"/>
        </w:rPr>
        <w:t>:</w:t>
      </w:r>
      <w:r w:rsidRPr="005C7386">
        <w:rPr>
          <w:b/>
          <w:lang w:eastAsia="fr-FR"/>
        </w:rPr>
        <w:br/>
        <w:t>Fonction de direction à commande automatique</w:t>
      </w:r>
    </w:p>
    <w:p w:rsidR="00C84163" w:rsidRPr="005C7386" w:rsidRDefault="00C84163" w:rsidP="009B5D89">
      <w:pPr>
        <w:pStyle w:val="HChG"/>
        <w:rPr>
          <w:lang w:eastAsia="fr-FR"/>
        </w:rPr>
      </w:pPr>
      <w:bookmarkStart w:id="0" w:name="OLE_LINK2"/>
      <w:r w:rsidRPr="005C7386">
        <w:rPr>
          <w:lang w:eastAsia="fr-FR"/>
        </w:rPr>
        <w:tab/>
      </w:r>
      <w:r w:rsidRPr="005C7386">
        <w:rPr>
          <w:lang w:eastAsia="fr-FR"/>
        </w:rPr>
        <w:tab/>
      </w:r>
      <w:bookmarkEnd w:id="0"/>
      <w:r w:rsidRPr="005C7386">
        <w:rPr>
          <w:lang w:eastAsia="fr-FR"/>
        </w:rPr>
        <w:t>Proposition d’amendements à la série 03 d’amendements au</w:t>
      </w:r>
      <w:r w:rsidR="009B5D89">
        <w:rPr>
          <w:lang w:eastAsia="fr-FR"/>
        </w:rPr>
        <w:t> </w:t>
      </w:r>
      <w:r w:rsidRPr="005C7386">
        <w:rPr>
          <w:lang w:eastAsia="fr-FR"/>
        </w:rPr>
        <w:t>Règlement ONU n</w:t>
      </w:r>
      <w:r w:rsidRPr="005C7386">
        <w:rPr>
          <w:vertAlign w:val="superscript"/>
          <w:lang w:eastAsia="fr-FR"/>
        </w:rPr>
        <w:t>o</w:t>
      </w:r>
      <w:r w:rsidRPr="005C7386">
        <w:rPr>
          <w:lang w:eastAsia="fr-FR"/>
        </w:rPr>
        <w:t> 79 (Équipement de direction des</w:t>
      </w:r>
      <w:r w:rsidR="009B5D89">
        <w:rPr>
          <w:lang w:eastAsia="fr-FR"/>
        </w:rPr>
        <w:t> </w:t>
      </w:r>
      <w:r w:rsidRPr="005C7386">
        <w:rPr>
          <w:lang w:eastAsia="fr-FR"/>
        </w:rPr>
        <w:t>véhicules)</w:t>
      </w:r>
    </w:p>
    <w:p w:rsidR="00C84163" w:rsidRPr="005C7386" w:rsidRDefault="00C84163" w:rsidP="009B5D89">
      <w:pPr>
        <w:pStyle w:val="H1G"/>
        <w:rPr>
          <w:szCs w:val="24"/>
          <w:lang w:eastAsia="fr-FR"/>
        </w:rPr>
      </w:pPr>
      <w:r w:rsidRPr="005C7386">
        <w:rPr>
          <w:lang w:eastAsia="fr-FR"/>
        </w:rPr>
        <w:tab/>
      </w:r>
      <w:r w:rsidRPr="005C7386">
        <w:rPr>
          <w:lang w:eastAsia="fr-FR"/>
        </w:rPr>
        <w:tab/>
        <w:t>Communication de l’expert de l’Association des véhicules électriques routiers européens</w:t>
      </w:r>
      <w:r w:rsidR="009A530C" w:rsidRPr="009A530C">
        <w:rPr>
          <w:rStyle w:val="Appelnotedebasdep"/>
          <w:b w:val="0"/>
          <w:sz w:val="20"/>
          <w:vertAlign w:val="baseline"/>
          <w:lang w:eastAsia="fr-FR"/>
        </w:rPr>
        <w:footnoteReference w:customMarkFollows="1" w:id="3"/>
        <w:t>**</w:t>
      </w:r>
    </w:p>
    <w:p w:rsidR="00C84163" w:rsidRDefault="00C84163" w:rsidP="009B5D89">
      <w:pPr>
        <w:pStyle w:val="SingleTxtG"/>
        <w:ind w:firstLine="567"/>
        <w:rPr>
          <w:lang w:eastAsia="fr-FR"/>
        </w:rPr>
      </w:pPr>
      <w:r w:rsidRPr="005C7386">
        <w:rPr>
          <w:lang w:eastAsia="fr-FR"/>
        </w:rPr>
        <w:t xml:space="preserve">Le texte ci-après, établi par l’expert de l’Association des véhicules électriques routiers européens (AVERE) en vue d’introduire </w:t>
      </w:r>
      <w:r>
        <w:rPr>
          <w:lang w:eastAsia="fr-FR"/>
        </w:rPr>
        <w:t xml:space="preserve">des </w:t>
      </w:r>
      <w:r w:rsidRPr="005C7386">
        <w:rPr>
          <w:lang w:eastAsia="fr-FR"/>
        </w:rPr>
        <w:t>amendement</w:t>
      </w:r>
      <w:r>
        <w:rPr>
          <w:lang w:eastAsia="fr-FR"/>
        </w:rPr>
        <w:t>s</w:t>
      </w:r>
      <w:r w:rsidRPr="005C7386">
        <w:rPr>
          <w:lang w:eastAsia="fr-FR"/>
        </w:rPr>
        <w:t xml:space="preserve"> au Règlement ONU n</w:t>
      </w:r>
      <w:r w:rsidRPr="005C7386">
        <w:rPr>
          <w:vertAlign w:val="superscript"/>
          <w:lang w:eastAsia="fr-FR"/>
        </w:rPr>
        <w:t>o</w:t>
      </w:r>
      <w:r w:rsidRPr="005C7386">
        <w:rPr>
          <w:lang w:eastAsia="fr-FR"/>
        </w:rPr>
        <w:t> 79, vise à préciser le texte dudit Règlement. Les modifications qu’il est proposé d’apporter au texte actuel du Règlement figurent en caractères gras pour les ajouts ou biffés pour les suppressions.</w:t>
      </w:r>
    </w:p>
    <w:p w:rsidR="00C84163" w:rsidRPr="005C7386" w:rsidRDefault="009A530C" w:rsidP="009A530C">
      <w:pPr>
        <w:pStyle w:val="HChG"/>
        <w:rPr>
          <w:lang w:eastAsia="fr-FR"/>
        </w:rPr>
      </w:pPr>
      <w:r>
        <w:rPr>
          <w:lang w:eastAsia="fr-FR"/>
        </w:rPr>
        <w:br w:type="page"/>
      </w:r>
      <w:r w:rsidR="00C84163" w:rsidRPr="005C7386">
        <w:rPr>
          <w:lang w:eastAsia="fr-FR"/>
        </w:rPr>
        <w:lastRenderedPageBreak/>
        <w:tab/>
        <w:t>I.</w:t>
      </w:r>
      <w:r w:rsidR="00C84163" w:rsidRPr="005C7386">
        <w:rPr>
          <w:lang w:eastAsia="fr-FR"/>
        </w:rPr>
        <w:tab/>
        <w:t>Proposition</w:t>
      </w:r>
    </w:p>
    <w:p w:rsidR="00C84163" w:rsidRPr="005C7386" w:rsidRDefault="00C84163" w:rsidP="009A530C">
      <w:pPr>
        <w:pStyle w:val="SingleTxtG"/>
        <w:rPr>
          <w:lang w:eastAsia="fr-FR"/>
        </w:rPr>
      </w:pPr>
      <w:r w:rsidRPr="009A530C">
        <w:rPr>
          <w:i/>
          <w:lang w:eastAsia="fr-FR"/>
        </w:rPr>
        <w:t>Paragraphe 5.6.4.4</w:t>
      </w:r>
      <w:r w:rsidRPr="005C7386">
        <w:rPr>
          <w:lang w:eastAsia="fr-FR"/>
        </w:rPr>
        <w:t>, lire :</w:t>
      </w:r>
    </w:p>
    <w:p w:rsidR="00C84163" w:rsidRPr="005C7386" w:rsidRDefault="00C84163" w:rsidP="009A530C">
      <w:pPr>
        <w:pStyle w:val="SingleTxtG"/>
        <w:rPr>
          <w:rFonts w:eastAsia="MS Mincho"/>
          <w:lang w:eastAsia="ja-JP"/>
        </w:rPr>
      </w:pPr>
      <w:r w:rsidRPr="005C7386">
        <w:rPr>
          <w:lang w:eastAsia="fr-FR"/>
        </w:rPr>
        <w:t>« 5.6.4.4</w:t>
      </w:r>
      <w:r w:rsidRPr="005C7386">
        <w:rPr>
          <w:lang w:eastAsia="fr-FR"/>
        </w:rPr>
        <w:tab/>
      </w:r>
      <w:r w:rsidRPr="005C7386">
        <w:t>Accélération</w:t>
      </w:r>
      <w:r w:rsidRPr="005C7386">
        <w:rPr>
          <w:rFonts w:eastAsia="MS Mincho"/>
          <w:lang w:eastAsia="ja-JP"/>
        </w:rPr>
        <w:t xml:space="preserve"> transversale</w:t>
      </w:r>
    </w:p>
    <w:p w:rsidR="00C84163" w:rsidRPr="005C7386" w:rsidRDefault="00C84163" w:rsidP="009A530C">
      <w:pPr>
        <w:pStyle w:val="SingleTxtG"/>
        <w:ind w:left="2268"/>
        <w:rPr>
          <w:rFonts w:eastAsia="MS Mincho"/>
          <w:lang w:eastAsia="ja-JP"/>
        </w:rPr>
      </w:pPr>
      <w:r w:rsidRPr="005C7386">
        <w:t>L’accélération transversale induite par le système pendant la manœuvre de changement de voie :</w:t>
      </w:r>
    </w:p>
    <w:p w:rsidR="00C84163" w:rsidRPr="005C7386" w:rsidRDefault="00C84163" w:rsidP="009A530C">
      <w:pPr>
        <w:pStyle w:val="SingleTxtG"/>
        <w:ind w:left="2268"/>
        <w:rPr>
          <w:bCs/>
          <w:lang w:eastAsia="ja-JP"/>
        </w:rPr>
      </w:pPr>
      <w:r w:rsidRPr="005C7386">
        <w:rPr>
          <w:bCs/>
          <w:lang w:eastAsia="ja-JP"/>
        </w:rPr>
        <w:t>a</w:t>
      </w:r>
      <w:r w:rsidRPr="005C7386">
        <w:t>)</w:t>
      </w:r>
      <w:r w:rsidRPr="005C7386">
        <w:rPr>
          <w:bCs/>
          <w:lang w:eastAsia="ja-JP"/>
        </w:rPr>
        <w:tab/>
      </w:r>
      <w:r w:rsidRPr="005C7386">
        <w:t>Ne</w:t>
      </w:r>
      <w:r w:rsidRPr="005C7386">
        <w:rPr>
          <w:bCs/>
          <w:lang w:eastAsia="ja-JP"/>
        </w:rPr>
        <w:t xml:space="preserve"> </w:t>
      </w:r>
      <w:r w:rsidRPr="005C7386">
        <w:t>doit</w:t>
      </w:r>
      <w:r w:rsidRPr="005C7386">
        <w:rPr>
          <w:bCs/>
          <w:lang w:eastAsia="ja-JP"/>
        </w:rPr>
        <w:t xml:space="preserve"> pas être supérieure à </w:t>
      </w:r>
      <w:r w:rsidRPr="00D179E3">
        <w:rPr>
          <w:bCs/>
          <w:strike/>
          <w:lang w:eastAsia="ja-JP"/>
        </w:rPr>
        <w:t>1</w:t>
      </w:r>
      <w:r w:rsidRPr="00D179E3">
        <w:rPr>
          <w:bCs/>
          <w:lang w:eastAsia="ja-JP"/>
        </w:rPr>
        <w:t xml:space="preserve"> </w:t>
      </w:r>
      <w:r w:rsidRPr="005C7386">
        <w:rPr>
          <w:b/>
          <w:bCs/>
          <w:lang w:eastAsia="ja-JP"/>
        </w:rPr>
        <w:t>1,5</w:t>
      </w:r>
      <w:r w:rsidRPr="005C7386">
        <w:rPr>
          <w:bCs/>
          <w:lang w:eastAsia="ja-JP"/>
        </w:rPr>
        <w:t> m/s</w:t>
      </w:r>
      <w:r w:rsidRPr="005C7386">
        <w:rPr>
          <w:bCs/>
          <w:vertAlign w:val="superscript"/>
          <w:lang w:eastAsia="ja-JP"/>
        </w:rPr>
        <w:t>2</w:t>
      </w:r>
      <w:r w:rsidRPr="005C7386">
        <w:rPr>
          <w:bCs/>
          <w:lang w:eastAsia="ja-JP"/>
        </w:rPr>
        <w:t xml:space="preserve">, sans compter </w:t>
      </w:r>
      <w:r w:rsidRPr="009A530C">
        <w:t>l’accélération</w:t>
      </w:r>
      <w:r w:rsidRPr="005C7386">
        <w:rPr>
          <w:bCs/>
          <w:lang w:eastAsia="ja-JP"/>
        </w:rPr>
        <w:t xml:space="preserve"> transversale générée par la courbure de la voie ;</w:t>
      </w:r>
    </w:p>
    <w:p w:rsidR="00C84163" w:rsidRPr="005C7386" w:rsidRDefault="00C84163" w:rsidP="009A530C">
      <w:pPr>
        <w:pStyle w:val="SingleTxtG"/>
        <w:ind w:left="2268"/>
        <w:rPr>
          <w:bCs/>
          <w:lang w:eastAsia="ja-JP"/>
        </w:rPr>
      </w:pPr>
      <w:r w:rsidRPr="005C7386">
        <w:rPr>
          <w:bCs/>
          <w:lang w:eastAsia="ja-JP"/>
        </w:rPr>
        <w:t>b)</w:t>
      </w:r>
      <w:r w:rsidRPr="005C7386">
        <w:rPr>
          <w:bCs/>
          <w:lang w:eastAsia="ja-JP"/>
        </w:rPr>
        <w:tab/>
        <w:t xml:space="preserve">Ne doit pas porter l’accélération transversale totale du </w:t>
      </w:r>
      <w:r w:rsidRPr="009A530C">
        <w:t>véhicule</w:t>
      </w:r>
      <w:r w:rsidRPr="005C7386">
        <w:rPr>
          <w:bCs/>
          <w:lang w:eastAsia="ja-JP"/>
        </w:rPr>
        <w:t xml:space="preserve"> au</w:t>
      </w:r>
      <w:r w:rsidRPr="005C7386">
        <w:rPr>
          <w:bCs/>
          <w:lang w:eastAsia="ja-JP"/>
        </w:rPr>
        <w:noBreakHyphen/>
        <w:t>delà des valeurs maximales indiquées dans les tableaux du</w:t>
      </w:r>
      <w:r w:rsidR="00D179E3">
        <w:rPr>
          <w:bCs/>
          <w:lang w:eastAsia="ja-JP"/>
        </w:rPr>
        <w:t xml:space="preserve"> paragraphe 5.6.2.1.3 ci-dessus ;</w:t>
      </w:r>
    </w:p>
    <w:p w:rsidR="00C84163" w:rsidRPr="005C7386" w:rsidRDefault="00C84163" w:rsidP="009A530C">
      <w:pPr>
        <w:pStyle w:val="SingleTxtG"/>
        <w:ind w:left="2268"/>
        <w:rPr>
          <w:lang w:eastAsia="fr-FR"/>
        </w:rPr>
      </w:pPr>
      <w:r w:rsidRPr="005C7386">
        <w:rPr>
          <w:bCs/>
          <w:lang w:eastAsia="ja-JP"/>
        </w:rPr>
        <w:t>c)</w:t>
      </w:r>
      <w:r w:rsidRPr="005C7386">
        <w:rPr>
          <w:bCs/>
          <w:lang w:eastAsia="ja-JP"/>
        </w:rPr>
        <w:tab/>
      </w:r>
      <w:r w:rsidRPr="005C7386">
        <w:rPr>
          <w:lang w:eastAsia="fr-FR"/>
        </w:rPr>
        <w:t>La moyenne mobile, sur une durée d’une demi-seconde, de l’à-coup latéral produit par le système ne doit pas être supérieure à 5 m/s</w:t>
      </w:r>
      <w:r w:rsidRPr="005C7386">
        <w:rPr>
          <w:vertAlign w:val="superscript"/>
          <w:lang w:eastAsia="fr-FR"/>
        </w:rPr>
        <w:t>3</w:t>
      </w:r>
      <w:r w:rsidRPr="005C7386">
        <w:rPr>
          <w:lang w:eastAsia="fr-FR"/>
        </w:rPr>
        <w:t>. ».</w:t>
      </w:r>
    </w:p>
    <w:p w:rsidR="00C84163" w:rsidRPr="005C7386" w:rsidRDefault="00C84163" w:rsidP="009A530C">
      <w:pPr>
        <w:pStyle w:val="SingleTxtG"/>
        <w:rPr>
          <w:rFonts w:asciiTheme="majorBidi" w:hAnsiTheme="majorBidi" w:cstheme="majorBidi"/>
          <w:lang w:eastAsia="fr-FR"/>
        </w:rPr>
      </w:pPr>
      <w:r w:rsidRPr="005C7386">
        <w:rPr>
          <w:rFonts w:asciiTheme="majorBidi" w:hAnsiTheme="majorBidi" w:cstheme="majorBidi"/>
          <w:i/>
          <w:lang w:eastAsia="fr-FR"/>
        </w:rPr>
        <w:t>Paragraphe 5.6.4.6.4</w:t>
      </w:r>
      <w:r w:rsidRPr="005C7386">
        <w:rPr>
          <w:rFonts w:asciiTheme="majorBidi" w:hAnsiTheme="majorBidi" w:cstheme="majorBidi"/>
          <w:lang w:eastAsia="fr-FR"/>
        </w:rPr>
        <w:t>,</w:t>
      </w:r>
      <w:r w:rsidRPr="005C7386">
        <w:rPr>
          <w:rFonts w:asciiTheme="majorBidi" w:hAnsiTheme="majorBidi" w:cstheme="majorBidi"/>
          <w:i/>
          <w:lang w:eastAsia="fr-FR"/>
        </w:rPr>
        <w:t xml:space="preserve"> </w:t>
      </w:r>
      <w:r w:rsidRPr="009A530C">
        <w:t>lire</w:t>
      </w:r>
      <w:r w:rsidRPr="005C7386">
        <w:rPr>
          <w:rFonts w:asciiTheme="majorBidi" w:hAnsiTheme="majorBidi" w:cstheme="majorBidi"/>
          <w:lang w:eastAsia="fr-FR"/>
        </w:rPr>
        <w:t> :</w:t>
      </w:r>
    </w:p>
    <w:p w:rsidR="00C84163" w:rsidRPr="005C7386" w:rsidRDefault="00C84163" w:rsidP="009A530C">
      <w:pPr>
        <w:pStyle w:val="SingleTxtG"/>
        <w:ind w:left="2268" w:hanging="1134"/>
      </w:pPr>
      <w:r w:rsidRPr="005C7386">
        <w:rPr>
          <w:lang w:eastAsia="fr-FR"/>
        </w:rPr>
        <w:t>« 5.6.4.6.4</w:t>
      </w:r>
      <w:r w:rsidRPr="005C7386">
        <w:rPr>
          <w:lang w:eastAsia="fr-FR"/>
        </w:rPr>
        <w:tab/>
      </w:r>
      <w:r w:rsidRPr="005C7386">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rsidR="00C84163" w:rsidRPr="005C7386" w:rsidRDefault="00C84163" w:rsidP="009A530C">
      <w:pPr>
        <w:pStyle w:val="SingleTxtG"/>
        <w:ind w:left="2268"/>
        <w:rPr>
          <w:lang w:eastAsia="fr-FR"/>
        </w:rPr>
      </w:pPr>
      <w:r w:rsidRPr="005C7386">
        <w:t>La manœuvre de changement de voie doit débuter dans un délai compris entre 3 s et 5 s après l’action délibérée du conducteur décrite au paragraphe 5.6.4.6.2 ci-dessus.</w:t>
      </w:r>
    </w:p>
    <w:p w:rsidR="00C84163" w:rsidRPr="005C7386" w:rsidRDefault="00C84163" w:rsidP="009A530C">
      <w:pPr>
        <w:pStyle w:val="SingleTxtG"/>
        <w:ind w:left="2268"/>
        <w:rPr>
          <w:b/>
          <w:bCs/>
          <w:lang w:eastAsia="fr-FR"/>
        </w:rPr>
      </w:pPr>
      <w:r w:rsidRPr="005C7386">
        <w:rPr>
          <w:b/>
          <w:bCs/>
          <w:lang w:eastAsia="fr-FR"/>
        </w:rPr>
        <w:t xml:space="preserve">Si le véhicule a la capacité de s’aligner dans un espace libre suffisant sur la voie de destination conformément aux prescriptions du 5.6.4.8.1 sans risquer </w:t>
      </w:r>
      <w:r>
        <w:rPr>
          <w:b/>
          <w:bCs/>
          <w:lang w:eastAsia="fr-FR"/>
        </w:rPr>
        <w:t>de provoquer</w:t>
      </w:r>
      <w:r w:rsidRPr="005C7386">
        <w:rPr>
          <w:b/>
          <w:bCs/>
          <w:lang w:eastAsia="fr-FR"/>
        </w:rPr>
        <w:t xml:space="preserve"> une situation critique au sens du 5.6.4.7 :</w:t>
      </w:r>
    </w:p>
    <w:p w:rsidR="00C84163" w:rsidRPr="005C7386" w:rsidRDefault="00C84163" w:rsidP="009A530C">
      <w:pPr>
        <w:pStyle w:val="SingleTxtG"/>
        <w:ind w:left="2268"/>
        <w:rPr>
          <w:b/>
          <w:bCs/>
          <w:lang w:eastAsia="fr-FR"/>
        </w:rPr>
      </w:pPr>
      <w:r w:rsidRPr="005C7386">
        <w:rPr>
          <w:b/>
          <w:bCs/>
          <w:lang w:eastAsia="fr-FR"/>
        </w:rPr>
        <w:t>a)</w:t>
      </w:r>
      <w:r w:rsidRPr="005C7386">
        <w:rPr>
          <w:b/>
          <w:bCs/>
          <w:lang w:eastAsia="fr-FR"/>
        </w:rPr>
        <w:tab/>
      </w:r>
      <w:r w:rsidRPr="009F3D5C">
        <w:rPr>
          <w:b/>
          <w:bCs/>
          <w:lang w:eastAsia="fr-FR"/>
        </w:rPr>
        <w:t xml:space="preserve">La manœuvre de changement de voie doit débuter dans un délai </w:t>
      </w:r>
      <w:r w:rsidRPr="005C7386">
        <w:rPr>
          <w:b/>
          <w:bCs/>
          <w:lang w:eastAsia="fr-FR"/>
        </w:rPr>
        <w:t>minimum d’1,0 s suivant l’action délibérée du conducteur si le véhicule ne se trouve pas dans une situation critique (au sens du 5.6.4.7) ;</w:t>
      </w:r>
    </w:p>
    <w:p w:rsidR="00C84163" w:rsidRPr="005C7386" w:rsidRDefault="00C84163" w:rsidP="009A530C">
      <w:pPr>
        <w:pStyle w:val="SingleTxtG"/>
        <w:ind w:left="2268"/>
        <w:rPr>
          <w:b/>
          <w:bCs/>
          <w:lang w:eastAsia="fr-FR"/>
        </w:rPr>
      </w:pPr>
      <w:r w:rsidRPr="005C7386">
        <w:rPr>
          <w:b/>
          <w:bCs/>
          <w:lang w:eastAsia="fr-FR"/>
        </w:rPr>
        <w:t>b)</w:t>
      </w:r>
      <w:r w:rsidRPr="005C7386">
        <w:rPr>
          <w:b/>
          <w:bCs/>
          <w:lang w:eastAsia="fr-FR"/>
        </w:rPr>
        <w:tab/>
      </w:r>
      <w:r w:rsidRPr="009F3D5C">
        <w:rPr>
          <w:b/>
          <w:bCs/>
          <w:lang w:eastAsia="fr-FR"/>
        </w:rPr>
        <w:t xml:space="preserve">La manœuvre de changement de voie doit débuter dans un délai </w:t>
      </w:r>
      <w:r w:rsidRPr="005C7386">
        <w:rPr>
          <w:b/>
          <w:bCs/>
          <w:lang w:eastAsia="fr-FR"/>
        </w:rPr>
        <w:t>maximum de [20,0] s ;</w:t>
      </w:r>
    </w:p>
    <w:p w:rsidR="00C84163" w:rsidRPr="005C7386" w:rsidRDefault="00C84163" w:rsidP="009A530C">
      <w:pPr>
        <w:pStyle w:val="SingleTxtG"/>
        <w:ind w:left="2268"/>
        <w:rPr>
          <w:lang w:eastAsia="fr-FR"/>
        </w:rPr>
      </w:pPr>
      <w:r w:rsidRPr="005C7386">
        <w:rPr>
          <w:b/>
          <w:bCs/>
          <w:lang w:eastAsia="fr-FR"/>
        </w:rPr>
        <w:t xml:space="preserve">Si l’ACSF n’a pas </w:t>
      </w:r>
      <w:r>
        <w:rPr>
          <w:b/>
          <w:bCs/>
          <w:lang w:eastAsia="fr-FR"/>
        </w:rPr>
        <w:t xml:space="preserve">engagé </w:t>
      </w:r>
      <w:r w:rsidRPr="005C7386">
        <w:rPr>
          <w:b/>
          <w:bCs/>
          <w:lang w:eastAsia="fr-FR"/>
        </w:rPr>
        <w:t>la manœuvre de changement de voie dans les 10,0 s suivant l’action délibérée du conducteur,</w:t>
      </w:r>
      <w:r>
        <w:rPr>
          <w:b/>
          <w:bCs/>
          <w:lang w:eastAsia="fr-FR"/>
        </w:rPr>
        <w:t xml:space="preserve"> celui-ci est informé par un signal acoustique ou visuel</w:t>
      </w:r>
      <w:r w:rsidRPr="005C7386">
        <w:rPr>
          <w:b/>
          <w:bCs/>
          <w:lang w:eastAsia="fr-FR"/>
        </w:rPr>
        <w:t xml:space="preserve"> que la manœuvre est sur le point de débuter.</w:t>
      </w:r>
      <w:r w:rsidRPr="005C7386">
        <w:rPr>
          <w:lang w:eastAsia="fr-FR"/>
        </w:rPr>
        <w:t> ».</w:t>
      </w:r>
    </w:p>
    <w:p w:rsidR="00C84163" w:rsidRPr="005C7386" w:rsidRDefault="00C84163" w:rsidP="0048397D">
      <w:pPr>
        <w:pStyle w:val="SingleTxtG"/>
        <w:rPr>
          <w:rFonts w:asciiTheme="majorBidi" w:hAnsiTheme="majorBidi" w:cstheme="majorBidi"/>
          <w:lang w:eastAsia="fr-FR"/>
        </w:rPr>
      </w:pPr>
      <w:r w:rsidRPr="005C7386">
        <w:rPr>
          <w:rFonts w:asciiTheme="majorBidi" w:hAnsiTheme="majorBidi" w:cstheme="majorBidi"/>
          <w:i/>
          <w:iCs/>
          <w:lang w:eastAsia="fr-FR"/>
        </w:rPr>
        <w:t xml:space="preserve">Annexe 8, </w:t>
      </w:r>
      <w:r w:rsidRPr="0048397D">
        <w:rPr>
          <w:rFonts w:asciiTheme="majorBidi" w:hAnsiTheme="majorBidi" w:cstheme="majorBidi"/>
          <w:i/>
          <w:lang w:eastAsia="fr-FR"/>
        </w:rPr>
        <w:t>paragraphe</w:t>
      </w:r>
      <w:r w:rsidRPr="005C7386">
        <w:rPr>
          <w:rFonts w:asciiTheme="majorBidi" w:hAnsiTheme="majorBidi" w:cstheme="majorBidi"/>
          <w:i/>
          <w:iCs/>
          <w:lang w:eastAsia="fr-FR"/>
        </w:rPr>
        <w:t xml:space="preserve"> 3.5.1.2</w:t>
      </w:r>
      <w:r w:rsidRPr="005C7386">
        <w:rPr>
          <w:rFonts w:asciiTheme="majorBidi" w:hAnsiTheme="majorBidi" w:cstheme="majorBidi"/>
          <w:iCs/>
          <w:lang w:eastAsia="fr-FR"/>
        </w:rPr>
        <w:t>,</w:t>
      </w:r>
      <w:r w:rsidRPr="005C7386">
        <w:rPr>
          <w:rFonts w:asciiTheme="majorBidi" w:hAnsiTheme="majorBidi" w:cstheme="majorBidi"/>
          <w:i/>
          <w:iCs/>
          <w:lang w:eastAsia="fr-FR"/>
        </w:rPr>
        <w:t xml:space="preserve"> </w:t>
      </w:r>
      <w:r w:rsidRPr="005C7386">
        <w:rPr>
          <w:rFonts w:asciiTheme="majorBidi" w:hAnsiTheme="majorBidi" w:cstheme="majorBidi"/>
          <w:lang w:eastAsia="fr-FR"/>
        </w:rPr>
        <w:t>lire :</w:t>
      </w:r>
    </w:p>
    <w:p w:rsidR="00C84163" w:rsidRPr="005C7386" w:rsidRDefault="00C84163" w:rsidP="0048397D">
      <w:pPr>
        <w:pStyle w:val="SingleTxtG"/>
        <w:ind w:left="2268" w:hanging="1134"/>
      </w:pPr>
      <w:r w:rsidRPr="005C7386">
        <w:rPr>
          <w:rFonts w:asciiTheme="majorBidi" w:hAnsiTheme="majorBidi" w:cstheme="majorBidi"/>
          <w:lang w:eastAsia="fr-FR"/>
        </w:rPr>
        <w:t>« 3.5.1.2</w:t>
      </w:r>
      <w:r w:rsidRPr="005C7386">
        <w:rPr>
          <w:rFonts w:asciiTheme="majorBidi" w:hAnsiTheme="majorBidi" w:cstheme="majorBidi"/>
          <w:lang w:eastAsia="fr-FR"/>
        </w:rPr>
        <w:tab/>
      </w:r>
      <w:r w:rsidRPr="005C7386">
        <w:t>L’essai est satisfaisant si :</w:t>
      </w:r>
    </w:p>
    <w:p w:rsidR="00C84163" w:rsidRPr="005C7386" w:rsidRDefault="00C84163" w:rsidP="0048397D">
      <w:pPr>
        <w:pStyle w:val="SingleTxtG"/>
        <w:ind w:left="2268"/>
      </w:pPr>
      <w:r w:rsidRPr="005C7386">
        <w:t>a)</w:t>
      </w:r>
      <w:r w:rsidRPr="005C7386">
        <w:tab/>
        <w:t xml:space="preserve">Le déplacement latéral en </w:t>
      </w:r>
      <w:r w:rsidRPr="0048397D">
        <w:rPr>
          <w:bCs/>
          <w:lang w:eastAsia="ja-JP"/>
        </w:rPr>
        <w:t>direction</w:t>
      </w:r>
      <w:r w:rsidRPr="005C7386">
        <w:t xml:space="preserve"> des marques ne commence pas dans un délai </w:t>
      </w:r>
      <w:r w:rsidRPr="005C7386">
        <w:rPr>
          <w:lang w:eastAsia="ja-JP"/>
        </w:rPr>
        <w:t>inférieur</w:t>
      </w:r>
      <w:r w:rsidRPr="005C7386">
        <w:t xml:space="preserve"> à 1 s après que la procédure de changement de voie a été engagée ;</w:t>
      </w:r>
    </w:p>
    <w:p w:rsidR="00C84163" w:rsidRPr="005C7386" w:rsidRDefault="00C84163" w:rsidP="0048397D">
      <w:pPr>
        <w:pStyle w:val="SingleTxtG"/>
        <w:ind w:left="2268"/>
      </w:pPr>
      <w:r w:rsidRPr="005C7386">
        <w:t>b)</w:t>
      </w:r>
      <w:r w:rsidRPr="005C7386">
        <w:tab/>
        <w:t xml:space="preserve">Le déplacement latéral en </w:t>
      </w:r>
      <w:r w:rsidRPr="0048397D">
        <w:rPr>
          <w:bCs/>
          <w:lang w:eastAsia="ja-JP"/>
        </w:rPr>
        <w:t>direction</w:t>
      </w:r>
      <w:r w:rsidRPr="005C7386">
        <w:t xml:space="preserve"> des marques routières et le déplacement latéral </w:t>
      </w:r>
      <w:r w:rsidRPr="005C7386">
        <w:rPr>
          <w:lang w:eastAsia="ja-JP"/>
        </w:rPr>
        <w:t>nécessaire</w:t>
      </w:r>
      <w:r w:rsidRPr="005C7386">
        <w:t xml:space="preserve"> pour achever la manœuvre de changement de voie s’effectuent en un seul mouvement continu ;</w:t>
      </w:r>
    </w:p>
    <w:p w:rsidR="00C84163" w:rsidRPr="005C7386" w:rsidRDefault="00C84163" w:rsidP="0048397D">
      <w:pPr>
        <w:pStyle w:val="SingleTxtG"/>
        <w:ind w:left="2268"/>
      </w:pPr>
      <w:r w:rsidRPr="005C7386">
        <w:t>c)</w:t>
      </w:r>
      <w:r w:rsidRPr="005C7386">
        <w:tab/>
      </w:r>
      <w:r w:rsidRPr="005C7386">
        <w:rPr>
          <w:lang w:eastAsia="ja-JP"/>
        </w:rPr>
        <w:t>L’accélération</w:t>
      </w:r>
      <w:r w:rsidRPr="005C7386">
        <w:t xml:space="preserve"> transversale </w:t>
      </w:r>
      <w:r w:rsidRPr="0048397D">
        <w:rPr>
          <w:bCs/>
          <w:lang w:eastAsia="ja-JP"/>
        </w:rPr>
        <w:t>enregistrée</w:t>
      </w:r>
      <w:r w:rsidRPr="005C7386">
        <w:t xml:space="preserve"> ne dépasse pas </w:t>
      </w:r>
      <w:r w:rsidRPr="00D179E3">
        <w:rPr>
          <w:bCs/>
          <w:strike/>
          <w:lang w:eastAsia="ja-JP"/>
        </w:rPr>
        <w:t>1</w:t>
      </w:r>
      <w:r w:rsidRPr="00D179E3">
        <w:rPr>
          <w:bCs/>
          <w:lang w:eastAsia="ja-JP"/>
        </w:rPr>
        <w:t xml:space="preserve"> </w:t>
      </w:r>
      <w:r w:rsidRPr="005C7386">
        <w:rPr>
          <w:b/>
          <w:bCs/>
          <w:lang w:eastAsia="ja-JP"/>
        </w:rPr>
        <w:t>1,5</w:t>
      </w:r>
      <w:r w:rsidRPr="005C7386">
        <w:rPr>
          <w:bCs/>
          <w:lang w:eastAsia="ja-JP"/>
        </w:rPr>
        <w:t> </w:t>
      </w:r>
      <w:r w:rsidRPr="005C7386">
        <w:t>m/s</w:t>
      </w:r>
      <w:r w:rsidRPr="005C7386">
        <w:rPr>
          <w:vertAlign w:val="superscript"/>
        </w:rPr>
        <w:t>2</w:t>
      </w:r>
      <w:r w:rsidRPr="005C7386">
        <w:t> ;</w:t>
      </w:r>
    </w:p>
    <w:p w:rsidR="00C84163" w:rsidRPr="005C7386" w:rsidRDefault="00C84163" w:rsidP="0048397D">
      <w:pPr>
        <w:pStyle w:val="SingleTxtG"/>
        <w:ind w:left="2268"/>
      </w:pPr>
      <w:r w:rsidRPr="005C7386">
        <w:t>d)</w:t>
      </w:r>
      <w:r w:rsidRPr="005C7386">
        <w:tab/>
        <w:t xml:space="preserve">La </w:t>
      </w:r>
      <w:r w:rsidRPr="005C7386">
        <w:rPr>
          <w:lang w:eastAsia="ja-JP"/>
        </w:rPr>
        <w:t>moyenne</w:t>
      </w:r>
      <w:r w:rsidRPr="005C7386">
        <w:t xml:space="preserve"> mobile, sur une </w:t>
      </w:r>
      <w:r w:rsidRPr="0048397D">
        <w:rPr>
          <w:bCs/>
          <w:lang w:eastAsia="ja-JP"/>
        </w:rPr>
        <w:t>durée</w:t>
      </w:r>
      <w:r w:rsidRPr="005C7386">
        <w:t xml:space="preserve"> d’une demi-seconde, de l’à-coup latéral, ne dépasse pas 5 m/s</w:t>
      </w:r>
      <w:r w:rsidRPr="005C7386">
        <w:rPr>
          <w:vertAlign w:val="superscript"/>
        </w:rPr>
        <w:t>3</w:t>
      </w:r>
      <w:r w:rsidRPr="005C7386">
        <w:t> ;</w:t>
      </w:r>
    </w:p>
    <w:p w:rsidR="00C84163" w:rsidRPr="005C7386" w:rsidRDefault="00C84163" w:rsidP="0048397D">
      <w:pPr>
        <w:pStyle w:val="SingleTxtG"/>
        <w:ind w:left="2268"/>
      </w:pPr>
      <w:r w:rsidRPr="005C7386">
        <w:t>e)</w:t>
      </w:r>
      <w:r w:rsidRPr="005C7386">
        <w:tab/>
        <w:t xml:space="preserve">Le temps mesuré entre le début de la procédure de changement de voie et le début de la </w:t>
      </w:r>
      <w:r w:rsidRPr="005C7386">
        <w:rPr>
          <w:lang w:eastAsia="ja-JP"/>
        </w:rPr>
        <w:t>manœuvre</w:t>
      </w:r>
      <w:r w:rsidRPr="005C7386">
        <w:t xml:space="preserve"> de changement de voie n’est pas inférieur à 3 s et ne dépasse pas 5 s</w:t>
      </w:r>
      <w:r w:rsidRPr="005C7386">
        <w:rPr>
          <w:b/>
          <w:bCs/>
          <w:lang w:eastAsia="fr-FR"/>
        </w:rPr>
        <w:t xml:space="preserve">, </w:t>
      </w:r>
      <w:r w:rsidRPr="005C7386">
        <w:rPr>
          <w:b/>
          <w:bCs/>
        </w:rPr>
        <w:t xml:space="preserve">ou 20,0 s au maximum si le système </w:t>
      </w:r>
      <w:r w:rsidRPr="005C7386">
        <w:rPr>
          <w:b/>
          <w:bCs/>
          <w:lang w:eastAsia="fr-FR"/>
        </w:rPr>
        <w:t xml:space="preserve">a la capacité de s’aligner dans un espace libre suffisant </w:t>
      </w:r>
      <w:r w:rsidRPr="005C7386">
        <w:rPr>
          <w:b/>
          <w:bCs/>
        </w:rPr>
        <w:t xml:space="preserve">et </w:t>
      </w:r>
      <w:r>
        <w:rPr>
          <w:b/>
          <w:bCs/>
        </w:rPr>
        <w:t>émet un signal à l’intention du</w:t>
      </w:r>
      <w:r w:rsidRPr="005C7386">
        <w:rPr>
          <w:b/>
          <w:bCs/>
        </w:rPr>
        <w:t xml:space="preserve"> conducteur après un délai de 10,0 s conformément aux prescriptions du 5.6.4.6.4</w:t>
      </w:r>
      <w:r w:rsidRPr="005C7386">
        <w:t> ;</w:t>
      </w:r>
    </w:p>
    <w:p w:rsidR="00C84163" w:rsidRPr="005C7386" w:rsidRDefault="00C84163" w:rsidP="0048397D">
      <w:pPr>
        <w:pStyle w:val="SingleTxtG"/>
        <w:ind w:left="2268"/>
      </w:pPr>
      <w:r w:rsidRPr="005C7386">
        <w:t>f)</w:t>
      </w:r>
      <w:r w:rsidRPr="005C7386">
        <w:tab/>
        <w:t xml:space="preserve">Le </w:t>
      </w:r>
      <w:r w:rsidRPr="005C7386">
        <w:rPr>
          <w:lang w:eastAsia="ja-JP"/>
        </w:rPr>
        <w:t>système</w:t>
      </w:r>
      <w:r w:rsidRPr="005C7386">
        <w:t xml:space="preserve"> indique au conducteur que la </w:t>
      </w:r>
      <w:r w:rsidRPr="0048397D">
        <w:rPr>
          <w:bCs/>
          <w:lang w:eastAsia="ja-JP"/>
        </w:rPr>
        <w:t>procédure</w:t>
      </w:r>
      <w:r w:rsidRPr="005C7386">
        <w:t xml:space="preserve"> de changement de voie est en cours ;</w:t>
      </w:r>
    </w:p>
    <w:p w:rsidR="00C84163" w:rsidRPr="005C7386" w:rsidRDefault="00C84163" w:rsidP="0048397D">
      <w:pPr>
        <w:pStyle w:val="SingleTxtG"/>
        <w:ind w:left="2268"/>
      </w:pPr>
      <w:r w:rsidRPr="005C7386">
        <w:t>g)</w:t>
      </w:r>
      <w:r w:rsidRPr="005C7386">
        <w:tab/>
        <w:t xml:space="preserve">La </w:t>
      </w:r>
      <w:r w:rsidRPr="005C7386">
        <w:rPr>
          <w:lang w:eastAsia="ja-JP"/>
        </w:rPr>
        <w:t>manœuvre</w:t>
      </w:r>
      <w:r w:rsidRPr="005C7386">
        <w:t xml:space="preserve"> de changement de voie s’exécute en moins de 5 s pour les véhicules des catégories M</w:t>
      </w:r>
      <w:r w:rsidRPr="005C7386">
        <w:rPr>
          <w:vertAlign w:val="subscript"/>
        </w:rPr>
        <w:t>1</w:t>
      </w:r>
      <w:r w:rsidRPr="005C7386">
        <w:t xml:space="preserve"> et N</w:t>
      </w:r>
      <w:r w:rsidRPr="005C7386">
        <w:rPr>
          <w:vertAlign w:val="subscript"/>
        </w:rPr>
        <w:t>1</w:t>
      </w:r>
      <w:r w:rsidRPr="005C7386">
        <w:t xml:space="preserve"> et en moins de 10,0 s pour les véhicules des catégories M</w:t>
      </w:r>
      <w:r w:rsidRPr="005C7386">
        <w:rPr>
          <w:vertAlign w:val="subscript"/>
        </w:rPr>
        <w:t>2</w:t>
      </w:r>
      <w:r w:rsidRPr="005C7386">
        <w:t>, M</w:t>
      </w:r>
      <w:r w:rsidRPr="005C7386">
        <w:rPr>
          <w:vertAlign w:val="subscript"/>
        </w:rPr>
        <w:t>3</w:t>
      </w:r>
      <w:r w:rsidRPr="005C7386">
        <w:t>, N</w:t>
      </w:r>
      <w:r w:rsidRPr="005C7386">
        <w:rPr>
          <w:vertAlign w:val="subscript"/>
        </w:rPr>
        <w:t>2</w:t>
      </w:r>
      <w:r w:rsidRPr="005C7386">
        <w:t xml:space="preserve"> et N</w:t>
      </w:r>
      <w:r w:rsidRPr="005C7386">
        <w:rPr>
          <w:vertAlign w:val="subscript"/>
        </w:rPr>
        <w:t>3</w:t>
      </w:r>
      <w:r w:rsidRPr="005C7386">
        <w:t> ;</w:t>
      </w:r>
    </w:p>
    <w:p w:rsidR="00C84163" w:rsidRPr="005C7386" w:rsidRDefault="00C84163" w:rsidP="0048397D">
      <w:pPr>
        <w:pStyle w:val="SingleTxtG"/>
        <w:ind w:left="2268"/>
      </w:pPr>
      <w:r w:rsidRPr="005C7386">
        <w:t>h)</w:t>
      </w:r>
      <w:r w:rsidRPr="005C7386">
        <w:tab/>
      </w:r>
      <w:r w:rsidRPr="005C7386">
        <w:rPr>
          <w:lang w:eastAsia="ja-JP"/>
        </w:rPr>
        <w:t>La CSF</w:t>
      </w:r>
      <w:r w:rsidRPr="005C7386">
        <w:t xml:space="preserve"> de catégorie B1 est automatiquement réactivé</w:t>
      </w:r>
      <w:r>
        <w:t>e</w:t>
      </w:r>
      <w:r w:rsidRPr="005C7386">
        <w:t xml:space="preserve"> après la fin de la manœuvre de changement de voie ;</w:t>
      </w:r>
    </w:p>
    <w:p w:rsidR="00C84163" w:rsidRPr="005C7386" w:rsidRDefault="00C84163" w:rsidP="0048397D">
      <w:pPr>
        <w:pStyle w:val="SingleTxtG"/>
        <w:ind w:left="2268"/>
        <w:rPr>
          <w:lang w:eastAsia="fr-FR"/>
        </w:rPr>
      </w:pPr>
      <w:r w:rsidRPr="005C7386">
        <w:t>i)</w:t>
      </w:r>
      <w:r w:rsidRPr="005C7386">
        <w:tab/>
      </w:r>
      <w:r w:rsidRPr="005C7386">
        <w:rPr>
          <w:lang w:eastAsia="ja-JP"/>
        </w:rPr>
        <w:t>L’indicateur</w:t>
      </w:r>
      <w:r w:rsidRPr="005C7386">
        <w:t xml:space="preserve"> de direction n’est pas </w:t>
      </w:r>
      <w:r w:rsidRPr="0048397D">
        <w:rPr>
          <w:bCs/>
          <w:lang w:eastAsia="ja-JP"/>
        </w:rPr>
        <w:t>désactivé</w:t>
      </w:r>
      <w:r w:rsidRPr="005C7386">
        <w:t xml:space="preserve"> avant la fin de la manœuvre de changement de voie et cette désactivation n’intervient pas au</w:t>
      </w:r>
      <w:r w:rsidR="00EB042C">
        <w:noBreakHyphen/>
      </w:r>
      <w:r w:rsidRPr="005C7386">
        <w:t>delà d’un délai de 0,5 s après la reprise de l’ACSF de catégorie B1.</w:t>
      </w:r>
      <w:r w:rsidRPr="005C7386">
        <w:rPr>
          <w:lang w:eastAsia="fr-FR"/>
        </w:rPr>
        <w:t> ».</w:t>
      </w:r>
    </w:p>
    <w:p w:rsidR="00C84163" w:rsidRPr="005C7386" w:rsidRDefault="00C84163" w:rsidP="0048397D">
      <w:pPr>
        <w:pStyle w:val="SingleTxtG"/>
        <w:rPr>
          <w:rFonts w:asciiTheme="majorBidi" w:hAnsiTheme="majorBidi" w:cstheme="majorBidi"/>
          <w:lang w:eastAsia="fr-FR"/>
        </w:rPr>
      </w:pPr>
      <w:r w:rsidRPr="005C7386">
        <w:rPr>
          <w:rFonts w:asciiTheme="majorBidi" w:hAnsiTheme="majorBidi" w:cstheme="majorBidi"/>
          <w:i/>
          <w:lang w:eastAsia="fr-FR"/>
        </w:rPr>
        <w:t>Paragraphe 5.6.4.6.8.1</w:t>
      </w:r>
      <w:r w:rsidRPr="005C7386">
        <w:rPr>
          <w:rFonts w:asciiTheme="majorBidi" w:hAnsiTheme="majorBidi" w:cstheme="majorBidi"/>
          <w:lang w:eastAsia="fr-FR"/>
        </w:rPr>
        <w:t>,</w:t>
      </w:r>
      <w:r w:rsidRPr="005C7386">
        <w:rPr>
          <w:rFonts w:asciiTheme="majorBidi" w:hAnsiTheme="majorBidi" w:cstheme="majorBidi"/>
          <w:i/>
          <w:lang w:eastAsia="fr-FR"/>
        </w:rPr>
        <w:t xml:space="preserve"> </w:t>
      </w:r>
      <w:r w:rsidRPr="005C7386">
        <w:rPr>
          <w:rFonts w:asciiTheme="majorBidi" w:hAnsiTheme="majorBidi" w:cstheme="majorBidi"/>
          <w:lang w:eastAsia="fr-FR"/>
        </w:rPr>
        <w:t>lire :</w:t>
      </w:r>
    </w:p>
    <w:p w:rsidR="00C84163" w:rsidRPr="005C7386" w:rsidRDefault="00C84163" w:rsidP="0048397D">
      <w:pPr>
        <w:pStyle w:val="SingleTxtG"/>
        <w:ind w:left="2268" w:hanging="1134"/>
      </w:pPr>
      <w:r w:rsidRPr="005C7386">
        <w:rPr>
          <w:lang w:eastAsia="fr-FR"/>
        </w:rPr>
        <w:t>« 5.6.4.6.8.1</w:t>
      </w:r>
      <w:r w:rsidRPr="005C7386">
        <w:rPr>
          <w:lang w:eastAsia="fr-FR"/>
        </w:rPr>
        <w:tab/>
      </w:r>
      <w:r w:rsidRPr="005C7386">
        <w:t xml:space="preserve">La procédure de changement de voie doit être annulée automatiquement par le système si au moins une des situations ci-après se produit avant le début de la manœuvre de changement de voie : </w:t>
      </w:r>
    </w:p>
    <w:p w:rsidR="00C84163" w:rsidRPr="005C7386" w:rsidRDefault="00C84163" w:rsidP="0048397D">
      <w:pPr>
        <w:pStyle w:val="SingleTxtG"/>
        <w:ind w:left="2268"/>
      </w:pPr>
      <w:r w:rsidRPr="005C7386">
        <w:t>a)</w:t>
      </w:r>
      <w:r w:rsidRPr="005C7386">
        <w:tab/>
        <w:t>Le système détecte une situation critique (telle que définie au paragraphe 5.6.4.7) ;</w:t>
      </w:r>
    </w:p>
    <w:p w:rsidR="00C84163" w:rsidRPr="005C7386" w:rsidRDefault="00C84163" w:rsidP="0048397D">
      <w:pPr>
        <w:pStyle w:val="SingleTxtG"/>
        <w:ind w:left="2268"/>
      </w:pPr>
      <w:r w:rsidRPr="005C7386">
        <w:t>b)</w:t>
      </w:r>
      <w:r w:rsidRPr="005C7386">
        <w:tab/>
        <w:t>Le système est neutralisé ou désactivé par le conducteur ;</w:t>
      </w:r>
    </w:p>
    <w:p w:rsidR="00C84163" w:rsidRPr="005C7386" w:rsidRDefault="00C84163" w:rsidP="0048397D">
      <w:pPr>
        <w:pStyle w:val="SingleTxtG"/>
        <w:ind w:left="2268"/>
      </w:pPr>
      <w:r w:rsidRPr="005C7386">
        <w:t>c)</w:t>
      </w:r>
      <w:r w:rsidRPr="005C7386">
        <w:tab/>
        <w:t>Le système atteint ses limites (par exemple, les marques routières ne sont plus détectées) ;</w:t>
      </w:r>
    </w:p>
    <w:p w:rsidR="00C84163" w:rsidRPr="005C7386" w:rsidRDefault="00C84163" w:rsidP="0048397D">
      <w:pPr>
        <w:pStyle w:val="SingleTxtG"/>
        <w:ind w:left="2268"/>
      </w:pPr>
      <w:r w:rsidRPr="005C7386">
        <w:t>d)</w:t>
      </w:r>
      <w:r w:rsidRPr="005C7386">
        <w:tab/>
        <w:t>Le système a détecté que le conducteur ne tenait plus la commande de direction au début de la manœuvre de changement de voie ;</w:t>
      </w:r>
    </w:p>
    <w:p w:rsidR="00C84163" w:rsidRPr="005C7386" w:rsidRDefault="00C84163" w:rsidP="0048397D">
      <w:pPr>
        <w:pStyle w:val="SingleTxtG"/>
        <w:ind w:left="2268"/>
      </w:pPr>
      <w:r w:rsidRPr="005C7386">
        <w:t>e)</w:t>
      </w:r>
      <w:r w:rsidRPr="005C7386">
        <w:tab/>
        <w:t>Les feux indicateurs de direction sont manuellement désactivés par le conducteur ;</w:t>
      </w:r>
    </w:p>
    <w:p w:rsidR="00C84163" w:rsidRPr="005C7386" w:rsidRDefault="00C84163" w:rsidP="0048397D">
      <w:pPr>
        <w:pStyle w:val="SingleTxtG"/>
        <w:ind w:left="2268"/>
      </w:pPr>
      <w:r w:rsidRPr="005C7386">
        <w:t>f)</w:t>
      </w:r>
      <w:r w:rsidRPr="005C7386">
        <w:tab/>
        <w:t xml:space="preserve">La manœuvre de changement de voie n’a pas débuté dans les 5 s, </w:t>
      </w:r>
      <w:r w:rsidRPr="005C7386">
        <w:rPr>
          <w:b/>
          <w:bCs/>
        </w:rPr>
        <w:t xml:space="preserve">ou 20,0 s au maximum si le système </w:t>
      </w:r>
      <w:r w:rsidRPr="005C7386">
        <w:rPr>
          <w:b/>
          <w:bCs/>
          <w:lang w:eastAsia="fr-FR"/>
        </w:rPr>
        <w:t xml:space="preserve">a la capacité de s’aligner dans un espace libre suffisant </w:t>
      </w:r>
      <w:r w:rsidRPr="005C7386">
        <w:rPr>
          <w:b/>
          <w:bCs/>
        </w:rPr>
        <w:t xml:space="preserve">et </w:t>
      </w:r>
      <w:r>
        <w:rPr>
          <w:b/>
          <w:bCs/>
        </w:rPr>
        <w:t>émet un signal à l’intention du</w:t>
      </w:r>
      <w:r w:rsidRPr="005C7386">
        <w:rPr>
          <w:b/>
          <w:bCs/>
        </w:rPr>
        <w:t xml:space="preserve"> conducteur après un délai de 10,0 s conformément aux prescriptions du 5.6.4.6.4,</w:t>
      </w:r>
      <w:r w:rsidRPr="005C7386">
        <w:t xml:space="preserve"> suivant l’action délibérée du conducteur décrite au paragraphe 5.6.4.6.2 ;</w:t>
      </w:r>
    </w:p>
    <w:p w:rsidR="00C84163" w:rsidRPr="005C7386" w:rsidRDefault="00C84163" w:rsidP="0048397D">
      <w:pPr>
        <w:pStyle w:val="SingleTxtG"/>
        <w:ind w:left="2268"/>
        <w:rPr>
          <w:lang w:eastAsia="fr-FR"/>
        </w:rPr>
      </w:pPr>
      <w:r w:rsidRPr="005C7386">
        <w:t>g)</w:t>
      </w:r>
      <w:r w:rsidRPr="005C7386">
        <w:tab/>
        <w:t>Le déplacement latéral décrit au paragraphe 5.6.4.6.4 n’est pas continu. ».</w:t>
      </w:r>
    </w:p>
    <w:p w:rsidR="00C84163" w:rsidRPr="005C7386" w:rsidRDefault="00C84163" w:rsidP="0048397D">
      <w:pPr>
        <w:pStyle w:val="SingleTxtG"/>
        <w:rPr>
          <w:lang w:eastAsia="fr-FR"/>
        </w:rPr>
      </w:pPr>
      <w:r w:rsidRPr="005C7386">
        <w:rPr>
          <w:rFonts w:asciiTheme="majorBidi" w:hAnsiTheme="majorBidi" w:cstheme="majorBidi"/>
          <w:i/>
          <w:lang w:eastAsia="fr-FR"/>
        </w:rPr>
        <w:t>Paragraphe 5.6.4.</w:t>
      </w:r>
      <w:r w:rsidRPr="005C7386">
        <w:rPr>
          <w:i/>
          <w:lang w:eastAsia="fr-FR"/>
        </w:rPr>
        <w:t>7</w:t>
      </w:r>
      <w:r w:rsidRPr="005C7386">
        <w:rPr>
          <w:lang w:eastAsia="fr-FR"/>
        </w:rPr>
        <w:t>,</w:t>
      </w:r>
      <w:r w:rsidRPr="005C7386">
        <w:rPr>
          <w:i/>
          <w:iCs/>
          <w:lang w:eastAsia="fr-FR"/>
        </w:rPr>
        <w:t xml:space="preserve"> </w:t>
      </w:r>
      <w:r w:rsidRPr="005C7386">
        <w:rPr>
          <w:lang w:eastAsia="fr-FR"/>
        </w:rPr>
        <w:t>lire :</w:t>
      </w:r>
    </w:p>
    <w:p w:rsidR="00C84163" w:rsidRPr="005C7386" w:rsidRDefault="00C84163" w:rsidP="0048397D">
      <w:pPr>
        <w:pStyle w:val="SingleTxtG"/>
        <w:ind w:left="2268" w:hanging="1134"/>
      </w:pPr>
      <w:r w:rsidRPr="005C7386">
        <w:rPr>
          <w:rFonts w:asciiTheme="majorBidi" w:hAnsiTheme="majorBidi" w:cstheme="majorBidi"/>
          <w:lang w:eastAsia="fr-FR"/>
        </w:rPr>
        <w:t>« 5.6.4.7</w:t>
      </w:r>
      <w:r w:rsidRPr="005C7386">
        <w:rPr>
          <w:rFonts w:asciiTheme="majorBidi" w:hAnsiTheme="majorBidi" w:cstheme="majorBidi"/>
          <w:lang w:eastAsia="fr-FR"/>
        </w:rPr>
        <w:tab/>
      </w:r>
      <w:r w:rsidRPr="005C7386">
        <w:t>Situations critiques</w:t>
      </w:r>
    </w:p>
    <w:p w:rsidR="00C84163" w:rsidRPr="005C7386" w:rsidRDefault="00C84163" w:rsidP="0048397D">
      <w:pPr>
        <w:pStyle w:val="SingleTxtG"/>
        <w:ind w:left="2268"/>
        <w:rPr>
          <w:lang w:eastAsia="ja-JP"/>
        </w:rPr>
      </w:pPr>
      <w:r w:rsidRPr="005C7386">
        <w:rPr>
          <w:lang w:eastAsia="ja-JP"/>
        </w:rPr>
        <w:t xml:space="preserve">Une situation est considérée comme critique si, au moment où débute une </w:t>
      </w:r>
      <w:r w:rsidRPr="005C7386">
        <w:t>manœuvre</w:t>
      </w:r>
      <w:r w:rsidRPr="005C7386">
        <w:rPr>
          <w:lang w:eastAsia="ja-JP"/>
        </w:rPr>
        <w:t xml:space="preserve"> de changement de voie, un véhicule en approche dans la voie de destination est obligé de ralentir en effectuant une décélération supérieure à </w:t>
      </w:r>
      <w:r w:rsidRPr="00D179E3">
        <w:rPr>
          <w:strike/>
          <w:lang w:eastAsia="ja-JP"/>
        </w:rPr>
        <w:t xml:space="preserve">3 </w:t>
      </w:r>
      <w:r w:rsidRPr="005C7386">
        <w:rPr>
          <w:b/>
          <w:lang w:eastAsia="ja-JP"/>
        </w:rPr>
        <w:t>3,5</w:t>
      </w:r>
      <w:r w:rsidRPr="005C7386">
        <w:rPr>
          <w:lang w:eastAsia="ja-JP"/>
        </w:rPr>
        <w:t> m/s</w:t>
      </w:r>
      <w:r w:rsidRPr="005C7386">
        <w:rPr>
          <w:vertAlign w:val="superscript"/>
          <w:lang w:eastAsia="ja-JP"/>
        </w:rPr>
        <w:t>2</w:t>
      </w:r>
      <w:r w:rsidRPr="005C7386">
        <w:rPr>
          <w:lang w:eastAsia="ja-JP"/>
        </w:rPr>
        <w:t xml:space="preserve">, 0,4 s après le début de la manœuvre, pour que la distance entre les deux véhicules ne soit jamais inférieure à la </w:t>
      </w:r>
      <w:r w:rsidRPr="005C7386">
        <w:t>distance</w:t>
      </w:r>
      <w:r w:rsidRPr="005C7386">
        <w:rPr>
          <w:lang w:eastAsia="ja-JP"/>
        </w:rPr>
        <w:t xml:space="preserve"> parcourue en </w:t>
      </w:r>
      <w:r w:rsidRPr="00D179E3">
        <w:rPr>
          <w:strike/>
          <w:lang w:eastAsia="ja-JP"/>
        </w:rPr>
        <w:t>1</w:t>
      </w:r>
      <w:r w:rsidRPr="00D179E3">
        <w:rPr>
          <w:lang w:eastAsia="ja-JP"/>
        </w:rPr>
        <w:t xml:space="preserve"> </w:t>
      </w:r>
      <w:r w:rsidRPr="005C7386">
        <w:rPr>
          <w:b/>
          <w:lang w:eastAsia="ja-JP"/>
        </w:rPr>
        <w:t>0,6</w:t>
      </w:r>
      <w:r w:rsidRPr="005C7386">
        <w:rPr>
          <w:lang w:eastAsia="ja-JP"/>
        </w:rPr>
        <w:t> s par le véhicule changeant de voie.</w:t>
      </w:r>
    </w:p>
    <w:p w:rsidR="00C84163" w:rsidRPr="005C7386" w:rsidRDefault="00C84163" w:rsidP="0048397D">
      <w:pPr>
        <w:pStyle w:val="SingleTxtG"/>
        <w:ind w:left="2268"/>
        <w:rPr>
          <w:lang w:eastAsia="ja-JP"/>
        </w:rPr>
      </w:pPr>
      <w:r w:rsidRPr="005C7386">
        <w:rPr>
          <w:lang w:eastAsia="ja-JP"/>
        </w:rPr>
        <w:t xml:space="preserve">La </w:t>
      </w:r>
      <w:r w:rsidRPr="005C7386">
        <w:t>distance</w:t>
      </w:r>
      <w:r w:rsidRPr="005C7386">
        <w:rPr>
          <w:lang w:eastAsia="ja-JP"/>
        </w:rPr>
        <w:t xml:space="preserve"> critique au début de la manœuvre de changement de voie doit donc être calculée selon la formule suivante :</w:t>
      </w:r>
    </w:p>
    <w:p w:rsidR="00C84163" w:rsidRPr="005C7386" w:rsidRDefault="00C84163" w:rsidP="0048397D">
      <w:pPr>
        <w:pStyle w:val="SingleTxtG"/>
        <w:ind w:left="2268"/>
        <w:rPr>
          <w:lang w:eastAsia="ja-JP"/>
        </w:rPr>
      </w:pPr>
      <w:r w:rsidRPr="005C7386">
        <w:t>S</w:t>
      </w:r>
      <w:r w:rsidRPr="00D179E3">
        <w:rPr>
          <w:i/>
          <w:vertAlign w:val="subscript"/>
        </w:rPr>
        <w:t>critical</w:t>
      </w:r>
      <w:r w:rsidRPr="005C7386">
        <w:t xml:space="preserve"> = </w:t>
      </w:r>
      <w:r w:rsidRPr="00D179E3">
        <w:rPr>
          <w:i/>
        </w:rPr>
        <w:t>(v</w:t>
      </w:r>
      <w:r w:rsidRPr="00D179E3">
        <w:rPr>
          <w:i/>
          <w:vertAlign w:val="subscript"/>
        </w:rPr>
        <w:t>rear</w:t>
      </w:r>
      <w:r w:rsidRPr="00D179E3">
        <w:rPr>
          <w:i/>
        </w:rPr>
        <w:t xml:space="preserve"> - v</w:t>
      </w:r>
      <w:r w:rsidRPr="00D179E3">
        <w:rPr>
          <w:i/>
          <w:vertAlign w:val="subscript"/>
        </w:rPr>
        <w:t>ACSF</w:t>
      </w:r>
      <w:r w:rsidRPr="00D179E3">
        <w:rPr>
          <w:i/>
        </w:rPr>
        <w:t>)</w:t>
      </w:r>
      <w:r w:rsidRPr="005C7386">
        <w:t xml:space="preserve"> * </w:t>
      </w:r>
      <w:r w:rsidRPr="00D179E3">
        <w:rPr>
          <w:i/>
        </w:rPr>
        <w:t>t</w:t>
      </w:r>
      <w:r w:rsidRPr="00D179E3">
        <w:rPr>
          <w:i/>
          <w:vertAlign w:val="subscript"/>
        </w:rPr>
        <w:t>B</w:t>
      </w:r>
      <w:r w:rsidRPr="005C7386">
        <w:t xml:space="preserve"> + </w:t>
      </w:r>
      <w:r w:rsidRPr="00D179E3">
        <w:rPr>
          <w:i/>
        </w:rPr>
        <w:t>(v</w:t>
      </w:r>
      <w:r w:rsidRPr="00D179E3">
        <w:rPr>
          <w:i/>
          <w:vertAlign w:val="subscript"/>
        </w:rPr>
        <w:t>rear</w:t>
      </w:r>
      <w:r w:rsidRPr="00D179E3">
        <w:rPr>
          <w:i/>
        </w:rPr>
        <w:t xml:space="preserve"> - v</w:t>
      </w:r>
      <w:r w:rsidRPr="00D179E3">
        <w:rPr>
          <w:i/>
          <w:vertAlign w:val="subscript"/>
        </w:rPr>
        <w:t>ACSF</w:t>
      </w:r>
      <w:r w:rsidRPr="00D179E3">
        <w:rPr>
          <w:i/>
        </w:rPr>
        <w:t>)</w:t>
      </w:r>
      <w:r w:rsidRPr="00D179E3">
        <w:rPr>
          <w:i/>
          <w:vertAlign w:val="superscript"/>
        </w:rPr>
        <w:t>2</w:t>
      </w:r>
      <w:r w:rsidRPr="005C7386">
        <w:t xml:space="preserve"> / </w:t>
      </w:r>
      <w:r w:rsidRPr="00D179E3">
        <w:rPr>
          <w:i/>
        </w:rPr>
        <w:t>(2 * a)</w:t>
      </w:r>
      <w:r w:rsidRPr="005C7386">
        <w:t xml:space="preserve"> + </w:t>
      </w:r>
      <w:r w:rsidRPr="00D179E3">
        <w:rPr>
          <w:i/>
        </w:rPr>
        <w:t>v</w:t>
      </w:r>
      <w:r w:rsidRPr="00D179E3">
        <w:rPr>
          <w:i/>
          <w:vertAlign w:val="subscript"/>
        </w:rPr>
        <w:t>ACSF</w:t>
      </w:r>
      <w:r w:rsidRPr="005C7386">
        <w:t xml:space="preserve"> * </w:t>
      </w:r>
      <w:r w:rsidRPr="00D179E3">
        <w:rPr>
          <w:i/>
        </w:rPr>
        <w:t>t</w:t>
      </w:r>
      <w:r w:rsidRPr="00D179E3">
        <w:rPr>
          <w:i/>
          <w:vertAlign w:val="subscript"/>
        </w:rPr>
        <w:t>G</w:t>
      </w:r>
    </w:p>
    <w:p w:rsidR="00C84163" w:rsidRPr="005C7386" w:rsidRDefault="00C84163" w:rsidP="0048397D">
      <w:pPr>
        <w:pStyle w:val="SingleTxtG"/>
        <w:ind w:left="2268"/>
        <w:rPr>
          <w:lang w:eastAsia="ja-JP"/>
        </w:rPr>
      </w:pPr>
      <w:r w:rsidRPr="005C7386">
        <w:rPr>
          <w:lang w:eastAsia="ja-JP"/>
        </w:rPr>
        <w:t>où :</w:t>
      </w:r>
    </w:p>
    <w:p w:rsidR="00C84163" w:rsidRPr="005C7386" w:rsidRDefault="00C84163" w:rsidP="0048397D">
      <w:pPr>
        <w:tabs>
          <w:tab w:val="left" w:pos="2835"/>
        </w:tabs>
        <w:kinsoku/>
        <w:overflowPunct/>
        <w:autoSpaceDE/>
        <w:autoSpaceDN/>
        <w:adjustRightInd/>
        <w:snapToGrid/>
        <w:spacing w:after="120"/>
        <w:ind w:left="3402" w:right="1134" w:hanging="1134"/>
        <w:jc w:val="both"/>
        <w:rPr>
          <w:lang w:eastAsia="ja-JP"/>
        </w:rPr>
      </w:pPr>
      <w:r w:rsidRPr="005C7386">
        <w:rPr>
          <w:lang w:eastAsia="ja-JP"/>
        </w:rPr>
        <w:t>v</w:t>
      </w:r>
      <w:r w:rsidRPr="005C7386">
        <w:rPr>
          <w:vertAlign w:val="subscript"/>
          <w:lang w:eastAsia="ja-JP"/>
        </w:rPr>
        <w:t>rear</w:t>
      </w:r>
      <w:r w:rsidRPr="005C7386">
        <w:rPr>
          <w:lang w:eastAsia="ja-JP"/>
        </w:rPr>
        <w:tab/>
        <w:t>est</w:t>
      </w:r>
      <w:r w:rsidRPr="005C7386">
        <w:rPr>
          <w:lang w:eastAsia="ja-JP"/>
        </w:rPr>
        <w:tab/>
        <w:t xml:space="preserve">La vitesse effective du </w:t>
      </w:r>
      <w:r w:rsidRPr="00D179E3">
        <w:rPr>
          <w:lang w:eastAsia="ja-JP"/>
        </w:rPr>
        <w:t>véhicule</w:t>
      </w:r>
      <w:r w:rsidRPr="005C7386">
        <w:rPr>
          <w:lang w:eastAsia="ja-JP"/>
        </w:rPr>
        <w:t xml:space="preserve"> en approche ou 130 km/h, la valeur retenue étant la moins élevée ;</w:t>
      </w:r>
    </w:p>
    <w:p w:rsidR="00C84163" w:rsidRPr="005C7386" w:rsidRDefault="00C84163" w:rsidP="0048397D">
      <w:pPr>
        <w:pStyle w:val="SingleTxtG"/>
        <w:ind w:left="2268"/>
        <w:rPr>
          <w:lang w:eastAsia="ja-JP"/>
        </w:rPr>
      </w:pPr>
      <w:r w:rsidRPr="005C7386">
        <w:rPr>
          <w:lang w:eastAsia="ja-JP"/>
        </w:rPr>
        <w:t>v</w:t>
      </w:r>
      <w:r w:rsidRPr="005C7386">
        <w:rPr>
          <w:vertAlign w:val="subscript"/>
          <w:lang w:eastAsia="ja-JP"/>
        </w:rPr>
        <w:t>ACSF</w:t>
      </w:r>
      <w:r w:rsidRPr="005C7386">
        <w:rPr>
          <w:vertAlign w:val="subscript"/>
          <w:lang w:eastAsia="ja-JP"/>
        </w:rPr>
        <w:tab/>
      </w:r>
      <w:r w:rsidRPr="005C7386">
        <w:rPr>
          <w:lang w:eastAsia="ja-JP"/>
        </w:rPr>
        <w:t>est</w:t>
      </w:r>
      <w:r w:rsidRPr="005C7386">
        <w:rPr>
          <w:lang w:eastAsia="ja-JP"/>
        </w:rPr>
        <w:tab/>
      </w:r>
      <w:r w:rsidRPr="005C7386">
        <w:t>La</w:t>
      </w:r>
      <w:r w:rsidRPr="005C7386">
        <w:rPr>
          <w:lang w:eastAsia="ja-JP"/>
        </w:rPr>
        <w:t xml:space="preserve"> vitesse effective du véhicule </w:t>
      </w:r>
      <w:r w:rsidRPr="00D179E3">
        <w:rPr>
          <w:lang w:eastAsia="ja-JP"/>
        </w:rPr>
        <w:t>équipé</w:t>
      </w:r>
      <w:r w:rsidRPr="005C7386">
        <w:rPr>
          <w:lang w:eastAsia="ja-JP"/>
        </w:rPr>
        <w:t xml:space="preserve"> de l’ACSF ;</w:t>
      </w:r>
    </w:p>
    <w:p w:rsidR="00C84163" w:rsidRPr="005C7386" w:rsidRDefault="00C84163" w:rsidP="00A43636">
      <w:pPr>
        <w:tabs>
          <w:tab w:val="left" w:pos="2835"/>
          <w:tab w:val="left" w:pos="3402"/>
        </w:tabs>
        <w:kinsoku/>
        <w:overflowPunct/>
        <w:autoSpaceDE/>
        <w:autoSpaceDN/>
        <w:adjustRightInd/>
        <w:snapToGrid/>
        <w:spacing w:after="120"/>
        <w:ind w:left="4253" w:right="1134" w:hanging="1985"/>
        <w:jc w:val="both"/>
        <w:rPr>
          <w:lang w:eastAsia="ja-JP"/>
        </w:rPr>
      </w:pPr>
      <w:r w:rsidRPr="005C7386">
        <w:rPr>
          <w:lang w:eastAsia="ja-JP"/>
        </w:rPr>
        <w:t>a</w:t>
      </w:r>
      <w:r w:rsidRPr="005C7386">
        <w:rPr>
          <w:lang w:eastAsia="ja-JP"/>
        </w:rPr>
        <w:tab/>
        <w:t>=</w:t>
      </w:r>
      <w:r w:rsidRPr="005C7386">
        <w:rPr>
          <w:lang w:eastAsia="ja-JP"/>
        </w:rPr>
        <w:tab/>
        <w:t>3</w:t>
      </w:r>
      <w:r w:rsidRPr="005C7386">
        <w:rPr>
          <w:b/>
          <w:lang w:eastAsia="ja-JP"/>
        </w:rPr>
        <w:t>,5</w:t>
      </w:r>
      <w:r w:rsidRPr="005C7386">
        <w:rPr>
          <w:lang w:eastAsia="ja-JP"/>
        </w:rPr>
        <w:t xml:space="preserve"> m/s</w:t>
      </w:r>
      <w:r w:rsidRPr="005C7386">
        <w:rPr>
          <w:vertAlign w:val="superscript"/>
          <w:lang w:eastAsia="ja-JP"/>
        </w:rPr>
        <w:t>2</w:t>
      </w:r>
      <w:r w:rsidRPr="005C7386">
        <w:rPr>
          <w:lang w:eastAsia="ja-JP"/>
        </w:rPr>
        <w:tab/>
        <w:t>(</w:t>
      </w:r>
      <w:r w:rsidRPr="00CF218F">
        <w:rPr>
          <w:rFonts w:eastAsia="Times New Roman"/>
          <w:lang w:eastAsia="ja-JP"/>
        </w:rPr>
        <w:t>Décélération</w:t>
      </w:r>
      <w:r w:rsidRPr="005C7386">
        <w:rPr>
          <w:lang w:eastAsia="ja-JP"/>
        </w:rPr>
        <w:t xml:space="preserve"> du véhicule en approche) ;</w:t>
      </w:r>
    </w:p>
    <w:p w:rsidR="00C84163" w:rsidRPr="005C7386" w:rsidRDefault="00C84163" w:rsidP="00A43636">
      <w:pPr>
        <w:tabs>
          <w:tab w:val="left" w:pos="2835"/>
          <w:tab w:val="left" w:pos="3402"/>
        </w:tabs>
        <w:kinsoku/>
        <w:overflowPunct/>
        <w:autoSpaceDE/>
        <w:autoSpaceDN/>
        <w:adjustRightInd/>
        <w:snapToGrid/>
        <w:spacing w:after="120"/>
        <w:ind w:left="4253" w:right="1134" w:hanging="1985"/>
        <w:jc w:val="both"/>
        <w:rPr>
          <w:lang w:eastAsia="ja-JP"/>
        </w:rPr>
      </w:pPr>
      <w:r w:rsidRPr="005C7386">
        <w:rPr>
          <w:lang w:eastAsia="ja-JP"/>
        </w:rPr>
        <w:t>t</w:t>
      </w:r>
      <w:r w:rsidRPr="005C7386">
        <w:rPr>
          <w:vertAlign w:val="subscript"/>
          <w:lang w:eastAsia="ja-JP"/>
        </w:rPr>
        <w:t>B</w:t>
      </w:r>
      <w:r w:rsidRPr="005C7386">
        <w:rPr>
          <w:vertAlign w:val="subscript"/>
          <w:lang w:eastAsia="ja-JP"/>
        </w:rPr>
        <w:tab/>
      </w:r>
      <w:r w:rsidRPr="005C7386">
        <w:rPr>
          <w:lang w:eastAsia="ja-JP"/>
        </w:rPr>
        <w:t>=</w:t>
      </w:r>
      <w:r w:rsidRPr="005C7386">
        <w:rPr>
          <w:lang w:eastAsia="ja-JP"/>
        </w:rPr>
        <w:tab/>
        <w:t>0,4 s</w:t>
      </w:r>
      <w:r w:rsidRPr="005C7386">
        <w:rPr>
          <w:lang w:eastAsia="ja-JP"/>
        </w:rPr>
        <w:tab/>
        <w:t xml:space="preserve">(Temps </w:t>
      </w:r>
      <w:r w:rsidRPr="00CF218F">
        <w:rPr>
          <w:rFonts w:eastAsia="Times New Roman"/>
          <w:lang w:eastAsia="ja-JP"/>
        </w:rPr>
        <w:t>écoulé</w:t>
      </w:r>
      <w:r w:rsidRPr="005C7386">
        <w:rPr>
          <w:lang w:eastAsia="ja-JP"/>
        </w:rPr>
        <w:t xml:space="preserve"> après le début de la manœuvre</w:t>
      </w:r>
      <w:r w:rsidRPr="005C7386">
        <w:t xml:space="preserve"> </w:t>
      </w:r>
      <w:r w:rsidRPr="005C7386">
        <w:rPr>
          <w:lang w:eastAsia="ja-JP"/>
        </w:rPr>
        <w:t>de changement de voie, correspondant au début de la décélération du véhicule en approche) ;</w:t>
      </w:r>
    </w:p>
    <w:p w:rsidR="00C84163" w:rsidRPr="005C7386" w:rsidRDefault="00C84163" w:rsidP="00A43636">
      <w:pPr>
        <w:tabs>
          <w:tab w:val="left" w:pos="2835"/>
          <w:tab w:val="left" w:pos="3402"/>
        </w:tabs>
        <w:kinsoku/>
        <w:overflowPunct/>
        <w:autoSpaceDE/>
        <w:autoSpaceDN/>
        <w:adjustRightInd/>
        <w:snapToGrid/>
        <w:spacing w:after="120"/>
        <w:ind w:left="4253" w:right="1134" w:hanging="1985"/>
        <w:jc w:val="both"/>
        <w:rPr>
          <w:lang w:eastAsia="ja-JP"/>
        </w:rPr>
      </w:pPr>
      <w:r w:rsidRPr="005C7386">
        <w:rPr>
          <w:lang w:eastAsia="ja-JP"/>
        </w:rPr>
        <w:t>t</w:t>
      </w:r>
      <w:r w:rsidRPr="005C7386">
        <w:rPr>
          <w:vertAlign w:val="subscript"/>
          <w:lang w:eastAsia="ja-JP"/>
        </w:rPr>
        <w:t>G</w:t>
      </w:r>
      <w:r w:rsidRPr="005C7386">
        <w:rPr>
          <w:vertAlign w:val="subscript"/>
          <w:lang w:eastAsia="ja-JP"/>
        </w:rPr>
        <w:tab/>
      </w:r>
      <w:r w:rsidRPr="005C7386">
        <w:rPr>
          <w:lang w:eastAsia="ja-JP"/>
        </w:rPr>
        <w:t>=</w:t>
      </w:r>
      <w:r w:rsidRPr="005C7386">
        <w:rPr>
          <w:lang w:eastAsia="ja-JP"/>
        </w:rPr>
        <w:tab/>
      </w:r>
      <w:r w:rsidRPr="00D112E5">
        <w:rPr>
          <w:strike/>
          <w:lang w:eastAsia="ja-JP"/>
        </w:rPr>
        <w:t>1</w:t>
      </w:r>
      <w:r w:rsidRPr="005C7386">
        <w:rPr>
          <w:b/>
          <w:lang w:eastAsia="ja-JP"/>
        </w:rPr>
        <w:t xml:space="preserve"> 0,6</w:t>
      </w:r>
      <w:r w:rsidRPr="005C7386">
        <w:rPr>
          <w:lang w:eastAsia="ja-JP"/>
        </w:rPr>
        <w:t xml:space="preserve"> s</w:t>
      </w:r>
      <w:r w:rsidRPr="005C7386">
        <w:rPr>
          <w:lang w:eastAsia="ja-JP"/>
        </w:rPr>
        <w:tab/>
        <w:t xml:space="preserve">(Écart </w:t>
      </w:r>
      <w:r w:rsidRPr="00CF218F">
        <w:rPr>
          <w:rFonts w:eastAsia="Times New Roman"/>
          <w:lang w:eastAsia="ja-JP"/>
        </w:rPr>
        <w:t>restant</w:t>
      </w:r>
      <w:r w:rsidRPr="005C7386">
        <w:rPr>
          <w:lang w:eastAsia="ja-JP"/>
        </w:rPr>
        <w:t xml:space="preserve"> entre les véhicules après la décélération du véhicule en approche). ».</w:t>
      </w:r>
    </w:p>
    <w:p w:rsidR="00C84163" w:rsidRPr="005C7386" w:rsidRDefault="00C84163" w:rsidP="00A43636">
      <w:pPr>
        <w:pStyle w:val="HChG"/>
        <w:rPr>
          <w:lang w:eastAsia="fr-FR"/>
        </w:rPr>
      </w:pPr>
      <w:r w:rsidRPr="005C7386">
        <w:rPr>
          <w:lang w:eastAsia="fr-FR"/>
        </w:rPr>
        <w:tab/>
        <w:t>II.</w:t>
      </w:r>
      <w:r w:rsidRPr="005C7386">
        <w:rPr>
          <w:lang w:eastAsia="fr-FR"/>
        </w:rPr>
        <w:tab/>
        <w:t>Justification</w:t>
      </w:r>
    </w:p>
    <w:p w:rsidR="00C84163" w:rsidRPr="005C7386" w:rsidRDefault="00A43636" w:rsidP="00A43636">
      <w:pPr>
        <w:pStyle w:val="H1G"/>
        <w:rPr>
          <w:lang w:eastAsia="fr-FR"/>
        </w:rPr>
      </w:pPr>
      <w:r>
        <w:rPr>
          <w:lang w:eastAsia="fr-FR"/>
        </w:rPr>
        <w:tab/>
        <w:t>A.</w:t>
      </w:r>
      <w:r>
        <w:rPr>
          <w:lang w:eastAsia="fr-FR"/>
        </w:rPr>
        <w:tab/>
      </w:r>
      <w:r w:rsidR="00C84163" w:rsidRPr="005C7386">
        <w:rPr>
          <w:lang w:eastAsia="fr-FR"/>
        </w:rPr>
        <w:t>Paragraphe 5.6.4.4</w:t>
      </w:r>
    </w:p>
    <w:p w:rsidR="00C84163" w:rsidRPr="005C7386" w:rsidRDefault="00C84163" w:rsidP="00A43636">
      <w:pPr>
        <w:pStyle w:val="SingleTxtG"/>
        <w:rPr>
          <w:lang w:eastAsia="fr-FR"/>
        </w:rPr>
      </w:pPr>
      <w:r w:rsidRPr="005C7386">
        <w:rPr>
          <w:lang w:eastAsia="fr-FR"/>
        </w:rPr>
        <w:t>1.</w:t>
      </w:r>
      <w:r w:rsidRPr="005C7386">
        <w:rPr>
          <w:lang w:eastAsia="fr-FR"/>
        </w:rPr>
        <w:tab/>
        <w:t>Lorsque le véhicule doit changer de voie rapidement (par exemple, lors d’une insertion sur autoroute ou d’une sortie d’autoroute sur une voie de décélération), prévoir une valeur limite d’</w:t>
      </w:r>
      <w:r w:rsidRPr="005C7386">
        <w:t>accélération transversale</w:t>
      </w:r>
      <w:r w:rsidRPr="005C7386">
        <w:rPr>
          <w:lang w:eastAsia="fr-FR"/>
        </w:rPr>
        <w:t xml:space="preserve"> légèrement plus élevée </w:t>
      </w:r>
      <w:r w:rsidR="00D179E3">
        <w:rPr>
          <w:lang w:eastAsia="fr-FR"/>
        </w:rPr>
        <w:t xml:space="preserve">qui </w:t>
      </w:r>
      <w:r w:rsidRPr="005C7386">
        <w:rPr>
          <w:lang w:eastAsia="fr-FR"/>
        </w:rPr>
        <w:t xml:space="preserve">permettra à la fonction de direction à commande automatique (ACSF) </w:t>
      </w:r>
      <w:r>
        <w:rPr>
          <w:lang w:eastAsia="fr-FR"/>
        </w:rPr>
        <w:t>d’achever</w:t>
      </w:r>
      <w:r w:rsidRPr="005C7386">
        <w:rPr>
          <w:lang w:eastAsia="fr-FR"/>
        </w:rPr>
        <w:t xml:space="preserve"> le changement de voie</w:t>
      </w:r>
      <w:r>
        <w:rPr>
          <w:lang w:eastAsia="fr-FR"/>
        </w:rPr>
        <w:t xml:space="preserve"> sans hésitation et </w:t>
      </w:r>
      <w:r w:rsidRPr="005C7386">
        <w:rPr>
          <w:lang w:eastAsia="fr-FR"/>
        </w:rPr>
        <w:t>sans gêner ou ralentir la circulation en amont pour les véhicules qui doivent opérer la même manœuvre.</w:t>
      </w:r>
    </w:p>
    <w:p w:rsidR="00C84163" w:rsidRPr="005C7386" w:rsidRDefault="00A43636" w:rsidP="00A43636">
      <w:pPr>
        <w:pStyle w:val="H1G"/>
        <w:rPr>
          <w:rFonts w:asciiTheme="majorBidi" w:hAnsiTheme="majorBidi" w:cstheme="majorBidi"/>
          <w:lang w:eastAsia="fr-FR"/>
        </w:rPr>
      </w:pPr>
      <w:r>
        <w:rPr>
          <w:lang w:eastAsia="fr-FR"/>
        </w:rPr>
        <w:tab/>
        <w:t>B.</w:t>
      </w:r>
      <w:r>
        <w:rPr>
          <w:lang w:eastAsia="fr-FR"/>
        </w:rPr>
        <w:tab/>
      </w:r>
      <w:r w:rsidR="00C84163" w:rsidRPr="00A43636">
        <w:rPr>
          <w:lang w:eastAsia="fr-FR"/>
        </w:rPr>
        <w:t>Paragraphe</w:t>
      </w:r>
      <w:r w:rsidR="00C84163" w:rsidRPr="005C7386">
        <w:rPr>
          <w:rFonts w:asciiTheme="majorBidi" w:hAnsiTheme="majorBidi" w:cstheme="majorBidi"/>
          <w:lang w:eastAsia="fr-FR"/>
        </w:rPr>
        <w:t xml:space="preserve"> 5.6.4.6.4</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2.</w:t>
      </w:r>
      <w:r w:rsidRPr="005C7386">
        <w:rPr>
          <w:rFonts w:asciiTheme="majorBidi" w:hAnsiTheme="majorBidi" w:cstheme="majorBidi"/>
          <w:lang w:eastAsia="fr-FR"/>
        </w:rPr>
        <w:tab/>
        <w:t xml:space="preserve">Un conducteur peut </w:t>
      </w:r>
      <w:r>
        <w:rPr>
          <w:rFonts w:asciiTheme="majorBidi" w:hAnsiTheme="majorBidi" w:cstheme="majorBidi"/>
          <w:lang w:eastAsia="fr-FR"/>
        </w:rPr>
        <w:t>engager</w:t>
      </w:r>
      <w:r w:rsidRPr="005C7386">
        <w:rPr>
          <w:rFonts w:asciiTheme="majorBidi" w:hAnsiTheme="majorBidi" w:cstheme="majorBidi"/>
          <w:lang w:eastAsia="fr-FR"/>
        </w:rPr>
        <w:t xml:space="preserve"> un changement de voie s’il ne se trouve pas dans une situation critique, et escompter une </w:t>
      </w:r>
      <w:r>
        <w:rPr>
          <w:rFonts w:asciiTheme="majorBidi" w:hAnsiTheme="majorBidi" w:cstheme="majorBidi"/>
          <w:lang w:eastAsia="fr-FR"/>
        </w:rPr>
        <w:t>réaction</w:t>
      </w:r>
      <w:r w:rsidRPr="005C7386">
        <w:rPr>
          <w:rFonts w:asciiTheme="majorBidi" w:hAnsiTheme="majorBidi" w:cstheme="majorBidi"/>
          <w:lang w:eastAsia="fr-FR"/>
        </w:rPr>
        <w:t xml:space="preserve"> immédiate. Le délai de trois secondes est suffisant pour qu’un véhicule </w:t>
      </w:r>
      <w:r>
        <w:rPr>
          <w:rFonts w:asciiTheme="majorBidi" w:hAnsiTheme="majorBidi" w:cstheme="majorBidi"/>
          <w:lang w:eastAsia="fr-FR"/>
        </w:rPr>
        <w:t xml:space="preserve">en approche </w:t>
      </w:r>
      <w:r w:rsidRPr="005C7386">
        <w:rPr>
          <w:rFonts w:asciiTheme="majorBidi" w:hAnsiTheme="majorBidi" w:cstheme="majorBidi"/>
          <w:lang w:eastAsia="fr-FR"/>
        </w:rPr>
        <w:t>par l’arrière provoque une situation critique</w:t>
      </w:r>
      <w:r>
        <w:rPr>
          <w:rFonts w:asciiTheme="majorBidi" w:hAnsiTheme="majorBidi" w:cstheme="majorBidi"/>
          <w:lang w:eastAsia="fr-FR"/>
        </w:rPr>
        <w:t>,</w:t>
      </w:r>
      <w:r w:rsidRPr="005C7386">
        <w:rPr>
          <w:rFonts w:asciiTheme="majorBidi" w:hAnsiTheme="majorBidi" w:cstheme="majorBidi"/>
          <w:lang w:eastAsia="fr-FR"/>
        </w:rPr>
        <w:t xml:space="preserve"> même si une telle situation était inexistante au moment du déclenchement du changement de voie. Ce phénomène peut susciter, pour le conducteur, une certaine confusion </w:t>
      </w:r>
      <w:r w:rsidRPr="00A43636">
        <w:rPr>
          <w:lang w:eastAsia="fr-FR"/>
        </w:rPr>
        <w:t>concernant</w:t>
      </w:r>
      <w:r w:rsidRPr="005C7386">
        <w:rPr>
          <w:rFonts w:asciiTheme="majorBidi" w:hAnsiTheme="majorBidi" w:cstheme="majorBidi"/>
          <w:lang w:eastAsia="fr-FR"/>
        </w:rPr>
        <w:t xml:space="preserve"> les modes, ce qui peut </w:t>
      </w:r>
      <w:r>
        <w:rPr>
          <w:rFonts w:asciiTheme="majorBidi" w:hAnsiTheme="majorBidi" w:cstheme="majorBidi"/>
          <w:lang w:eastAsia="fr-FR"/>
        </w:rPr>
        <w:t>être dangereux pour la conduite,</w:t>
      </w:r>
      <w:r w:rsidRPr="005C7386">
        <w:rPr>
          <w:rFonts w:asciiTheme="majorBidi" w:hAnsiTheme="majorBidi" w:cstheme="majorBidi"/>
          <w:lang w:eastAsia="fr-FR"/>
        </w:rPr>
        <w:t xml:space="preserve"> et frustrer le conducteur si le changement de voie est interrompu peu de temps après </w:t>
      </w:r>
      <w:r>
        <w:rPr>
          <w:rFonts w:asciiTheme="majorBidi" w:hAnsiTheme="majorBidi" w:cstheme="majorBidi"/>
          <w:lang w:eastAsia="fr-FR"/>
        </w:rPr>
        <w:t>avoir été engagé</w:t>
      </w:r>
      <w:r w:rsidRPr="005C7386">
        <w:rPr>
          <w:rFonts w:asciiTheme="majorBidi" w:hAnsiTheme="majorBidi" w:cstheme="majorBidi"/>
          <w:lang w:eastAsia="fr-FR"/>
        </w:rPr>
        <w:t>.</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3.</w:t>
      </w:r>
      <w:r w:rsidRPr="005C7386">
        <w:rPr>
          <w:rFonts w:asciiTheme="majorBidi" w:hAnsiTheme="majorBidi" w:cstheme="majorBidi"/>
          <w:lang w:eastAsia="fr-FR"/>
        </w:rPr>
        <w:tab/>
        <w:t xml:space="preserve">Un véhicule </w:t>
      </w:r>
      <w:r>
        <w:rPr>
          <w:rFonts w:asciiTheme="majorBidi" w:hAnsiTheme="majorBidi" w:cstheme="majorBidi"/>
          <w:lang w:eastAsia="fr-FR"/>
        </w:rPr>
        <w:t xml:space="preserve">en approche </w:t>
      </w:r>
      <w:r w:rsidRPr="005C7386">
        <w:rPr>
          <w:rFonts w:asciiTheme="majorBidi" w:hAnsiTheme="majorBidi" w:cstheme="majorBidi"/>
          <w:lang w:eastAsia="fr-FR"/>
        </w:rPr>
        <w:t xml:space="preserve">par l’arrière dans la voie de </w:t>
      </w:r>
      <w:r w:rsidRPr="00A43636">
        <w:rPr>
          <w:lang w:eastAsia="fr-FR"/>
        </w:rPr>
        <w:t>destination</w:t>
      </w:r>
      <w:r w:rsidRPr="005C7386">
        <w:rPr>
          <w:rFonts w:asciiTheme="majorBidi" w:hAnsiTheme="majorBidi" w:cstheme="majorBidi"/>
          <w:lang w:eastAsia="fr-FR"/>
        </w:rPr>
        <w:t xml:space="preserve"> commencera à ralentir dès que l’allumage du feu indicateur de direction (qui suggère une intention de change</w:t>
      </w:r>
      <w:r>
        <w:rPr>
          <w:rFonts w:asciiTheme="majorBidi" w:hAnsiTheme="majorBidi" w:cstheme="majorBidi"/>
          <w:lang w:eastAsia="fr-FR"/>
        </w:rPr>
        <w:t>r</w:t>
      </w:r>
      <w:r w:rsidRPr="005C7386">
        <w:rPr>
          <w:rFonts w:asciiTheme="majorBidi" w:hAnsiTheme="majorBidi" w:cstheme="majorBidi"/>
          <w:lang w:eastAsia="fr-FR"/>
        </w:rPr>
        <w:t xml:space="preserve"> de voie) sera perçu. En pareil cas, le feu indicateur de direction est éteint après 5 s et aucune tentative de changement de voie n’est exécutée (malgré l’espace suffisant pour ce faire compte tenu de la décélération du véhicule </w:t>
      </w:r>
      <w:r>
        <w:rPr>
          <w:rFonts w:asciiTheme="majorBidi" w:hAnsiTheme="majorBidi" w:cstheme="majorBidi"/>
          <w:lang w:eastAsia="fr-FR"/>
        </w:rPr>
        <w:t xml:space="preserve">en approche </w:t>
      </w:r>
      <w:r w:rsidRPr="005C7386">
        <w:rPr>
          <w:rFonts w:asciiTheme="majorBidi" w:hAnsiTheme="majorBidi" w:cstheme="majorBidi"/>
          <w:lang w:eastAsia="fr-FR"/>
        </w:rPr>
        <w:t>par l’arrière). Ce phénomène peut créer une certaine confusion pour les véhicules alentour, voire générer des conditions de conduite dangereuses.</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4.</w:t>
      </w:r>
      <w:r w:rsidRPr="005C7386">
        <w:rPr>
          <w:rFonts w:asciiTheme="majorBidi" w:hAnsiTheme="majorBidi" w:cstheme="majorBidi"/>
          <w:lang w:eastAsia="fr-FR"/>
        </w:rPr>
        <w:tab/>
        <w:t xml:space="preserve">Les systèmes modernes de changement de voie assisté ou de changement de voie automatique sont capables d’utiliser des données sensorielles issues de systèmes visuels, de systèmes </w:t>
      </w:r>
      <w:r>
        <w:rPr>
          <w:rFonts w:asciiTheme="majorBidi" w:hAnsiTheme="majorBidi" w:cstheme="majorBidi"/>
          <w:lang w:eastAsia="fr-FR"/>
        </w:rPr>
        <w:t xml:space="preserve">à </w:t>
      </w:r>
      <w:r w:rsidRPr="005C7386">
        <w:rPr>
          <w:rFonts w:asciiTheme="majorBidi" w:hAnsiTheme="majorBidi" w:cstheme="majorBidi"/>
          <w:lang w:eastAsia="fr-FR"/>
        </w:rPr>
        <w:t xml:space="preserve">laser, de systèmes </w:t>
      </w:r>
      <w:r>
        <w:rPr>
          <w:rFonts w:asciiTheme="majorBidi" w:hAnsiTheme="majorBidi" w:cstheme="majorBidi"/>
          <w:lang w:eastAsia="fr-FR"/>
        </w:rPr>
        <w:t xml:space="preserve">à </w:t>
      </w:r>
      <w:r w:rsidRPr="005C7386">
        <w:rPr>
          <w:rFonts w:asciiTheme="majorBidi" w:hAnsiTheme="majorBidi" w:cstheme="majorBidi"/>
          <w:lang w:eastAsia="fr-FR"/>
        </w:rPr>
        <w:t xml:space="preserve">radar et de systèmes à ultrasons pour rechercher les espaces libres dans le trafic </w:t>
      </w:r>
      <w:r>
        <w:rPr>
          <w:rFonts w:asciiTheme="majorBidi" w:hAnsiTheme="majorBidi" w:cstheme="majorBidi"/>
          <w:lang w:eastAsia="fr-FR"/>
        </w:rPr>
        <w:t>avoisinant</w:t>
      </w:r>
      <w:r w:rsidRPr="005C7386">
        <w:rPr>
          <w:rFonts w:asciiTheme="majorBidi" w:hAnsiTheme="majorBidi" w:cstheme="majorBidi"/>
          <w:lang w:eastAsia="fr-FR"/>
        </w:rPr>
        <w:t xml:space="preserve">. Sur cette base, ils peuvent effectuer une accélération ou une décélération longitudinale du véhicule afin d’opérer un changement de voie en toute sécurité, en l’absence d’une situation critique. Ce comportement, inspiré de celui des conducteurs humains en situation réelle, permet aux </w:t>
      </w:r>
      <w:r>
        <w:rPr>
          <w:rFonts w:asciiTheme="majorBidi" w:hAnsiTheme="majorBidi" w:cstheme="majorBidi"/>
          <w:lang w:eastAsia="fr-FR"/>
        </w:rPr>
        <w:t xml:space="preserve">véhicules qui sont équipés de </w:t>
      </w:r>
      <w:r w:rsidRPr="005C7386">
        <w:rPr>
          <w:rFonts w:asciiTheme="majorBidi" w:hAnsiTheme="majorBidi" w:cstheme="majorBidi"/>
          <w:lang w:eastAsia="fr-FR"/>
        </w:rPr>
        <w:t>systèmes de changement de voie de circuler sans danger sur des routes moyennement fréquentées.</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5.</w:t>
      </w:r>
      <w:r w:rsidRPr="005C7386">
        <w:rPr>
          <w:rFonts w:asciiTheme="majorBidi" w:hAnsiTheme="majorBidi" w:cstheme="majorBidi"/>
          <w:lang w:eastAsia="fr-FR"/>
        </w:rPr>
        <w:tab/>
        <w:t xml:space="preserve">Comme c’est le cas </w:t>
      </w:r>
      <w:r>
        <w:rPr>
          <w:rFonts w:asciiTheme="majorBidi" w:hAnsiTheme="majorBidi" w:cstheme="majorBidi"/>
          <w:lang w:eastAsia="fr-FR"/>
        </w:rPr>
        <w:t>en</w:t>
      </w:r>
      <w:r w:rsidRPr="005C7386">
        <w:rPr>
          <w:rFonts w:asciiTheme="majorBidi" w:hAnsiTheme="majorBidi" w:cstheme="majorBidi"/>
          <w:lang w:eastAsia="fr-FR"/>
        </w:rPr>
        <w:t xml:space="preserve"> conduite manuelle, il est avéré qu’il est plus sûr </w:t>
      </w:r>
      <w:r>
        <w:rPr>
          <w:rFonts w:asciiTheme="majorBidi" w:hAnsiTheme="majorBidi" w:cstheme="majorBidi"/>
          <w:lang w:eastAsia="fr-FR"/>
        </w:rPr>
        <w:t>de</w:t>
      </w:r>
      <w:r w:rsidRPr="005C7386">
        <w:rPr>
          <w:rFonts w:asciiTheme="majorBidi" w:hAnsiTheme="majorBidi" w:cstheme="majorBidi"/>
          <w:lang w:eastAsia="fr-FR"/>
        </w:rPr>
        <w:t xml:space="preserve"> continue</w:t>
      </w:r>
      <w:r>
        <w:rPr>
          <w:rFonts w:asciiTheme="majorBidi" w:hAnsiTheme="majorBidi" w:cstheme="majorBidi"/>
          <w:lang w:eastAsia="fr-FR"/>
        </w:rPr>
        <w:t>r à montrer l’</w:t>
      </w:r>
      <w:r w:rsidRPr="005C7386">
        <w:rPr>
          <w:rFonts w:asciiTheme="majorBidi" w:hAnsiTheme="majorBidi" w:cstheme="majorBidi"/>
          <w:lang w:eastAsia="fr-FR"/>
        </w:rPr>
        <w:t xml:space="preserve">intention d’opérer un changement de voie (au moyen de l’indicateur de direction) jusqu’à ce que la manœuvre soit accomplie (ou jusqu’à ce que le conducteur change d’avis), plutôt que d’éteindre l’indicateur de </w:t>
      </w:r>
      <w:r w:rsidRPr="00A43636">
        <w:rPr>
          <w:lang w:eastAsia="fr-FR"/>
        </w:rPr>
        <w:t>direction</w:t>
      </w:r>
      <w:r w:rsidRPr="005C7386">
        <w:rPr>
          <w:rFonts w:asciiTheme="majorBidi" w:hAnsiTheme="majorBidi" w:cstheme="majorBidi"/>
          <w:lang w:eastAsia="fr-FR"/>
        </w:rPr>
        <w:t xml:space="preserve"> et d’annuler le changement de voie toutes les cinq secondes</w:t>
      </w:r>
      <w:r>
        <w:rPr>
          <w:rFonts w:asciiTheme="majorBidi" w:hAnsiTheme="majorBidi" w:cstheme="majorBidi"/>
          <w:lang w:eastAsia="fr-FR"/>
        </w:rPr>
        <w:t>,</w:t>
      </w:r>
      <w:r w:rsidRPr="00D31471">
        <w:rPr>
          <w:rFonts w:asciiTheme="majorBidi" w:hAnsiTheme="majorBidi" w:cstheme="majorBidi"/>
          <w:lang w:eastAsia="fr-FR"/>
        </w:rPr>
        <w:t xml:space="preserve"> </w:t>
      </w:r>
      <w:r w:rsidRPr="005C7386">
        <w:rPr>
          <w:rFonts w:asciiTheme="majorBidi" w:hAnsiTheme="majorBidi" w:cstheme="majorBidi"/>
          <w:lang w:eastAsia="fr-FR"/>
        </w:rPr>
        <w:t>et qu’il s’agit là d’une bonne pratique en matière de conduite automobile. Cela est particulièrement vrai si le conducteur engage successivement deux changements de voie assistés ou automatiques</w:t>
      </w:r>
      <w:r>
        <w:rPr>
          <w:rFonts w:asciiTheme="majorBidi" w:hAnsiTheme="majorBidi" w:cstheme="majorBidi"/>
          <w:lang w:eastAsia="fr-FR"/>
        </w:rPr>
        <w:t>,</w:t>
      </w:r>
      <w:r w:rsidRPr="005C7386">
        <w:rPr>
          <w:rFonts w:asciiTheme="majorBidi" w:hAnsiTheme="majorBidi" w:cstheme="majorBidi"/>
          <w:lang w:eastAsia="fr-FR"/>
        </w:rPr>
        <w:t xml:space="preserve"> ou plus. Selon les prescriptions actuellement en vigueur, si le premier changement de voie est annulé, la deuxième manœuvre ne peut débuter que 5 à 11</w:t>
      </w:r>
      <w:r w:rsidR="00EB042C">
        <w:rPr>
          <w:rFonts w:asciiTheme="majorBidi" w:hAnsiTheme="majorBidi" w:cstheme="majorBidi"/>
          <w:lang w:eastAsia="fr-FR"/>
        </w:rPr>
        <w:t> </w:t>
      </w:r>
      <w:r w:rsidRPr="005C7386">
        <w:rPr>
          <w:rFonts w:asciiTheme="majorBidi" w:hAnsiTheme="majorBidi" w:cstheme="majorBidi"/>
          <w:lang w:eastAsia="fr-FR"/>
        </w:rPr>
        <w:t xml:space="preserve">secondes après le début du premier changement de voie. Ainsi, l’indicateur de direction </w:t>
      </w:r>
      <w:r>
        <w:rPr>
          <w:rFonts w:asciiTheme="majorBidi" w:hAnsiTheme="majorBidi" w:cstheme="majorBidi"/>
          <w:lang w:eastAsia="fr-FR"/>
        </w:rPr>
        <w:t xml:space="preserve">pourrait </w:t>
      </w:r>
      <w:r w:rsidRPr="005C7386">
        <w:rPr>
          <w:rFonts w:asciiTheme="majorBidi" w:hAnsiTheme="majorBidi" w:cstheme="majorBidi"/>
          <w:lang w:eastAsia="fr-FR"/>
        </w:rPr>
        <w:t xml:space="preserve">rester allumé pendant 11 secondes sans la moindre tentative réelle de déplacement latéral, ce qui </w:t>
      </w:r>
      <w:r>
        <w:rPr>
          <w:rFonts w:asciiTheme="majorBidi" w:hAnsiTheme="majorBidi" w:cstheme="majorBidi"/>
          <w:lang w:eastAsia="fr-FR"/>
        </w:rPr>
        <w:t>créerait une</w:t>
      </w:r>
      <w:r w:rsidRPr="005C7386">
        <w:rPr>
          <w:rFonts w:asciiTheme="majorBidi" w:hAnsiTheme="majorBidi" w:cstheme="majorBidi"/>
          <w:lang w:eastAsia="fr-FR"/>
        </w:rPr>
        <w:t xml:space="preserve"> confusion pour les autres conducteurs concernant les intentions du véhicule </w:t>
      </w:r>
      <w:r>
        <w:rPr>
          <w:rFonts w:asciiTheme="majorBidi" w:hAnsiTheme="majorBidi" w:cstheme="majorBidi"/>
          <w:lang w:eastAsia="fr-FR"/>
        </w:rPr>
        <w:t>sujet</w:t>
      </w:r>
      <w:r w:rsidRPr="005C7386">
        <w:rPr>
          <w:rFonts w:asciiTheme="majorBidi" w:hAnsiTheme="majorBidi" w:cstheme="majorBidi"/>
          <w:lang w:eastAsia="fr-FR"/>
        </w:rPr>
        <w:t>.</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6.</w:t>
      </w:r>
      <w:r w:rsidRPr="005C7386">
        <w:rPr>
          <w:rFonts w:asciiTheme="majorBidi" w:hAnsiTheme="majorBidi" w:cstheme="majorBidi"/>
          <w:lang w:eastAsia="fr-FR"/>
        </w:rPr>
        <w:tab/>
        <w:t xml:space="preserve">L’annulation du changement de voie après le début du déplacement latéral </w:t>
      </w:r>
      <w:r>
        <w:rPr>
          <w:rFonts w:asciiTheme="majorBidi" w:hAnsiTheme="majorBidi" w:cstheme="majorBidi"/>
          <w:lang w:eastAsia="fr-FR"/>
        </w:rPr>
        <w:t>supposerait que le véhicule reprenne sa position dans la voie initiale en effectuant une embardée, ce qui produirait une situation dangereuse et inconfortable</w:t>
      </w:r>
      <w:r w:rsidRPr="005C7386">
        <w:rPr>
          <w:rFonts w:asciiTheme="majorBidi" w:hAnsiTheme="majorBidi" w:cstheme="majorBidi"/>
          <w:lang w:eastAsia="fr-FR"/>
        </w:rPr>
        <w:t xml:space="preserve">, </w:t>
      </w:r>
      <w:r>
        <w:rPr>
          <w:rFonts w:asciiTheme="majorBidi" w:hAnsiTheme="majorBidi" w:cstheme="majorBidi"/>
          <w:lang w:eastAsia="fr-FR"/>
        </w:rPr>
        <w:t>tout en communiquant une information erronée aux conducteurs avoisinants</w:t>
      </w:r>
      <w:r w:rsidRPr="005C7386">
        <w:rPr>
          <w:rFonts w:asciiTheme="majorBidi" w:hAnsiTheme="majorBidi" w:cstheme="majorBidi"/>
          <w:lang w:eastAsia="fr-FR"/>
        </w:rPr>
        <w:t xml:space="preserve">. </w:t>
      </w:r>
      <w:r>
        <w:rPr>
          <w:rFonts w:asciiTheme="majorBidi" w:hAnsiTheme="majorBidi" w:cstheme="majorBidi"/>
          <w:lang w:eastAsia="fr-FR"/>
        </w:rPr>
        <w:t xml:space="preserve">Un véhicule situé dans une voie </w:t>
      </w:r>
      <w:r w:rsidRPr="005C7386">
        <w:rPr>
          <w:rFonts w:asciiTheme="majorBidi" w:hAnsiTheme="majorBidi" w:cstheme="majorBidi"/>
          <w:lang w:eastAsia="fr-FR"/>
        </w:rPr>
        <w:t>adjacent</w:t>
      </w:r>
      <w:r>
        <w:rPr>
          <w:rFonts w:asciiTheme="majorBidi" w:hAnsiTheme="majorBidi" w:cstheme="majorBidi"/>
          <w:lang w:eastAsia="fr-FR"/>
        </w:rPr>
        <w:t>e pourrait anticiper le changement de voie du véhicule sujet et tenter</w:t>
      </w:r>
      <w:r w:rsidRPr="005C7386">
        <w:rPr>
          <w:rFonts w:asciiTheme="majorBidi" w:hAnsiTheme="majorBidi" w:cstheme="majorBidi"/>
          <w:lang w:eastAsia="fr-FR"/>
        </w:rPr>
        <w:t xml:space="preserve"> </w:t>
      </w:r>
      <w:r>
        <w:rPr>
          <w:rFonts w:asciiTheme="majorBidi" w:hAnsiTheme="majorBidi" w:cstheme="majorBidi"/>
          <w:lang w:eastAsia="fr-FR"/>
        </w:rPr>
        <w:t>de prendre la</w:t>
      </w:r>
      <w:r w:rsidRPr="005C7386">
        <w:rPr>
          <w:rFonts w:asciiTheme="majorBidi" w:hAnsiTheme="majorBidi" w:cstheme="majorBidi"/>
          <w:lang w:eastAsia="fr-FR"/>
        </w:rPr>
        <w:t xml:space="preserve"> position</w:t>
      </w:r>
      <w:r>
        <w:rPr>
          <w:rFonts w:asciiTheme="majorBidi" w:hAnsiTheme="majorBidi" w:cstheme="majorBidi"/>
          <w:lang w:eastAsia="fr-FR"/>
        </w:rPr>
        <w:t xml:space="preserve"> de celui-ci</w:t>
      </w:r>
      <w:r w:rsidRPr="005C7386">
        <w:rPr>
          <w:rFonts w:asciiTheme="majorBidi" w:hAnsiTheme="majorBidi" w:cstheme="majorBidi"/>
          <w:lang w:eastAsia="fr-FR"/>
        </w:rPr>
        <w:t xml:space="preserve">. </w:t>
      </w:r>
      <w:r>
        <w:rPr>
          <w:rFonts w:asciiTheme="majorBidi" w:hAnsiTheme="majorBidi" w:cstheme="majorBidi"/>
          <w:lang w:eastAsia="fr-FR"/>
        </w:rPr>
        <w:t xml:space="preserve">Si le véhicule sujet annule le changement de voie en raison de la règle des </w:t>
      </w:r>
      <w:r w:rsidRPr="005C7386">
        <w:rPr>
          <w:rFonts w:asciiTheme="majorBidi" w:hAnsiTheme="majorBidi" w:cstheme="majorBidi"/>
          <w:lang w:eastAsia="fr-FR"/>
        </w:rPr>
        <w:t>5</w:t>
      </w:r>
      <w:r>
        <w:rPr>
          <w:rFonts w:asciiTheme="majorBidi" w:hAnsiTheme="majorBidi" w:cstheme="majorBidi"/>
          <w:lang w:eastAsia="fr-FR"/>
        </w:rPr>
        <w:t> </w:t>
      </w:r>
      <w:r w:rsidRPr="005C7386">
        <w:rPr>
          <w:rFonts w:asciiTheme="majorBidi" w:hAnsiTheme="majorBidi" w:cstheme="majorBidi"/>
          <w:lang w:eastAsia="fr-FR"/>
        </w:rPr>
        <w:t>second</w:t>
      </w:r>
      <w:r>
        <w:rPr>
          <w:rFonts w:asciiTheme="majorBidi" w:hAnsiTheme="majorBidi" w:cstheme="majorBidi"/>
          <w:lang w:eastAsia="fr-FR"/>
        </w:rPr>
        <w:t>es</w:t>
      </w:r>
      <w:r w:rsidRPr="005C7386">
        <w:rPr>
          <w:rFonts w:asciiTheme="majorBidi" w:hAnsiTheme="majorBidi" w:cstheme="majorBidi"/>
          <w:lang w:eastAsia="fr-FR"/>
        </w:rPr>
        <w:t xml:space="preserve">, </w:t>
      </w:r>
      <w:r>
        <w:rPr>
          <w:rFonts w:asciiTheme="majorBidi" w:hAnsiTheme="majorBidi" w:cstheme="majorBidi"/>
          <w:lang w:eastAsia="fr-FR"/>
        </w:rPr>
        <w:t>un choc peut se produire</w:t>
      </w:r>
      <w:r w:rsidRPr="005C7386">
        <w:rPr>
          <w:rFonts w:asciiTheme="majorBidi" w:hAnsiTheme="majorBidi" w:cstheme="majorBidi"/>
          <w:lang w:eastAsia="fr-FR"/>
        </w:rPr>
        <w:t xml:space="preserve">. </w:t>
      </w:r>
      <w:r>
        <w:rPr>
          <w:rFonts w:asciiTheme="majorBidi" w:hAnsiTheme="majorBidi" w:cstheme="majorBidi"/>
          <w:lang w:eastAsia="fr-FR"/>
        </w:rPr>
        <w:t xml:space="preserve">Une telle situation n’est pas prévue dans les prescriptions relatives aux situations critiques, mais il est </w:t>
      </w:r>
      <w:r w:rsidRPr="00A43636">
        <w:rPr>
          <w:lang w:eastAsia="fr-FR"/>
        </w:rPr>
        <w:t>courant</w:t>
      </w:r>
      <w:r>
        <w:rPr>
          <w:rFonts w:asciiTheme="majorBidi" w:hAnsiTheme="majorBidi" w:cstheme="majorBidi"/>
          <w:lang w:eastAsia="fr-FR"/>
        </w:rPr>
        <w:t xml:space="preserve"> qu’elle survienne sur des routes moyennement fréquentées</w:t>
      </w:r>
      <w:r w:rsidRPr="005C7386">
        <w:rPr>
          <w:rFonts w:asciiTheme="majorBidi" w:hAnsiTheme="majorBidi" w:cstheme="majorBidi"/>
          <w:lang w:eastAsia="fr-FR"/>
        </w:rPr>
        <w:t xml:space="preserve">. </w:t>
      </w:r>
      <w:r>
        <w:rPr>
          <w:rFonts w:asciiTheme="majorBidi" w:hAnsiTheme="majorBidi" w:cstheme="majorBidi"/>
          <w:lang w:eastAsia="fr-FR"/>
        </w:rPr>
        <w:t>Une plus grande marge en ce qui concerne le délai dont dispose le véhicule pour engager une manœuvre de changement de voie permettrait d’atténuer en partie les risques encourus</w:t>
      </w:r>
      <w:r w:rsidRPr="005C7386">
        <w:rPr>
          <w:rFonts w:asciiTheme="majorBidi" w:hAnsiTheme="majorBidi" w:cstheme="majorBidi"/>
          <w:lang w:eastAsia="fr-FR"/>
        </w:rPr>
        <w:t>.</w:t>
      </w:r>
    </w:p>
    <w:p w:rsidR="00C84163" w:rsidRPr="005C7386" w:rsidRDefault="007C3826" w:rsidP="007C3826">
      <w:pPr>
        <w:pStyle w:val="H1G"/>
        <w:rPr>
          <w:lang w:eastAsia="fr-FR"/>
        </w:rPr>
      </w:pPr>
      <w:r>
        <w:rPr>
          <w:lang w:eastAsia="fr-FR"/>
        </w:rPr>
        <w:tab/>
        <w:t>C.</w:t>
      </w:r>
      <w:r>
        <w:rPr>
          <w:lang w:eastAsia="fr-FR"/>
        </w:rPr>
        <w:tab/>
      </w:r>
      <w:r w:rsidR="00C84163" w:rsidRPr="005C7386">
        <w:rPr>
          <w:lang w:eastAsia="fr-FR"/>
        </w:rPr>
        <w:t>Annexe 8, paragraphe 3.5.1.2</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7.</w:t>
      </w:r>
      <w:r w:rsidRPr="005C7386">
        <w:rPr>
          <w:rFonts w:asciiTheme="majorBidi" w:hAnsiTheme="majorBidi" w:cstheme="majorBidi"/>
          <w:lang w:eastAsia="fr-FR"/>
        </w:rPr>
        <w:tab/>
      </w:r>
      <w:r>
        <w:rPr>
          <w:rFonts w:asciiTheme="majorBidi" w:hAnsiTheme="majorBidi" w:cstheme="majorBidi"/>
          <w:lang w:eastAsia="fr-FR"/>
        </w:rPr>
        <w:t>Les ajustements suggérés concernant ce paragraphe visent à tenir compte des modifications qu’il est proposé d’apporter aux autres dispositions énumérées dans le présent</w:t>
      </w:r>
      <w:r w:rsidRPr="005C7386">
        <w:rPr>
          <w:rFonts w:asciiTheme="majorBidi" w:hAnsiTheme="majorBidi" w:cstheme="majorBidi"/>
          <w:lang w:eastAsia="fr-FR"/>
        </w:rPr>
        <w:t xml:space="preserve"> document.</w:t>
      </w:r>
    </w:p>
    <w:p w:rsidR="00C84163" w:rsidRPr="005C7386" w:rsidRDefault="007C3826" w:rsidP="007C3826">
      <w:pPr>
        <w:pStyle w:val="H1G"/>
        <w:rPr>
          <w:rFonts w:asciiTheme="majorBidi" w:hAnsiTheme="majorBidi" w:cstheme="majorBidi"/>
          <w:lang w:eastAsia="fr-FR"/>
        </w:rPr>
      </w:pPr>
      <w:r>
        <w:rPr>
          <w:lang w:eastAsia="fr-FR"/>
        </w:rPr>
        <w:tab/>
        <w:t>D.</w:t>
      </w:r>
      <w:r>
        <w:rPr>
          <w:lang w:eastAsia="fr-FR"/>
        </w:rPr>
        <w:tab/>
      </w:r>
      <w:r w:rsidR="00C84163" w:rsidRPr="007C3826">
        <w:rPr>
          <w:lang w:eastAsia="fr-FR"/>
        </w:rPr>
        <w:t>Paragraphe</w:t>
      </w:r>
      <w:r w:rsidR="00C84163" w:rsidRPr="005C7386">
        <w:rPr>
          <w:rFonts w:asciiTheme="majorBidi" w:hAnsiTheme="majorBidi" w:cstheme="majorBidi"/>
          <w:lang w:eastAsia="fr-FR"/>
        </w:rPr>
        <w:t xml:space="preserve"> 5.6.4.7</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8.</w:t>
      </w:r>
      <w:r w:rsidRPr="005C7386">
        <w:rPr>
          <w:rFonts w:asciiTheme="majorBidi" w:hAnsiTheme="majorBidi" w:cstheme="majorBidi"/>
          <w:lang w:eastAsia="fr-FR"/>
        </w:rPr>
        <w:tab/>
      </w:r>
      <w:r>
        <w:rPr>
          <w:rFonts w:asciiTheme="majorBidi" w:hAnsiTheme="majorBidi" w:cstheme="majorBidi"/>
          <w:lang w:eastAsia="fr-FR"/>
        </w:rPr>
        <w:t>Généralement, un véhicule en approche par l’arrière</w:t>
      </w:r>
      <w:r w:rsidRPr="005C7386">
        <w:rPr>
          <w:rFonts w:asciiTheme="majorBidi" w:hAnsiTheme="majorBidi" w:cstheme="majorBidi"/>
          <w:lang w:eastAsia="fr-FR"/>
        </w:rPr>
        <w:t xml:space="preserve"> </w:t>
      </w:r>
      <w:r>
        <w:rPr>
          <w:rFonts w:asciiTheme="majorBidi" w:hAnsiTheme="majorBidi" w:cstheme="majorBidi"/>
          <w:lang w:eastAsia="fr-FR"/>
        </w:rPr>
        <w:t xml:space="preserve">commence à réagir dès que l’allumage de l’indicateur de direction du véhicule situé dans la voie </w:t>
      </w:r>
      <w:r w:rsidRPr="005C7386">
        <w:rPr>
          <w:rFonts w:asciiTheme="majorBidi" w:hAnsiTheme="majorBidi" w:cstheme="majorBidi"/>
          <w:lang w:eastAsia="fr-FR"/>
        </w:rPr>
        <w:t>adjacent</w:t>
      </w:r>
      <w:r>
        <w:rPr>
          <w:rFonts w:asciiTheme="majorBidi" w:hAnsiTheme="majorBidi" w:cstheme="majorBidi"/>
          <w:lang w:eastAsia="fr-FR"/>
        </w:rPr>
        <w:t>e</w:t>
      </w:r>
      <w:r w:rsidRPr="008B4A66">
        <w:rPr>
          <w:rFonts w:asciiTheme="majorBidi" w:hAnsiTheme="majorBidi" w:cstheme="majorBidi"/>
          <w:lang w:eastAsia="fr-FR"/>
        </w:rPr>
        <w:t xml:space="preserve"> </w:t>
      </w:r>
      <w:r>
        <w:rPr>
          <w:rFonts w:asciiTheme="majorBidi" w:hAnsiTheme="majorBidi" w:cstheme="majorBidi"/>
          <w:lang w:eastAsia="fr-FR"/>
        </w:rPr>
        <w:t>est perçu</w:t>
      </w:r>
      <w:r w:rsidRPr="005C7386">
        <w:rPr>
          <w:rFonts w:asciiTheme="majorBidi" w:hAnsiTheme="majorBidi" w:cstheme="majorBidi"/>
          <w:lang w:eastAsia="fr-FR"/>
        </w:rPr>
        <w:t xml:space="preserve">. </w:t>
      </w:r>
      <w:r>
        <w:rPr>
          <w:rFonts w:asciiTheme="majorBidi" w:hAnsiTheme="majorBidi" w:cstheme="majorBidi"/>
          <w:lang w:eastAsia="fr-FR"/>
        </w:rPr>
        <w:t xml:space="preserve">Étant donné qu’il est prévu, au titre du Règlement, que la manœuvre de changement de voie débute au plus </w:t>
      </w:r>
      <w:r w:rsidRPr="00A43636">
        <w:rPr>
          <w:lang w:eastAsia="fr-FR"/>
        </w:rPr>
        <w:t>tard</w:t>
      </w:r>
      <w:r w:rsidRPr="005C7386">
        <w:rPr>
          <w:rFonts w:asciiTheme="majorBidi" w:hAnsiTheme="majorBidi" w:cstheme="majorBidi"/>
          <w:lang w:eastAsia="fr-FR"/>
        </w:rPr>
        <w:t xml:space="preserve"> </w:t>
      </w:r>
      <w:r>
        <w:rPr>
          <w:rFonts w:asciiTheme="majorBidi" w:hAnsiTheme="majorBidi" w:cstheme="majorBidi"/>
          <w:lang w:eastAsia="fr-FR"/>
        </w:rPr>
        <w:t>trois </w:t>
      </w:r>
      <w:r w:rsidRPr="005C7386">
        <w:rPr>
          <w:rFonts w:asciiTheme="majorBidi" w:hAnsiTheme="majorBidi" w:cstheme="majorBidi"/>
          <w:lang w:eastAsia="fr-FR"/>
        </w:rPr>
        <w:t>second</w:t>
      </w:r>
      <w:r>
        <w:rPr>
          <w:rFonts w:asciiTheme="majorBidi" w:hAnsiTheme="majorBidi" w:cstheme="majorBidi"/>
          <w:lang w:eastAsia="fr-FR"/>
        </w:rPr>
        <w:t>e</w:t>
      </w:r>
      <w:r w:rsidRPr="005C7386">
        <w:rPr>
          <w:rFonts w:asciiTheme="majorBidi" w:hAnsiTheme="majorBidi" w:cstheme="majorBidi"/>
          <w:lang w:eastAsia="fr-FR"/>
        </w:rPr>
        <w:t>s (</w:t>
      </w:r>
      <w:r>
        <w:rPr>
          <w:rFonts w:asciiTheme="majorBidi" w:hAnsiTheme="majorBidi" w:cstheme="majorBidi"/>
          <w:lang w:eastAsia="fr-FR"/>
        </w:rPr>
        <w:t>et au plus tôt une </w:t>
      </w:r>
      <w:r w:rsidRPr="005C7386">
        <w:rPr>
          <w:rFonts w:asciiTheme="majorBidi" w:hAnsiTheme="majorBidi" w:cstheme="majorBidi"/>
          <w:lang w:eastAsia="fr-FR"/>
        </w:rPr>
        <w:t>second</w:t>
      </w:r>
      <w:r>
        <w:rPr>
          <w:rFonts w:asciiTheme="majorBidi" w:hAnsiTheme="majorBidi" w:cstheme="majorBidi"/>
          <w:lang w:eastAsia="fr-FR"/>
        </w:rPr>
        <w:t>e</w:t>
      </w:r>
      <w:r w:rsidRPr="005C7386">
        <w:rPr>
          <w:rFonts w:asciiTheme="majorBidi" w:hAnsiTheme="majorBidi" w:cstheme="majorBidi"/>
          <w:lang w:eastAsia="fr-FR"/>
        </w:rPr>
        <w:t xml:space="preserve">) </w:t>
      </w:r>
      <w:r>
        <w:rPr>
          <w:rFonts w:asciiTheme="majorBidi" w:hAnsiTheme="majorBidi" w:cstheme="majorBidi"/>
          <w:lang w:eastAsia="fr-FR"/>
        </w:rPr>
        <w:t>après avoir été engagée</w:t>
      </w:r>
      <w:r w:rsidRPr="005C7386">
        <w:rPr>
          <w:rFonts w:asciiTheme="majorBidi" w:hAnsiTheme="majorBidi" w:cstheme="majorBidi"/>
          <w:lang w:eastAsia="fr-FR"/>
        </w:rPr>
        <w:t xml:space="preserve">, </w:t>
      </w:r>
      <w:r>
        <w:rPr>
          <w:rFonts w:asciiTheme="majorBidi" w:hAnsiTheme="majorBidi" w:cstheme="majorBidi"/>
          <w:lang w:eastAsia="fr-FR"/>
        </w:rPr>
        <w:t>on peut raisonnablement s’attendre à une décélération plus forte ainsi qu’à un temps de réaction plus court du véhicule en approche</w:t>
      </w:r>
      <w:r w:rsidRPr="005C7386">
        <w:rPr>
          <w:rFonts w:asciiTheme="majorBidi" w:hAnsiTheme="majorBidi" w:cstheme="majorBidi"/>
          <w:lang w:eastAsia="fr-FR"/>
        </w:rPr>
        <w:t>.</w:t>
      </w:r>
    </w:p>
    <w:p w:rsidR="00C84163" w:rsidRPr="005C7386"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9.</w:t>
      </w:r>
      <w:r w:rsidRPr="005C7386">
        <w:rPr>
          <w:rFonts w:asciiTheme="majorBidi" w:hAnsiTheme="majorBidi" w:cstheme="majorBidi"/>
          <w:lang w:eastAsia="fr-FR"/>
        </w:rPr>
        <w:tab/>
      </w:r>
      <w:r>
        <w:rPr>
          <w:rFonts w:asciiTheme="majorBidi" w:hAnsiTheme="majorBidi" w:cstheme="majorBidi"/>
          <w:lang w:eastAsia="fr-FR"/>
        </w:rPr>
        <w:t xml:space="preserve">Il semble judicieux que la distance critique soit davantage fondée sur la vitesse </w:t>
      </w:r>
      <w:r w:rsidRPr="005C7386">
        <w:rPr>
          <w:rFonts w:asciiTheme="majorBidi" w:hAnsiTheme="majorBidi" w:cstheme="majorBidi"/>
          <w:lang w:eastAsia="fr-FR"/>
        </w:rPr>
        <w:t xml:space="preserve">relative </w:t>
      </w:r>
      <w:r>
        <w:rPr>
          <w:rFonts w:asciiTheme="majorBidi" w:hAnsiTheme="majorBidi" w:cstheme="majorBidi"/>
          <w:lang w:eastAsia="fr-FR"/>
        </w:rPr>
        <w:t>des deux véhicules que sur la vitesse du seul véhicule sujet</w:t>
      </w:r>
      <w:r w:rsidRPr="005C7386">
        <w:rPr>
          <w:rFonts w:asciiTheme="majorBidi" w:hAnsiTheme="majorBidi" w:cstheme="majorBidi"/>
          <w:lang w:eastAsia="fr-FR"/>
        </w:rPr>
        <w:t xml:space="preserve">. </w:t>
      </w:r>
      <w:r>
        <w:rPr>
          <w:rFonts w:asciiTheme="majorBidi" w:hAnsiTheme="majorBidi" w:cstheme="majorBidi"/>
          <w:lang w:eastAsia="fr-FR"/>
        </w:rPr>
        <w:t>Par exemple, si la vitesse du véhicule sujet est nettement supérieure à celle du véhicule en approche par l’arrière</w:t>
      </w:r>
      <w:r w:rsidRPr="005C7386">
        <w:rPr>
          <w:rFonts w:asciiTheme="majorBidi" w:hAnsiTheme="majorBidi" w:cstheme="majorBidi"/>
          <w:lang w:eastAsia="fr-FR"/>
        </w:rPr>
        <w:t>, i</w:t>
      </w:r>
      <w:r>
        <w:rPr>
          <w:rFonts w:asciiTheme="majorBidi" w:hAnsiTheme="majorBidi" w:cstheme="majorBidi"/>
          <w:lang w:eastAsia="fr-FR"/>
        </w:rPr>
        <w:t>l ne serait pas dangereux de prévoir une distance critique plus faible</w:t>
      </w:r>
      <w:r w:rsidRPr="005C7386">
        <w:rPr>
          <w:rFonts w:asciiTheme="majorBidi" w:hAnsiTheme="majorBidi" w:cstheme="majorBidi"/>
          <w:lang w:eastAsia="fr-FR"/>
        </w:rPr>
        <w:t>.</w:t>
      </w:r>
      <w:r>
        <w:rPr>
          <w:rFonts w:asciiTheme="majorBidi" w:hAnsiTheme="majorBidi" w:cstheme="majorBidi"/>
          <w:lang w:eastAsia="fr-FR"/>
        </w:rPr>
        <w:t xml:space="preserve"> Ainsi</w:t>
      </w:r>
      <w:r w:rsidRPr="005C7386">
        <w:rPr>
          <w:rFonts w:asciiTheme="majorBidi" w:hAnsiTheme="majorBidi" w:cstheme="majorBidi"/>
          <w:lang w:eastAsia="fr-FR"/>
        </w:rPr>
        <w:t xml:space="preserve">, </w:t>
      </w:r>
      <w:r>
        <w:rPr>
          <w:rFonts w:asciiTheme="majorBidi" w:hAnsiTheme="majorBidi" w:cstheme="majorBidi"/>
          <w:lang w:eastAsia="fr-FR"/>
        </w:rPr>
        <w:t xml:space="preserve">il est moins pertinent, pour la manœuvre de changement de voie, de </w:t>
      </w:r>
      <w:r w:rsidRPr="00A43636">
        <w:rPr>
          <w:lang w:eastAsia="fr-FR"/>
        </w:rPr>
        <w:t>prendre</w:t>
      </w:r>
      <w:r>
        <w:rPr>
          <w:rFonts w:asciiTheme="majorBidi" w:hAnsiTheme="majorBidi" w:cstheme="majorBidi"/>
          <w:lang w:eastAsia="fr-FR"/>
        </w:rPr>
        <w:t xml:space="preserve"> en compte uniquement la </w:t>
      </w:r>
      <w:r w:rsidRPr="005C7386">
        <w:rPr>
          <w:rFonts w:asciiTheme="majorBidi" w:hAnsiTheme="majorBidi" w:cstheme="majorBidi"/>
          <w:lang w:eastAsia="fr-FR"/>
        </w:rPr>
        <w:t xml:space="preserve">distance </w:t>
      </w:r>
      <w:r>
        <w:rPr>
          <w:rFonts w:asciiTheme="majorBidi" w:hAnsiTheme="majorBidi" w:cstheme="majorBidi"/>
          <w:lang w:eastAsia="fr-FR"/>
        </w:rPr>
        <w:t xml:space="preserve">parcourue par le véhicule qui opère ce changement que de prendre en compte la </w:t>
      </w:r>
      <w:r w:rsidRPr="005C7386">
        <w:rPr>
          <w:rFonts w:asciiTheme="majorBidi" w:hAnsiTheme="majorBidi" w:cstheme="majorBidi"/>
          <w:lang w:eastAsia="fr-FR"/>
        </w:rPr>
        <w:t xml:space="preserve">distance </w:t>
      </w:r>
      <w:r>
        <w:rPr>
          <w:rFonts w:asciiTheme="majorBidi" w:hAnsiTheme="majorBidi" w:cstheme="majorBidi"/>
          <w:lang w:eastAsia="fr-FR"/>
        </w:rPr>
        <w:t xml:space="preserve">séparant les deux </w:t>
      </w:r>
      <w:r w:rsidRPr="005C7386">
        <w:rPr>
          <w:rFonts w:asciiTheme="majorBidi" w:hAnsiTheme="majorBidi" w:cstheme="majorBidi"/>
          <w:lang w:eastAsia="fr-FR"/>
        </w:rPr>
        <w:t xml:space="preserve">véhicules. </w:t>
      </w:r>
      <w:r>
        <w:rPr>
          <w:rFonts w:asciiTheme="majorBidi" w:hAnsiTheme="majorBidi" w:cstheme="majorBidi"/>
          <w:lang w:eastAsia="fr-FR"/>
        </w:rPr>
        <w:t xml:space="preserve">Cela est d’autant plus vrai si le véhicule </w:t>
      </w:r>
      <w:r w:rsidRPr="008C6C2E">
        <w:rPr>
          <w:rFonts w:asciiTheme="majorBidi" w:hAnsiTheme="majorBidi" w:cstheme="majorBidi"/>
          <w:lang w:eastAsia="fr-FR"/>
        </w:rPr>
        <w:t xml:space="preserve">équipé de </w:t>
      </w:r>
      <w:r>
        <w:rPr>
          <w:rFonts w:asciiTheme="majorBidi" w:hAnsiTheme="majorBidi" w:cstheme="majorBidi"/>
          <w:lang w:eastAsia="fr-FR"/>
        </w:rPr>
        <w:t>l’</w:t>
      </w:r>
      <w:r w:rsidRPr="005C7386">
        <w:rPr>
          <w:rFonts w:asciiTheme="majorBidi" w:hAnsiTheme="majorBidi" w:cstheme="majorBidi"/>
          <w:lang w:eastAsia="fr-FR"/>
        </w:rPr>
        <w:t xml:space="preserve">ACSF </w:t>
      </w:r>
      <w:r>
        <w:rPr>
          <w:rFonts w:asciiTheme="majorBidi" w:hAnsiTheme="majorBidi" w:cstheme="majorBidi"/>
          <w:lang w:eastAsia="fr-FR"/>
        </w:rPr>
        <w:t>est capable d’accélérer ou de ralentir afin de mener à son terme le changement de voie en toute sécurité</w:t>
      </w:r>
      <w:r w:rsidRPr="005C7386">
        <w:rPr>
          <w:rFonts w:asciiTheme="majorBidi" w:hAnsiTheme="majorBidi" w:cstheme="majorBidi"/>
          <w:lang w:eastAsia="fr-FR"/>
        </w:rPr>
        <w:t>.</w:t>
      </w:r>
    </w:p>
    <w:p w:rsidR="00F9573C" w:rsidRDefault="00C84163" w:rsidP="00A43636">
      <w:pPr>
        <w:pStyle w:val="SingleTxtG"/>
        <w:rPr>
          <w:rFonts w:asciiTheme="majorBidi" w:hAnsiTheme="majorBidi" w:cstheme="majorBidi"/>
          <w:lang w:eastAsia="fr-FR"/>
        </w:rPr>
      </w:pPr>
      <w:r w:rsidRPr="005C7386">
        <w:rPr>
          <w:rFonts w:asciiTheme="majorBidi" w:hAnsiTheme="majorBidi" w:cstheme="majorBidi"/>
          <w:lang w:eastAsia="fr-FR"/>
        </w:rPr>
        <w:t>10.</w:t>
      </w:r>
      <w:r w:rsidRPr="005C7386">
        <w:rPr>
          <w:rFonts w:asciiTheme="majorBidi" w:hAnsiTheme="majorBidi" w:cstheme="majorBidi"/>
          <w:lang w:eastAsia="fr-FR"/>
        </w:rPr>
        <w:tab/>
      </w:r>
      <w:r>
        <w:rPr>
          <w:rFonts w:asciiTheme="majorBidi" w:hAnsiTheme="majorBidi" w:cstheme="majorBidi"/>
          <w:lang w:eastAsia="fr-FR"/>
        </w:rPr>
        <w:t>Un comportement démesurément prudent, ou hésitant, peut créer une confusion pour les véhicules alentour et entraver les flux de circulation</w:t>
      </w:r>
      <w:r w:rsidRPr="005C7386">
        <w:rPr>
          <w:rFonts w:asciiTheme="majorBidi" w:hAnsiTheme="majorBidi" w:cstheme="majorBidi"/>
          <w:lang w:eastAsia="fr-FR"/>
        </w:rPr>
        <w:t xml:space="preserve">. </w:t>
      </w:r>
      <w:r>
        <w:rPr>
          <w:rFonts w:asciiTheme="majorBidi" w:hAnsiTheme="majorBidi" w:cstheme="majorBidi"/>
          <w:lang w:eastAsia="fr-FR"/>
        </w:rPr>
        <w:t xml:space="preserve">Le conducteur d’un </w:t>
      </w:r>
      <w:r w:rsidRPr="00A43636">
        <w:rPr>
          <w:lang w:eastAsia="fr-FR"/>
        </w:rPr>
        <w:t>véhicule</w:t>
      </w:r>
      <w:r>
        <w:rPr>
          <w:rFonts w:asciiTheme="majorBidi" w:hAnsiTheme="majorBidi" w:cstheme="majorBidi"/>
          <w:lang w:eastAsia="fr-FR"/>
        </w:rPr>
        <w:t xml:space="preserve"> en approche ayant ralenti peut éprouver une certa</w:t>
      </w:r>
      <w:bookmarkStart w:id="1" w:name="_GoBack"/>
      <w:bookmarkEnd w:id="1"/>
      <w:r>
        <w:rPr>
          <w:rFonts w:asciiTheme="majorBidi" w:hAnsiTheme="majorBidi" w:cstheme="majorBidi"/>
          <w:lang w:eastAsia="fr-FR"/>
        </w:rPr>
        <w:t xml:space="preserve">ine confusion face au véhicule </w:t>
      </w:r>
      <w:r w:rsidRPr="008C6C2E">
        <w:rPr>
          <w:rFonts w:asciiTheme="majorBidi" w:hAnsiTheme="majorBidi" w:cstheme="majorBidi"/>
          <w:lang w:eastAsia="fr-FR"/>
        </w:rPr>
        <w:t xml:space="preserve">équipé de </w:t>
      </w:r>
      <w:r>
        <w:rPr>
          <w:rFonts w:asciiTheme="majorBidi" w:hAnsiTheme="majorBidi" w:cstheme="majorBidi"/>
          <w:lang w:eastAsia="fr-FR"/>
        </w:rPr>
        <w:t>l’</w:t>
      </w:r>
      <w:r w:rsidRPr="005C7386">
        <w:rPr>
          <w:rFonts w:asciiTheme="majorBidi" w:hAnsiTheme="majorBidi" w:cstheme="majorBidi"/>
          <w:lang w:eastAsia="fr-FR"/>
        </w:rPr>
        <w:t xml:space="preserve">ACSF </w:t>
      </w:r>
      <w:r>
        <w:rPr>
          <w:rFonts w:asciiTheme="majorBidi" w:hAnsiTheme="majorBidi" w:cstheme="majorBidi"/>
          <w:lang w:eastAsia="fr-FR"/>
        </w:rPr>
        <w:t>si celui-ci n’a pas débuté la manœuvre de changement de voie alors que son indicateur de direction était allumé et qu’il disposait de l’espace nécessaire</w:t>
      </w:r>
      <w:r w:rsidRPr="005C7386">
        <w:rPr>
          <w:rFonts w:asciiTheme="majorBidi" w:hAnsiTheme="majorBidi" w:cstheme="majorBidi"/>
          <w:lang w:eastAsia="fr-FR"/>
        </w:rPr>
        <w:t>.</w:t>
      </w:r>
    </w:p>
    <w:p w:rsidR="00EB042C" w:rsidRPr="00EB042C" w:rsidRDefault="00EB042C" w:rsidP="00EB042C">
      <w:pPr>
        <w:pStyle w:val="SingleTxtG"/>
        <w:spacing w:before="240" w:after="0"/>
        <w:jc w:val="center"/>
        <w:rPr>
          <w:u w:val="single"/>
        </w:rPr>
      </w:pPr>
      <w:r>
        <w:rPr>
          <w:u w:val="single"/>
        </w:rPr>
        <w:tab/>
      </w:r>
      <w:r>
        <w:rPr>
          <w:u w:val="single"/>
        </w:rPr>
        <w:tab/>
      </w:r>
      <w:r>
        <w:rPr>
          <w:u w:val="single"/>
        </w:rPr>
        <w:tab/>
      </w:r>
    </w:p>
    <w:sectPr w:rsidR="00EB042C" w:rsidRPr="00EB042C" w:rsidSect="00C751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36" w:rsidRDefault="00790C36" w:rsidP="00F95C08">
      <w:pPr>
        <w:spacing w:line="240" w:lineRule="auto"/>
      </w:pPr>
    </w:p>
  </w:endnote>
  <w:endnote w:type="continuationSeparator" w:id="0">
    <w:p w:rsidR="00790C36" w:rsidRPr="00AC3823" w:rsidRDefault="00790C36" w:rsidP="00AC3823">
      <w:pPr>
        <w:pStyle w:val="Pieddepage"/>
      </w:pPr>
    </w:p>
  </w:endnote>
  <w:endnote w:type="continuationNotice" w:id="1">
    <w:p w:rsidR="00790C36" w:rsidRDefault="00790C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B8" w:rsidRPr="00C751B8" w:rsidRDefault="00C751B8" w:rsidP="00C751B8">
    <w:pPr>
      <w:pStyle w:val="Pieddepage"/>
      <w:tabs>
        <w:tab w:val="right" w:pos="9638"/>
      </w:tabs>
    </w:pPr>
    <w:r w:rsidRPr="00C751B8">
      <w:rPr>
        <w:b/>
        <w:sz w:val="18"/>
      </w:rPr>
      <w:fldChar w:fldCharType="begin"/>
    </w:r>
    <w:r w:rsidRPr="00C751B8">
      <w:rPr>
        <w:b/>
        <w:sz w:val="18"/>
      </w:rPr>
      <w:instrText xml:space="preserve"> PAGE  \* MERGEFORMAT </w:instrText>
    </w:r>
    <w:r w:rsidRPr="00C751B8">
      <w:rPr>
        <w:b/>
        <w:sz w:val="18"/>
      </w:rPr>
      <w:fldChar w:fldCharType="separate"/>
    </w:r>
    <w:r w:rsidR="00A60E04">
      <w:rPr>
        <w:b/>
        <w:noProof/>
        <w:sz w:val="18"/>
      </w:rPr>
      <w:t>4</w:t>
    </w:r>
    <w:r w:rsidRPr="00C751B8">
      <w:rPr>
        <w:b/>
        <w:sz w:val="18"/>
      </w:rPr>
      <w:fldChar w:fldCharType="end"/>
    </w:r>
    <w:r>
      <w:rPr>
        <w:b/>
        <w:sz w:val="18"/>
      </w:rPr>
      <w:tab/>
    </w:r>
    <w:r>
      <w:t>GE.19-11849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B8" w:rsidRPr="00C751B8" w:rsidRDefault="00C751B8" w:rsidP="00C751B8">
    <w:pPr>
      <w:pStyle w:val="Pieddepage"/>
      <w:tabs>
        <w:tab w:val="right" w:pos="9638"/>
      </w:tabs>
      <w:rPr>
        <w:b/>
        <w:sz w:val="18"/>
      </w:rPr>
    </w:pPr>
    <w:r>
      <w:t>GE.19-11849</w:t>
    </w:r>
    <w:r>
      <w:tab/>
    </w:r>
    <w:r w:rsidRPr="00C751B8">
      <w:rPr>
        <w:b/>
        <w:sz w:val="18"/>
      </w:rPr>
      <w:fldChar w:fldCharType="begin"/>
    </w:r>
    <w:r w:rsidRPr="00C751B8">
      <w:rPr>
        <w:b/>
        <w:sz w:val="18"/>
      </w:rPr>
      <w:instrText xml:space="preserve"> PAGE  \* MERGEFORMAT </w:instrText>
    </w:r>
    <w:r w:rsidRPr="00C751B8">
      <w:rPr>
        <w:b/>
        <w:sz w:val="18"/>
      </w:rPr>
      <w:fldChar w:fldCharType="separate"/>
    </w:r>
    <w:r w:rsidR="00A60E04">
      <w:rPr>
        <w:b/>
        <w:noProof/>
        <w:sz w:val="18"/>
      </w:rPr>
      <w:t>5</w:t>
    </w:r>
    <w:r w:rsidRPr="00C751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751B8" w:rsidRDefault="00C751B8" w:rsidP="00C751B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19-11849  (F)</w:t>
    </w:r>
    <w:r w:rsidR="00EB042C">
      <w:rPr>
        <w:sz w:val="20"/>
      </w:rPr>
      <w:t xml:space="preserve">    260719    290719</w:t>
    </w:r>
    <w:r>
      <w:rPr>
        <w:sz w:val="20"/>
      </w:rPr>
      <w:br/>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sidRPr="00C751B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36" w:rsidRPr="00AC3823" w:rsidRDefault="00790C36" w:rsidP="00AC3823">
      <w:pPr>
        <w:pStyle w:val="Pieddepage"/>
        <w:tabs>
          <w:tab w:val="right" w:pos="2155"/>
        </w:tabs>
        <w:spacing w:after="80" w:line="240" w:lineRule="atLeast"/>
        <w:ind w:left="680"/>
        <w:rPr>
          <w:u w:val="single"/>
        </w:rPr>
      </w:pPr>
      <w:r>
        <w:rPr>
          <w:u w:val="single"/>
        </w:rPr>
        <w:tab/>
      </w:r>
    </w:p>
  </w:footnote>
  <w:footnote w:type="continuationSeparator" w:id="0">
    <w:p w:rsidR="00790C36" w:rsidRPr="00AC3823" w:rsidRDefault="00790C36" w:rsidP="00AC3823">
      <w:pPr>
        <w:pStyle w:val="Pieddepage"/>
        <w:tabs>
          <w:tab w:val="right" w:pos="2155"/>
        </w:tabs>
        <w:spacing w:after="80" w:line="240" w:lineRule="atLeast"/>
        <w:ind w:left="680"/>
        <w:rPr>
          <w:u w:val="single"/>
        </w:rPr>
      </w:pPr>
      <w:r>
        <w:rPr>
          <w:u w:val="single"/>
        </w:rPr>
        <w:tab/>
      </w:r>
    </w:p>
  </w:footnote>
  <w:footnote w:type="continuationNotice" w:id="1">
    <w:p w:rsidR="00790C36" w:rsidRPr="00AC3823" w:rsidRDefault="00790C36">
      <w:pPr>
        <w:spacing w:line="240" w:lineRule="auto"/>
        <w:rPr>
          <w:sz w:val="2"/>
          <w:szCs w:val="2"/>
        </w:rPr>
      </w:pPr>
    </w:p>
  </w:footnote>
  <w:footnote w:id="2">
    <w:p w:rsidR="009B5D89" w:rsidRPr="009B5D89" w:rsidRDefault="009B5D89">
      <w:pPr>
        <w:pStyle w:val="Notedebasdepage"/>
      </w:pPr>
      <w:r>
        <w:rPr>
          <w:rStyle w:val="Appelnotedebasdep"/>
        </w:rPr>
        <w:tab/>
      </w:r>
      <w:r w:rsidRPr="009B5D89">
        <w:rPr>
          <w:rStyle w:val="Appelnotedebasdep"/>
          <w:sz w:val="20"/>
          <w:vertAlign w:val="baseline"/>
        </w:rPr>
        <w:t>*</w:t>
      </w:r>
      <w:r>
        <w:rPr>
          <w:rStyle w:val="Appelnotedebasdep"/>
          <w:sz w:val="20"/>
          <w:vertAlign w:val="baseline"/>
        </w:rPr>
        <w:tab/>
      </w:r>
      <w:r w:rsidR="006D5E31" w:rsidRPr="006D5E31">
        <w:rPr>
          <w:sz w:val="20"/>
        </w:rPr>
        <w:t>Anciennement</w:t>
      </w:r>
      <w:r w:rsidR="00EB042C">
        <w:rPr>
          <w:sz w:val="20"/>
        </w:rPr>
        <w:t> </w:t>
      </w:r>
      <w:r w:rsidR="006D5E31" w:rsidRPr="006D5E31">
        <w:rPr>
          <w:sz w:val="20"/>
        </w:rPr>
        <w:t xml:space="preserve">: </w:t>
      </w:r>
      <w:r w:rsidR="006D5E31" w:rsidRPr="00EB042C">
        <w:rPr>
          <w:b/>
          <w:sz w:val="20"/>
        </w:rPr>
        <w:t>Groupe de travail en matière de roulement et de freinage (GRRF)</w:t>
      </w:r>
      <w:r w:rsidR="006D5E31" w:rsidRPr="00D179E3">
        <w:rPr>
          <w:sz w:val="20"/>
        </w:rPr>
        <w:t>.</w:t>
      </w:r>
    </w:p>
  </w:footnote>
  <w:footnote w:id="3">
    <w:p w:rsidR="009A530C" w:rsidRPr="009A530C" w:rsidRDefault="009A530C">
      <w:pPr>
        <w:pStyle w:val="Notedebasdepage"/>
      </w:pPr>
      <w:r>
        <w:rPr>
          <w:rStyle w:val="Appelnotedebasdep"/>
        </w:rPr>
        <w:tab/>
      </w:r>
      <w:r w:rsidRPr="009A530C">
        <w:rPr>
          <w:rStyle w:val="Appelnotedebasdep"/>
          <w:sz w:val="20"/>
          <w:vertAlign w:val="baseline"/>
        </w:rPr>
        <w:t>**</w:t>
      </w:r>
      <w:r>
        <w:rPr>
          <w:rStyle w:val="Appelnotedebasdep"/>
          <w:sz w:val="20"/>
          <w:vertAlign w:val="baseline"/>
        </w:rPr>
        <w:tab/>
      </w:r>
      <w:r>
        <w:rPr>
          <w:lang w:val="fr-FR"/>
        </w:rPr>
        <w:t>Conformément au programme de travail du Comité des transp</w:t>
      </w:r>
      <w:r w:rsidR="00D179E3">
        <w:rPr>
          <w:lang w:val="fr-FR"/>
        </w:rPr>
        <w:t>orts intérieurs pour la période </w:t>
      </w:r>
      <w:r>
        <w:rPr>
          <w:lang w:val="fr-FR"/>
        </w:rPr>
        <w:t>2018</w:t>
      </w:r>
      <w:r w:rsidR="00EB042C">
        <w:rPr>
          <w:lang w:val="fr-FR"/>
        </w:rPr>
        <w:noBreakHyphen/>
      </w:r>
      <w:r>
        <w:rPr>
          <w:lang w:val="fr-FR"/>
        </w:rPr>
        <w:t>2019 (ECE/TRANS/274, par. 123, et ECE/TRANS/</w:t>
      </w:r>
      <w:r w:rsidRPr="00BB2FF1">
        <w:rPr>
          <w:lang w:val="fr-FR"/>
        </w:rPr>
        <w:t>2018/21/Add.1</w:t>
      </w:r>
      <w:r>
        <w:rPr>
          <w:lang w:val="fr-FR"/>
        </w:rPr>
        <w:t>, module 3), le Forum mondial a pour mission d’élaborer, d’harmoniser et de mettre à jour les Règlements ONU en vue d’améliorer les caractéristiques fonctionnelles des véhicules. Le présent document est soumis en vertu de ce mandat</w:t>
      </w:r>
      <w:r w:rsidRPr="0094339F">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B8" w:rsidRPr="00C751B8" w:rsidRDefault="00CF218F">
    <w:pPr>
      <w:pStyle w:val="En-tte"/>
    </w:pPr>
    <w:fldSimple w:instr=" TITLE  \* MERGEFORMAT ">
      <w:r w:rsidR="00A60E04">
        <w:t>ECE/TRANS/WP.29/GRVA/2019/27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B8" w:rsidRPr="00C751B8" w:rsidRDefault="00CF218F" w:rsidP="00C751B8">
    <w:pPr>
      <w:pStyle w:val="En-tte"/>
      <w:jc w:val="right"/>
    </w:pPr>
    <w:fldSimple w:instr=" TITLE  \* MERGEFORMAT ">
      <w:r w:rsidR="00A60E04">
        <w:t>ECE/TRANS/WP.29/GRVA/2019/27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36"/>
    <w:rsid w:val="00017F94"/>
    <w:rsid w:val="00023842"/>
    <w:rsid w:val="000334F9"/>
    <w:rsid w:val="00045FEB"/>
    <w:rsid w:val="0007796D"/>
    <w:rsid w:val="000B7790"/>
    <w:rsid w:val="00111F2F"/>
    <w:rsid w:val="0014365E"/>
    <w:rsid w:val="00143C66"/>
    <w:rsid w:val="001657CB"/>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8397D"/>
    <w:rsid w:val="004E2EED"/>
    <w:rsid w:val="004E468C"/>
    <w:rsid w:val="005505B7"/>
    <w:rsid w:val="00573BE5"/>
    <w:rsid w:val="00586ED3"/>
    <w:rsid w:val="00596AA9"/>
    <w:rsid w:val="006D5E31"/>
    <w:rsid w:val="0071601D"/>
    <w:rsid w:val="00790C36"/>
    <w:rsid w:val="007A62E6"/>
    <w:rsid w:val="007C3826"/>
    <w:rsid w:val="007F20FA"/>
    <w:rsid w:val="0080684C"/>
    <w:rsid w:val="00871C75"/>
    <w:rsid w:val="008776DC"/>
    <w:rsid w:val="009446C0"/>
    <w:rsid w:val="009705C8"/>
    <w:rsid w:val="009A530C"/>
    <w:rsid w:val="009B5D89"/>
    <w:rsid w:val="009C1CF4"/>
    <w:rsid w:val="009F6B74"/>
    <w:rsid w:val="00A3029F"/>
    <w:rsid w:val="00A30353"/>
    <w:rsid w:val="00A43636"/>
    <w:rsid w:val="00A60E04"/>
    <w:rsid w:val="00AA52B0"/>
    <w:rsid w:val="00AC3823"/>
    <w:rsid w:val="00AE323C"/>
    <w:rsid w:val="00AF0CB5"/>
    <w:rsid w:val="00B00181"/>
    <w:rsid w:val="00B00B0D"/>
    <w:rsid w:val="00B45F2E"/>
    <w:rsid w:val="00B765F7"/>
    <w:rsid w:val="00BA0CA9"/>
    <w:rsid w:val="00C02897"/>
    <w:rsid w:val="00C751B8"/>
    <w:rsid w:val="00C84163"/>
    <w:rsid w:val="00C97039"/>
    <w:rsid w:val="00CF218F"/>
    <w:rsid w:val="00D179E3"/>
    <w:rsid w:val="00D3439C"/>
    <w:rsid w:val="00DB1831"/>
    <w:rsid w:val="00DD3BFD"/>
    <w:rsid w:val="00DF6678"/>
    <w:rsid w:val="00E0299A"/>
    <w:rsid w:val="00E85C74"/>
    <w:rsid w:val="00EA6547"/>
    <w:rsid w:val="00EB042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8DD52"/>
  <w15:docId w15:val="{40869EB1-E6D5-43C6-A9AD-BFF864A0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2129</Words>
  <Characters>10945</Characters>
  <Application>Microsoft Office Word</Application>
  <DocSecurity>0</DocSecurity>
  <Lines>214</Lines>
  <Paragraphs>92</Paragraphs>
  <ScaleCrop>false</ScaleCrop>
  <HeadingPairs>
    <vt:vector size="2" baseType="variant">
      <vt:variant>
        <vt:lpstr>Titre</vt:lpstr>
      </vt:variant>
      <vt:variant>
        <vt:i4>1</vt:i4>
      </vt:variant>
    </vt:vector>
  </HeadingPairs>
  <TitlesOfParts>
    <vt:vector size="1" baseType="lpstr">
      <vt:lpstr>ECE/TRANS/WP.29/GRVA/2019/27</vt:lpstr>
    </vt:vector>
  </TitlesOfParts>
  <Company>DCM</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ECE/TRANS/WP.29/GRVA/2019/27</dc:title>
  <dc:subject/>
  <dc:creator>Julien OKRZESIK</dc:creator>
  <cp:keywords/>
  <cp:lastModifiedBy>Julien Okrzesik</cp:lastModifiedBy>
  <cp:revision>3</cp:revision>
  <cp:lastPrinted>2019-07-29T07:55:00Z</cp:lastPrinted>
  <dcterms:created xsi:type="dcterms:W3CDTF">2019-07-29T07:55:00Z</dcterms:created>
  <dcterms:modified xsi:type="dcterms:W3CDTF">2019-07-29T07:55:00Z</dcterms:modified>
</cp:coreProperties>
</file>