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ED4AD8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E7AB52" w14:textId="77777777" w:rsidR="00F35BAF" w:rsidRPr="00DB58B5" w:rsidRDefault="00F35BAF" w:rsidP="007D53F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A4399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411BD0" w14:textId="77777777" w:rsidR="00F35BAF" w:rsidRPr="00DB58B5" w:rsidRDefault="007D53FE" w:rsidP="007D53FE">
            <w:pPr>
              <w:jc w:val="right"/>
            </w:pPr>
            <w:r w:rsidRPr="007D53FE">
              <w:rPr>
                <w:sz w:val="40"/>
              </w:rPr>
              <w:t>ECE</w:t>
            </w:r>
            <w:r>
              <w:t>/TRANS/WP.29/GRVA/2019/25</w:t>
            </w:r>
          </w:p>
        </w:tc>
      </w:tr>
      <w:tr w:rsidR="00F35BAF" w:rsidRPr="00DB58B5" w14:paraId="04A9CFC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11683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987545" wp14:editId="2DD77E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D7AF7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744060" w14:textId="77777777" w:rsidR="00F35BAF" w:rsidRDefault="007D53FE" w:rsidP="00C97039">
            <w:pPr>
              <w:spacing w:before="240"/>
            </w:pPr>
            <w:r>
              <w:t>Distr. générale</w:t>
            </w:r>
          </w:p>
          <w:p w14:paraId="15D68748" w14:textId="77777777" w:rsidR="007D53FE" w:rsidRDefault="007D53FE" w:rsidP="007D53FE">
            <w:pPr>
              <w:spacing w:line="240" w:lineRule="exact"/>
            </w:pPr>
            <w:r>
              <w:t>10 juillet 2019</w:t>
            </w:r>
          </w:p>
          <w:p w14:paraId="621097EA" w14:textId="77777777" w:rsidR="007D53FE" w:rsidRDefault="007D53FE" w:rsidP="007D53FE">
            <w:pPr>
              <w:spacing w:line="240" w:lineRule="exact"/>
            </w:pPr>
            <w:r>
              <w:t>Français</w:t>
            </w:r>
          </w:p>
          <w:p w14:paraId="31A0E624" w14:textId="77777777" w:rsidR="007D53FE" w:rsidRPr="00DB58B5" w:rsidRDefault="007D53FE" w:rsidP="007D53FE">
            <w:pPr>
              <w:spacing w:line="240" w:lineRule="exact"/>
            </w:pPr>
            <w:r>
              <w:t>Original : anglais</w:t>
            </w:r>
          </w:p>
        </w:tc>
      </w:tr>
    </w:tbl>
    <w:p w14:paraId="0194602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54EE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438A83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9ABBE5" w14:textId="77777777" w:rsidR="007D53FE" w:rsidRDefault="007D53FE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54EE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7272B13" w14:textId="77777777" w:rsidR="007D53FE" w:rsidRDefault="007D53FE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  <w:r w:rsidR="004A34CF" w:rsidRPr="004A34CF">
        <w:rPr>
          <w:rStyle w:val="Appelnotedebasdep"/>
          <w:sz w:val="20"/>
          <w:vertAlign w:val="baseline"/>
          <w:lang w:val="fr-FR"/>
        </w:rPr>
        <w:footnoteReference w:customMarkFollows="1" w:id="2"/>
        <w:t>*</w:t>
      </w:r>
    </w:p>
    <w:p w14:paraId="14AC6946" w14:textId="77777777" w:rsidR="007D53FE" w:rsidRDefault="007D53FE" w:rsidP="00A3029F">
      <w:pPr>
        <w:spacing w:before="120"/>
        <w:rPr>
          <w:b/>
        </w:rPr>
      </w:pPr>
      <w:r>
        <w:rPr>
          <w:b/>
        </w:rPr>
        <w:t>Quatrième session</w:t>
      </w:r>
    </w:p>
    <w:p w14:paraId="354F4F17" w14:textId="77777777" w:rsidR="007D53FE" w:rsidRPr="00F16B23" w:rsidRDefault="007D53FE" w:rsidP="007D53FE">
      <w:pPr>
        <w:rPr>
          <w:lang w:val="fr-FR"/>
        </w:rPr>
      </w:pPr>
      <w:r w:rsidRPr="00F16B23">
        <w:rPr>
          <w:lang w:val="fr-FR"/>
        </w:rPr>
        <w:t>Genève, 24-27 septembre 2019</w:t>
      </w:r>
    </w:p>
    <w:p w14:paraId="3E99E2B9" w14:textId="77777777" w:rsidR="007D53FE" w:rsidRPr="00F16B23" w:rsidRDefault="007D53FE" w:rsidP="007D53FE">
      <w:pPr>
        <w:rPr>
          <w:lang w:val="fr-FR"/>
        </w:rPr>
      </w:pPr>
      <w:r w:rsidRPr="00F16B23">
        <w:rPr>
          <w:lang w:val="fr-FR"/>
        </w:rPr>
        <w:t>Point 10 de l</w:t>
      </w:r>
      <w:r w:rsidR="00D54EED">
        <w:rPr>
          <w:lang w:val="fr-FR"/>
        </w:rPr>
        <w:t>’</w:t>
      </w:r>
      <w:r w:rsidRPr="00F16B23">
        <w:rPr>
          <w:lang w:val="fr-FR"/>
        </w:rPr>
        <w:t>ordre du jour provisoire</w:t>
      </w:r>
    </w:p>
    <w:p w14:paraId="309BA3FB" w14:textId="77777777" w:rsidR="00F9573C" w:rsidRDefault="007D53FE" w:rsidP="007D53FE">
      <w:pPr>
        <w:spacing w:line="240" w:lineRule="exact"/>
        <w:rPr>
          <w:b/>
          <w:lang w:val="fr-FR"/>
        </w:rPr>
      </w:pPr>
      <w:r w:rsidRPr="00F16B23">
        <w:rPr>
          <w:b/>
          <w:lang w:val="fr-FR"/>
        </w:rPr>
        <w:t>Règlement ONU n</w:t>
      </w:r>
      <w:r w:rsidRPr="00F16B23">
        <w:rPr>
          <w:b/>
          <w:vertAlign w:val="superscript"/>
          <w:lang w:val="fr-FR"/>
        </w:rPr>
        <w:t>o</w:t>
      </w:r>
      <w:r w:rsidRPr="00F16B23">
        <w:rPr>
          <w:b/>
          <w:lang w:val="fr-FR"/>
        </w:rPr>
        <w:t> 90</w:t>
      </w:r>
    </w:p>
    <w:p w14:paraId="5DEEA6AE" w14:textId="77777777" w:rsidR="007D53FE" w:rsidRPr="007D53FE" w:rsidRDefault="007D53FE" w:rsidP="007D53FE">
      <w:pPr>
        <w:pStyle w:val="HChG"/>
        <w:rPr>
          <w:lang w:val="fr-FR"/>
        </w:rPr>
      </w:pPr>
      <w:r w:rsidRPr="007D53FE">
        <w:rPr>
          <w:lang w:val="fr-FR"/>
        </w:rPr>
        <w:tab/>
      </w:r>
      <w:r w:rsidRPr="007D53FE">
        <w:rPr>
          <w:lang w:val="fr-FR"/>
        </w:rPr>
        <w:tab/>
        <w:t>Proposition de complément 5 à la série 02 d</w:t>
      </w:r>
      <w:r w:rsidR="00D54EED">
        <w:rPr>
          <w:lang w:val="fr-FR"/>
        </w:rPr>
        <w:t>’</w:t>
      </w:r>
      <w:r w:rsidRPr="007D53FE">
        <w:rPr>
          <w:lang w:val="fr-FR"/>
        </w:rPr>
        <w:t xml:space="preserve">amendements </w:t>
      </w:r>
      <w:r w:rsidRPr="007D53FE">
        <w:rPr>
          <w:lang w:val="fr-FR"/>
        </w:rPr>
        <w:br/>
        <w:t>au Règlement ONU n</w:t>
      </w:r>
      <w:r w:rsidRPr="007D53FE">
        <w:rPr>
          <w:vertAlign w:val="superscript"/>
          <w:lang w:val="fr-FR"/>
        </w:rPr>
        <w:t>o</w:t>
      </w:r>
      <w:r w:rsidRPr="007D53FE">
        <w:rPr>
          <w:lang w:val="fr-FR"/>
        </w:rPr>
        <w:t xml:space="preserve"> 90 (Garnitures, plaquettes, </w:t>
      </w:r>
      <w:r w:rsidRPr="007D53FE">
        <w:rPr>
          <w:lang w:val="fr-FR"/>
        </w:rPr>
        <w:br/>
        <w:t>disques et tambours de frein de rechange)</w:t>
      </w:r>
    </w:p>
    <w:p w14:paraId="277D3A87" w14:textId="77777777" w:rsidR="007D53FE" w:rsidRPr="007D53FE" w:rsidRDefault="007D53FE" w:rsidP="007D53FE">
      <w:pPr>
        <w:pStyle w:val="H1G"/>
        <w:rPr>
          <w:lang w:val="fr-FR"/>
        </w:rPr>
      </w:pPr>
      <w:r w:rsidRPr="007D53FE">
        <w:rPr>
          <w:lang w:val="fr-FR"/>
        </w:rPr>
        <w:tab/>
      </w:r>
      <w:r w:rsidRPr="007D53FE">
        <w:rPr>
          <w:lang w:val="fr-FR"/>
        </w:rPr>
        <w:tab/>
        <w:t>Communication de l</w:t>
      </w:r>
      <w:r w:rsidR="00D54EED">
        <w:rPr>
          <w:lang w:val="fr-FR"/>
        </w:rPr>
        <w:t>’</w:t>
      </w:r>
      <w:r w:rsidRPr="007D53FE">
        <w:rPr>
          <w:lang w:val="fr-FR"/>
        </w:rPr>
        <w:t>expert de la Fédération de Russie</w:t>
      </w:r>
      <w:r w:rsidRPr="007D53FE">
        <w:rPr>
          <w:b w:val="0"/>
          <w:bCs/>
          <w:sz w:val="20"/>
          <w:lang w:val="fr-FR"/>
        </w:rPr>
        <w:footnoteReference w:customMarkFollows="1" w:id="3"/>
        <w:t>**</w:t>
      </w:r>
    </w:p>
    <w:p w14:paraId="0A3B144E" w14:textId="77777777" w:rsidR="007D53FE" w:rsidRDefault="007D53FE" w:rsidP="007D53FE">
      <w:pPr>
        <w:pStyle w:val="SingleTxtG"/>
        <w:ind w:firstLine="567"/>
        <w:rPr>
          <w:iCs/>
          <w:lang w:val="fr-FR"/>
        </w:rPr>
      </w:pPr>
      <w:r w:rsidRPr="007D53FE">
        <w:rPr>
          <w:lang w:val="fr-FR"/>
        </w:rPr>
        <w:t xml:space="preserve">La présente proposition vise à </w:t>
      </w:r>
      <w:r w:rsidRPr="007D53FE">
        <w:rPr>
          <w:iCs/>
          <w:lang w:val="fr-FR"/>
        </w:rPr>
        <w:t xml:space="preserve">harmoniser les dispositions </w:t>
      </w:r>
      <w:r w:rsidRPr="007D53FE">
        <w:rPr>
          <w:lang w:val="fr-FR"/>
        </w:rPr>
        <w:t>du Règlement ONU n</w:t>
      </w:r>
      <w:r w:rsidRPr="007D53FE">
        <w:rPr>
          <w:vertAlign w:val="superscript"/>
          <w:lang w:val="fr-FR"/>
        </w:rPr>
        <w:t>o</w:t>
      </w:r>
      <w:r w:rsidRPr="007D53FE">
        <w:rPr>
          <w:lang w:val="fr-FR"/>
        </w:rPr>
        <w:t xml:space="preserve"> 90 </w:t>
      </w:r>
      <w:r w:rsidRPr="007D53FE">
        <w:rPr>
          <w:iCs/>
          <w:lang w:val="fr-FR"/>
        </w:rPr>
        <w:t>relatives aux numéros et aux marques d</w:t>
      </w:r>
      <w:r w:rsidR="00D54EED">
        <w:rPr>
          <w:iCs/>
          <w:lang w:val="fr-FR"/>
        </w:rPr>
        <w:t>’</w:t>
      </w:r>
      <w:r w:rsidRPr="007D53FE">
        <w:rPr>
          <w:iCs/>
          <w:lang w:val="fr-FR"/>
        </w:rPr>
        <w:t>homologation avec celles de l</w:t>
      </w:r>
      <w:r w:rsidR="00D54EED">
        <w:rPr>
          <w:iCs/>
          <w:lang w:val="fr-FR"/>
        </w:rPr>
        <w:t>’</w:t>
      </w:r>
      <w:r w:rsidRPr="007D53FE">
        <w:rPr>
          <w:iCs/>
          <w:lang w:val="fr-FR"/>
        </w:rPr>
        <w:t>annexe 4 de l</w:t>
      </w:r>
      <w:r w:rsidR="00D54EED">
        <w:rPr>
          <w:iCs/>
          <w:lang w:val="fr-FR"/>
        </w:rPr>
        <w:t>’</w:t>
      </w:r>
      <w:r w:rsidRPr="007D53FE">
        <w:rPr>
          <w:iCs/>
          <w:lang w:val="fr-FR"/>
        </w:rPr>
        <w:t>Accord de 1958</w:t>
      </w:r>
      <w:r w:rsidRPr="007D53FE">
        <w:rPr>
          <w:lang w:val="fr-FR"/>
        </w:rPr>
        <w:t xml:space="preserve"> afin de répondre aux préoccupations exprimées par le groupe de travail informel de l</w:t>
      </w:r>
      <w:r w:rsidR="00D54EED">
        <w:rPr>
          <w:lang w:val="fr-FR"/>
        </w:rPr>
        <w:t>’</w:t>
      </w:r>
      <w:r w:rsidRPr="007D53FE">
        <w:rPr>
          <w:lang w:val="fr-FR"/>
        </w:rPr>
        <w:t>homologation de type internationale de l</w:t>
      </w:r>
      <w:r w:rsidR="00D54EED">
        <w:rPr>
          <w:lang w:val="fr-FR"/>
        </w:rPr>
        <w:t>’</w:t>
      </w:r>
      <w:r w:rsidRPr="007D53FE">
        <w:rPr>
          <w:lang w:val="fr-FR"/>
        </w:rPr>
        <w:t>ensemble du véhicule (IWVTA) à la 175</w:t>
      </w:r>
      <w:r w:rsidRPr="007D53FE">
        <w:rPr>
          <w:vertAlign w:val="superscript"/>
          <w:lang w:val="fr-FR"/>
        </w:rPr>
        <w:t>e</w:t>
      </w:r>
      <w:r w:rsidRPr="007D53FE">
        <w:rPr>
          <w:lang w:val="fr-FR"/>
        </w:rPr>
        <w:t> session du Forum mondial de l</w:t>
      </w:r>
      <w:r w:rsidR="00D54EED">
        <w:rPr>
          <w:lang w:val="fr-FR"/>
        </w:rPr>
        <w:t>’</w:t>
      </w:r>
      <w:r w:rsidRPr="007D53FE">
        <w:rPr>
          <w:lang w:val="fr-FR"/>
        </w:rPr>
        <w:t xml:space="preserve">harmonisation des Règlements concernant les véhicules (WP.29) (ECE/TRANS/WP.29/1139, par. 67). </w:t>
      </w:r>
      <w:r w:rsidRPr="007D53FE">
        <w:rPr>
          <w:iCs/>
          <w:lang w:val="fr-FR"/>
        </w:rPr>
        <w:t xml:space="preserve">Elle est fondée sur le document de travail </w:t>
      </w:r>
      <w:r w:rsidRPr="007D53FE">
        <w:rPr>
          <w:lang w:val="fr-FR"/>
        </w:rPr>
        <w:t>ECE/TRANS/WP.29/GRVA/2019/11. Les modifications tiennent compte des résultats de l</w:t>
      </w:r>
      <w:r w:rsidR="00D54EED">
        <w:rPr>
          <w:lang w:val="fr-FR"/>
        </w:rPr>
        <w:t>’</w:t>
      </w:r>
      <w:r w:rsidRPr="007D53FE">
        <w:rPr>
          <w:lang w:val="fr-FR"/>
        </w:rPr>
        <w:t>examen de cette proposition, qui s</w:t>
      </w:r>
      <w:r w:rsidR="00D54EED">
        <w:rPr>
          <w:lang w:val="fr-FR"/>
        </w:rPr>
        <w:t>’</w:t>
      </w:r>
      <w:r w:rsidRPr="007D53FE">
        <w:rPr>
          <w:lang w:val="fr-FR"/>
        </w:rPr>
        <w:t xml:space="preserve">est déroulé lors de la deuxième session du Groupe de travail. </w:t>
      </w:r>
      <w:r w:rsidRPr="007D53FE">
        <w:rPr>
          <w:iCs/>
          <w:lang w:val="fr-FR"/>
        </w:rPr>
        <w:t>Les modifications qu</w:t>
      </w:r>
      <w:r w:rsidR="00D54EED">
        <w:rPr>
          <w:iCs/>
          <w:lang w:val="fr-FR"/>
        </w:rPr>
        <w:t>’</w:t>
      </w:r>
      <w:r w:rsidRPr="007D53FE">
        <w:rPr>
          <w:iCs/>
          <w:lang w:val="fr-FR"/>
        </w:rPr>
        <w:t>il est proposé d</w:t>
      </w:r>
      <w:r w:rsidR="00D54EED">
        <w:rPr>
          <w:iCs/>
          <w:lang w:val="fr-FR"/>
        </w:rPr>
        <w:t>’</w:t>
      </w:r>
      <w:r w:rsidRPr="007D53FE">
        <w:rPr>
          <w:iCs/>
          <w:lang w:val="fr-FR"/>
        </w:rPr>
        <w:t>apporter au texte actuel du Règlement figurent en caractères gras pour les ajouts et biffés pour les suppressions.</w:t>
      </w:r>
    </w:p>
    <w:p w14:paraId="17869DD9" w14:textId="77777777" w:rsidR="00A47C14" w:rsidRPr="00A47C14" w:rsidRDefault="00882DA4" w:rsidP="00A47C14">
      <w:pPr>
        <w:pStyle w:val="HChG"/>
      </w:pPr>
      <w:r>
        <w:rPr>
          <w:lang w:val="fr-FR"/>
        </w:rPr>
        <w:br w:type="page"/>
      </w:r>
      <w:r w:rsidR="00A47C14" w:rsidRPr="00A328FF">
        <w:rPr>
          <w:lang w:val="fr-FR"/>
        </w:rPr>
        <w:lastRenderedPageBreak/>
        <w:tab/>
        <w:t>I.</w:t>
      </w:r>
      <w:r w:rsidR="00A47C14" w:rsidRPr="00A328FF">
        <w:rPr>
          <w:lang w:val="fr-FR"/>
        </w:rPr>
        <w:tab/>
        <w:t>Proposition</w:t>
      </w:r>
    </w:p>
    <w:p w14:paraId="22625970" w14:textId="77777777" w:rsidR="00A47C14" w:rsidRPr="00A328FF" w:rsidRDefault="00A47C14" w:rsidP="00A47C14">
      <w:pPr>
        <w:pStyle w:val="SingleTxtG"/>
        <w:rPr>
          <w:lang w:val="fr-FR"/>
        </w:rPr>
      </w:pPr>
      <w:r w:rsidRPr="00A328FF">
        <w:rPr>
          <w:i/>
          <w:lang w:val="fr-FR"/>
        </w:rPr>
        <w:t>Au paragraphe 2, « Définitions »</w:t>
      </w:r>
      <w:r w:rsidRPr="00A328FF">
        <w:rPr>
          <w:lang w:val="fr-FR"/>
        </w:rPr>
        <w:t>, insérer les nouveaux paragraphes 2.1.4, 2.1.5 et 2.3.14 comme suit :</w:t>
      </w:r>
    </w:p>
    <w:p w14:paraId="320DDBBB" w14:textId="77777777" w:rsidR="00A47C14" w:rsidRPr="006A3D80" w:rsidRDefault="00A47C14" w:rsidP="00650926">
      <w:pPr>
        <w:pStyle w:val="SingleTxtG"/>
        <w:tabs>
          <w:tab w:val="left" w:pos="2268"/>
        </w:tabs>
        <w:ind w:left="2268" w:hanging="1134"/>
        <w:rPr>
          <w:bCs/>
          <w:szCs w:val="24"/>
          <w:lang w:val="fr-FR"/>
        </w:rPr>
      </w:pPr>
      <w:r w:rsidRPr="00A328FF">
        <w:rPr>
          <w:szCs w:val="24"/>
          <w:lang w:val="fr-FR"/>
        </w:rPr>
        <w:t>« </w:t>
      </w:r>
      <w:r w:rsidRPr="00A328FF">
        <w:rPr>
          <w:b/>
          <w:szCs w:val="24"/>
          <w:lang w:val="fr-FR"/>
        </w:rPr>
        <w:t>2.1.4</w:t>
      </w:r>
      <w:r w:rsidRPr="00A328FF">
        <w:rPr>
          <w:b/>
          <w:szCs w:val="24"/>
          <w:lang w:val="fr-FR"/>
        </w:rPr>
        <w:tab/>
      </w:r>
      <w:r w:rsidR="00811062" w:rsidRPr="00811062">
        <w:rPr>
          <w:b/>
        </w:rPr>
        <w:t>“</w:t>
      </w:r>
      <w:r w:rsidRPr="00A328FF">
        <w:rPr>
          <w:b/>
          <w:bCs/>
          <w:i/>
          <w:iCs/>
          <w:szCs w:val="24"/>
          <w:lang w:val="fr-FR"/>
        </w:rPr>
        <w:t>Code d</w:t>
      </w:r>
      <w:r w:rsidR="00D54EED">
        <w:rPr>
          <w:b/>
          <w:bCs/>
          <w:i/>
          <w:iCs/>
          <w:szCs w:val="24"/>
          <w:lang w:val="fr-FR"/>
        </w:rPr>
        <w:t>’</w:t>
      </w:r>
      <w:r w:rsidRPr="00A328FF">
        <w:rPr>
          <w:b/>
          <w:bCs/>
          <w:i/>
          <w:iCs/>
          <w:szCs w:val="24"/>
          <w:lang w:val="fr-FR"/>
        </w:rPr>
        <w:t>homologation</w:t>
      </w:r>
      <w:r w:rsidR="00811062" w:rsidRPr="00811062">
        <w:rPr>
          <w:b/>
        </w:rPr>
        <w:t>”</w:t>
      </w:r>
      <w:r>
        <w:rPr>
          <w:b/>
          <w:bCs/>
          <w:szCs w:val="24"/>
          <w:lang w:val="fr-FR"/>
        </w:rPr>
        <w:t>,</w:t>
      </w:r>
      <w:r w:rsidRPr="00A328FF">
        <w:rPr>
          <w:b/>
          <w:bCs/>
          <w:szCs w:val="24"/>
          <w:lang w:val="fr-FR"/>
        </w:rPr>
        <w:t xml:space="preserve"> </w:t>
      </w:r>
      <w:r>
        <w:rPr>
          <w:b/>
          <w:bCs/>
          <w:szCs w:val="24"/>
          <w:lang w:val="fr-FR"/>
        </w:rPr>
        <w:t xml:space="preserve">une </w:t>
      </w:r>
      <w:r w:rsidRPr="00A328FF">
        <w:rPr>
          <w:b/>
          <w:bCs/>
          <w:szCs w:val="24"/>
          <w:lang w:val="fr-FR"/>
        </w:rPr>
        <w:t>série de chiffres attribué</w:t>
      </w:r>
      <w:r>
        <w:rPr>
          <w:b/>
          <w:bCs/>
          <w:szCs w:val="24"/>
          <w:lang w:val="fr-FR"/>
        </w:rPr>
        <w:t>e</w:t>
      </w:r>
      <w:r w:rsidRPr="00A328FF">
        <w:rPr>
          <w:b/>
          <w:bCs/>
          <w:szCs w:val="24"/>
          <w:lang w:val="fr-FR"/>
        </w:rPr>
        <w:t xml:space="preserve"> par une Partie contractante à un produit, </w:t>
      </w:r>
      <w:r w:rsidRPr="00A11A09">
        <w:rPr>
          <w:b/>
          <w:bCs/>
          <w:szCs w:val="24"/>
          <w:lang w:val="fr-FR"/>
        </w:rPr>
        <w:t xml:space="preserve">selon le format prévu </w:t>
      </w:r>
      <w:r>
        <w:rPr>
          <w:b/>
          <w:bCs/>
          <w:szCs w:val="24"/>
          <w:lang w:val="fr-FR"/>
        </w:rPr>
        <w:t>a</w:t>
      </w:r>
      <w:r w:rsidRPr="00A328FF">
        <w:rPr>
          <w:b/>
          <w:bCs/>
          <w:szCs w:val="24"/>
          <w:lang w:val="fr-FR"/>
        </w:rPr>
        <w:t>u paragraphe</w:t>
      </w:r>
      <w:r w:rsidR="006A3D80">
        <w:rPr>
          <w:b/>
          <w:bCs/>
          <w:szCs w:val="24"/>
          <w:lang w:val="fr-FR"/>
        </w:rPr>
        <w:t> </w:t>
      </w:r>
      <w:r w:rsidRPr="00A328FF">
        <w:rPr>
          <w:b/>
          <w:bCs/>
          <w:szCs w:val="24"/>
          <w:lang w:val="fr-FR"/>
        </w:rPr>
        <w:t>4.2, à l</w:t>
      </w:r>
      <w:r w:rsidR="00D54EED">
        <w:rPr>
          <w:b/>
          <w:bCs/>
          <w:szCs w:val="24"/>
          <w:lang w:val="fr-FR"/>
        </w:rPr>
        <w:t>’</w:t>
      </w:r>
      <w:r w:rsidRPr="00A328FF">
        <w:rPr>
          <w:b/>
          <w:bCs/>
          <w:szCs w:val="24"/>
          <w:lang w:val="fr-FR"/>
        </w:rPr>
        <w:t>issue de la procédure d</w:t>
      </w:r>
      <w:r w:rsidR="00D54EED">
        <w:rPr>
          <w:b/>
          <w:bCs/>
          <w:szCs w:val="24"/>
          <w:lang w:val="fr-FR"/>
        </w:rPr>
        <w:t>’</w:t>
      </w:r>
      <w:r w:rsidRPr="00A328FF">
        <w:rPr>
          <w:b/>
          <w:bCs/>
          <w:szCs w:val="24"/>
          <w:lang w:val="fr-FR"/>
        </w:rPr>
        <w:t xml:space="preserve">homologation </w:t>
      </w:r>
      <w:r w:rsidRPr="006A3D80">
        <w:rPr>
          <w:b/>
          <w:bCs/>
          <w:szCs w:val="24"/>
          <w:lang w:val="fr-FR"/>
        </w:rPr>
        <w:t>prévue dans le présent Règlement</w:t>
      </w:r>
      <w:r w:rsidRPr="006A3D80">
        <w:rPr>
          <w:b/>
          <w:szCs w:val="24"/>
          <w:lang w:val="fr-FR"/>
        </w:rPr>
        <w:t xml:space="preserve">, et utilisée comme </w:t>
      </w:r>
      <w:r w:rsidRPr="006A3D80">
        <w:rPr>
          <w:b/>
          <w:iCs/>
          <w:szCs w:val="24"/>
          <w:lang w:val="fr-FR"/>
        </w:rPr>
        <w:t>marque d</w:t>
      </w:r>
      <w:r w:rsidR="00D54EED">
        <w:rPr>
          <w:b/>
          <w:iCs/>
          <w:szCs w:val="24"/>
          <w:lang w:val="fr-FR"/>
        </w:rPr>
        <w:t>’</w:t>
      </w:r>
      <w:r w:rsidRPr="006A3D80">
        <w:rPr>
          <w:b/>
          <w:iCs/>
          <w:szCs w:val="24"/>
          <w:lang w:val="fr-FR"/>
        </w:rPr>
        <w:t xml:space="preserve">homologation </w:t>
      </w:r>
      <w:r w:rsidRPr="006A3D80">
        <w:rPr>
          <w:b/>
          <w:szCs w:val="24"/>
          <w:lang w:val="fr-FR"/>
        </w:rPr>
        <w:t>sur ce produit.</w:t>
      </w:r>
    </w:p>
    <w:p w14:paraId="58B357B2" w14:textId="77777777" w:rsidR="00A47C14" w:rsidRPr="00A328FF" w:rsidRDefault="00A47C14" w:rsidP="00650926">
      <w:pPr>
        <w:pStyle w:val="SingleTxtG"/>
        <w:ind w:left="2268" w:hanging="1134"/>
        <w:rPr>
          <w:b/>
          <w:bCs/>
          <w:szCs w:val="24"/>
          <w:lang w:val="fr-FR"/>
        </w:rPr>
      </w:pPr>
      <w:r w:rsidRPr="006A3D80">
        <w:rPr>
          <w:b/>
          <w:szCs w:val="24"/>
          <w:lang w:val="fr-FR"/>
        </w:rPr>
        <w:t>2.1.5</w:t>
      </w:r>
      <w:r w:rsidRPr="006A3D80">
        <w:rPr>
          <w:b/>
          <w:szCs w:val="24"/>
          <w:lang w:val="fr-FR"/>
        </w:rPr>
        <w:tab/>
      </w:r>
      <w:r w:rsidR="00811062" w:rsidRPr="00811062">
        <w:rPr>
          <w:b/>
        </w:rPr>
        <w:t>“</w:t>
      </w:r>
      <w:r w:rsidRPr="006A3D80">
        <w:rPr>
          <w:b/>
          <w:i/>
          <w:iCs/>
          <w:szCs w:val="24"/>
          <w:lang w:val="fr-FR"/>
        </w:rPr>
        <w:t>Numéro d</w:t>
      </w:r>
      <w:r w:rsidR="00D54EED">
        <w:rPr>
          <w:b/>
          <w:i/>
          <w:iCs/>
          <w:szCs w:val="24"/>
          <w:lang w:val="fr-FR"/>
        </w:rPr>
        <w:t>’</w:t>
      </w:r>
      <w:r w:rsidRPr="006A3D80">
        <w:rPr>
          <w:b/>
          <w:i/>
          <w:iCs/>
          <w:szCs w:val="24"/>
          <w:lang w:val="fr-FR"/>
        </w:rPr>
        <w:t>homologation</w:t>
      </w:r>
      <w:r w:rsidR="00811062" w:rsidRPr="00811062">
        <w:rPr>
          <w:b/>
        </w:rPr>
        <w:t>”</w:t>
      </w:r>
      <w:r w:rsidRPr="006A3D80">
        <w:rPr>
          <w:b/>
          <w:szCs w:val="24"/>
          <w:lang w:val="fr-FR"/>
        </w:rPr>
        <w:t xml:space="preserve">, un numéro attribué par une </w:t>
      </w:r>
      <w:r w:rsidRPr="006A3D80">
        <w:rPr>
          <w:b/>
          <w:iCs/>
          <w:szCs w:val="24"/>
          <w:lang w:val="fr-FR"/>
        </w:rPr>
        <w:t xml:space="preserve">Partie contractante </w:t>
      </w:r>
      <w:r w:rsidRPr="006A3D80">
        <w:rPr>
          <w:b/>
          <w:szCs w:val="24"/>
          <w:lang w:val="fr-FR"/>
        </w:rPr>
        <w:t>pour un code d</w:t>
      </w:r>
      <w:r w:rsidR="00D54EED">
        <w:rPr>
          <w:b/>
          <w:szCs w:val="24"/>
          <w:lang w:val="fr-FR"/>
        </w:rPr>
        <w:t>’</w:t>
      </w:r>
      <w:r w:rsidRPr="006A3D80">
        <w:rPr>
          <w:b/>
          <w:szCs w:val="24"/>
          <w:lang w:val="fr-FR"/>
        </w:rPr>
        <w:t>homologation, selon le</w:t>
      </w:r>
      <w:r>
        <w:rPr>
          <w:b/>
          <w:szCs w:val="24"/>
          <w:lang w:val="fr-FR"/>
        </w:rPr>
        <w:t xml:space="preserve"> format prévu à</w:t>
      </w:r>
      <w:r w:rsidRPr="00A328FF">
        <w:rPr>
          <w:b/>
          <w:szCs w:val="24"/>
          <w:lang w:val="fr-FR"/>
        </w:rPr>
        <w:t xml:space="preserve"> l</w:t>
      </w:r>
      <w:r w:rsidR="00D54EED">
        <w:rPr>
          <w:b/>
          <w:szCs w:val="24"/>
          <w:lang w:val="fr-FR"/>
        </w:rPr>
        <w:t>’</w:t>
      </w:r>
      <w:r w:rsidRPr="00A328FF">
        <w:rPr>
          <w:b/>
          <w:szCs w:val="24"/>
          <w:lang w:val="fr-FR"/>
        </w:rPr>
        <w:t>annexe</w:t>
      </w:r>
      <w:r w:rsidR="006A3D80">
        <w:rPr>
          <w:b/>
          <w:szCs w:val="24"/>
          <w:lang w:val="fr-FR"/>
        </w:rPr>
        <w:t> </w:t>
      </w:r>
      <w:r w:rsidRPr="00A328FF">
        <w:rPr>
          <w:b/>
          <w:szCs w:val="24"/>
          <w:lang w:val="fr-FR"/>
        </w:rPr>
        <w:t>4 de la Révision</w:t>
      </w:r>
      <w:r w:rsidR="006A3D80">
        <w:rPr>
          <w:b/>
          <w:szCs w:val="24"/>
          <w:lang w:val="fr-FR"/>
        </w:rPr>
        <w:t> </w:t>
      </w:r>
      <w:r w:rsidRPr="00A328FF">
        <w:rPr>
          <w:b/>
          <w:szCs w:val="24"/>
          <w:lang w:val="fr-FR"/>
        </w:rPr>
        <w:t>3 de l</w:t>
      </w:r>
      <w:r w:rsidR="00D54EED">
        <w:rPr>
          <w:b/>
          <w:szCs w:val="24"/>
          <w:lang w:val="fr-FR"/>
        </w:rPr>
        <w:t>’</w:t>
      </w:r>
      <w:r w:rsidRPr="00A328FF">
        <w:rPr>
          <w:b/>
          <w:szCs w:val="24"/>
          <w:lang w:val="fr-FR"/>
        </w:rPr>
        <w:t>Accord de 1958 relative à la numérotation, qui n</w:t>
      </w:r>
      <w:r w:rsidR="00D54EED">
        <w:rPr>
          <w:b/>
          <w:szCs w:val="24"/>
          <w:lang w:val="fr-FR"/>
        </w:rPr>
        <w:t>’</w:t>
      </w:r>
      <w:r w:rsidRPr="00A328FF">
        <w:rPr>
          <w:b/>
          <w:szCs w:val="24"/>
          <w:lang w:val="fr-FR"/>
        </w:rPr>
        <w:t>est apposé</w:t>
      </w:r>
      <w:r w:rsidRPr="00AA676F">
        <w:rPr>
          <w:b/>
          <w:szCs w:val="24"/>
          <w:lang w:val="fr-FR"/>
        </w:rPr>
        <w:t xml:space="preserve"> </w:t>
      </w:r>
      <w:r w:rsidRPr="00AA676F">
        <w:rPr>
          <w:b/>
          <w:bCs/>
          <w:szCs w:val="24"/>
          <w:lang w:val="fr-FR"/>
        </w:rPr>
        <w:t xml:space="preserve">ni sur le produit lui-même ni sur une étiquette </w:t>
      </w:r>
      <w:r>
        <w:rPr>
          <w:b/>
          <w:bCs/>
          <w:szCs w:val="24"/>
          <w:lang w:val="fr-FR"/>
        </w:rPr>
        <w:t>fix</w:t>
      </w:r>
      <w:r w:rsidRPr="00AA676F">
        <w:rPr>
          <w:b/>
          <w:bCs/>
          <w:szCs w:val="24"/>
          <w:lang w:val="fr-FR"/>
        </w:rPr>
        <w:t>ée sur ce produit ou son emballage</w:t>
      </w:r>
      <w:r w:rsidRPr="00A328FF">
        <w:rPr>
          <w:b/>
          <w:bCs/>
          <w:szCs w:val="24"/>
          <w:lang w:val="fr-FR"/>
        </w:rPr>
        <w:t>. »</w:t>
      </w:r>
    </w:p>
    <w:p w14:paraId="73381B6E" w14:textId="77777777" w:rsidR="00A47C14" w:rsidRPr="00A328FF" w:rsidRDefault="00A47C14" w:rsidP="00650926">
      <w:pPr>
        <w:pStyle w:val="SingleTxtG"/>
        <w:ind w:left="2268" w:hanging="1134"/>
        <w:rPr>
          <w:b/>
          <w:bCs/>
          <w:szCs w:val="24"/>
          <w:lang w:val="fr-FR"/>
        </w:rPr>
      </w:pPr>
      <w:r w:rsidRPr="00A328FF">
        <w:rPr>
          <w:b/>
          <w:bCs/>
          <w:szCs w:val="24"/>
          <w:lang w:val="fr-FR"/>
        </w:rPr>
        <w:t>« 2.3.14</w:t>
      </w:r>
      <w:r w:rsidRPr="00A328FF">
        <w:rPr>
          <w:b/>
          <w:bCs/>
          <w:szCs w:val="24"/>
          <w:lang w:val="fr-FR"/>
        </w:rPr>
        <w:tab/>
      </w:r>
      <w:r w:rsidR="00811062" w:rsidRPr="00811062">
        <w:rPr>
          <w:b/>
        </w:rPr>
        <w:t>“</w:t>
      </w:r>
      <w:r w:rsidRPr="0012247E">
        <w:rPr>
          <w:b/>
          <w:bCs/>
          <w:i/>
          <w:szCs w:val="24"/>
          <w:lang w:val="fr-FR"/>
        </w:rPr>
        <w:t>Numéro d</w:t>
      </w:r>
      <w:r w:rsidR="00D54EED">
        <w:rPr>
          <w:b/>
          <w:bCs/>
          <w:i/>
          <w:szCs w:val="24"/>
          <w:lang w:val="fr-FR"/>
        </w:rPr>
        <w:t>’</w:t>
      </w:r>
      <w:r w:rsidRPr="0012247E">
        <w:rPr>
          <w:b/>
          <w:bCs/>
          <w:i/>
          <w:szCs w:val="24"/>
          <w:lang w:val="fr-FR"/>
        </w:rPr>
        <w:t xml:space="preserve">identification du matériau de </w:t>
      </w:r>
      <w:r>
        <w:rPr>
          <w:b/>
          <w:bCs/>
          <w:i/>
          <w:szCs w:val="24"/>
          <w:lang w:val="fr-FR"/>
        </w:rPr>
        <w:t xml:space="preserve">la </w:t>
      </w:r>
      <w:r w:rsidRPr="0012247E">
        <w:rPr>
          <w:b/>
          <w:bCs/>
          <w:i/>
          <w:szCs w:val="24"/>
          <w:lang w:val="fr-FR"/>
        </w:rPr>
        <w:t>garniture de frein</w:t>
      </w:r>
      <w:r w:rsidR="00811062" w:rsidRPr="009F4BE0">
        <w:rPr>
          <w:b/>
        </w:rPr>
        <w:t>”</w:t>
      </w:r>
      <w:r w:rsidRPr="00A328FF">
        <w:rPr>
          <w:b/>
          <w:bCs/>
          <w:iCs/>
          <w:szCs w:val="24"/>
          <w:lang w:val="fr-FR"/>
        </w:rPr>
        <w:t>,</w:t>
      </w:r>
      <w:r w:rsidRPr="000539BF">
        <w:rPr>
          <w:b/>
          <w:bCs/>
          <w:iCs/>
          <w:szCs w:val="24"/>
          <w:lang w:val="fr-FR"/>
        </w:rPr>
        <w:t xml:space="preserve"> un numéro renvoyant à la </w:t>
      </w:r>
      <w:r w:rsidRPr="000539BF">
        <w:rPr>
          <w:b/>
          <w:bCs/>
          <w:szCs w:val="24"/>
          <w:lang w:val="fr-FR"/>
        </w:rPr>
        <w:t>composition chimique d</w:t>
      </w:r>
      <w:r w:rsidR="00D54EED">
        <w:rPr>
          <w:b/>
          <w:bCs/>
          <w:szCs w:val="24"/>
          <w:lang w:val="fr-FR"/>
        </w:rPr>
        <w:t>’</w:t>
      </w:r>
      <w:r w:rsidRPr="000539BF">
        <w:rPr>
          <w:b/>
          <w:bCs/>
          <w:szCs w:val="24"/>
          <w:lang w:val="fr-FR"/>
        </w:rPr>
        <w:t>une garniture de frein ou d</w:t>
      </w:r>
      <w:r w:rsidR="00D54EED">
        <w:rPr>
          <w:b/>
          <w:bCs/>
          <w:szCs w:val="24"/>
          <w:lang w:val="fr-FR"/>
        </w:rPr>
        <w:t>’</w:t>
      </w:r>
      <w:r w:rsidRPr="000539BF">
        <w:rPr>
          <w:b/>
          <w:bCs/>
          <w:szCs w:val="24"/>
          <w:lang w:val="fr-FR"/>
        </w:rPr>
        <w:t>une garniture de frein assemblée de rechange</w:t>
      </w:r>
      <w:r w:rsidRPr="00A328FF">
        <w:rPr>
          <w:b/>
          <w:bCs/>
          <w:szCs w:val="24"/>
          <w:lang w:val="fr-FR"/>
        </w:rPr>
        <w:t>. </w:t>
      </w:r>
      <w:r w:rsidRPr="008D5D40">
        <w:rPr>
          <w:bCs/>
          <w:szCs w:val="24"/>
          <w:lang w:val="fr-FR"/>
        </w:rPr>
        <w:t>»</w:t>
      </w:r>
      <w:r w:rsidR="00650926">
        <w:rPr>
          <w:bCs/>
          <w:szCs w:val="24"/>
          <w:lang w:val="fr-FR"/>
        </w:rPr>
        <w:t>.</w:t>
      </w:r>
    </w:p>
    <w:p w14:paraId="4A814E03" w14:textId="77777777" w:rsidR="00A47C14" w:rsidRPr="00F16B23" w:rsidRDefault="00A47C14" w:rsidP="00A47C14">
      <w:pPr>
        <w:pStyle w:val="SingleTxtG"/>
        <w:rPr>
          <w:lang w:val="fr-FR"/>
        </w:rPr>
      </w:pPr>
      <w:r w:rsidRPr="00F16B23">
        <w:rPr>
          <w:i/>
          <w:iCs/>
          <w:lang w:val="fr-FR"/>
        </w:rPr>
        <w:t>Paragraphe 4</w:t>
      </w:r>
      <w:r w:rsidRPr="00F16B23">
        <w:rPr>
          <w:iCs/>
          <w:lang w:val="fr-FR"/>
        </w:rPr>
        <w:t>, lire :</w:t>
      </w:r>
    </w:p>
    <w:p w14:paraId="5D9A9717" w14:textId="77777777" w:rsidR="00A47C14" w:rsidRPr="009F4BE0" w:rsidRDefault="00A47C14" w:rsidP="009F4BE0">
      <w:pPr>
        <w:pStyle w:val="HChG"/>
        <w:ind w:left="2268"/>
      </w:pPr>
      <w:r w:rsidRPr="00F16B23">
        <w:rPr>
          <w:b w:val="0"/>
          <w:sz w:val="20"/>
          <w:lang w:val="fr-FR"/>
        </w:rPr>
        <w:t>« </w:t>
      </w:r>
      <w:r w:rsidRPr="00F16B23">
        <w:rPr>
          <w:lang w:val="fr-FR"/>
        </w:rPr>
        <w:t>4.</w:t>
      </w:r>
      <w:r w:rsidRPr="00F16B23">
        <w:rPr>
          <w:lang w:val="fr-FR"/>
        </w:rPr>
        <w:tab/>
      </w:r>
      <w:r w:rsidRPr="00F16B23">
        <w:rPr>
          <w:lang w:val="fr-FR"/>
        </w:rPr>
        <w:tab/>
        <w:t>Homologation</w:t>
      </w:r>
    </w:p>
    <w:p w14:paraId="0EA32A92" w14:textId="77777777" w:rsidR="00A47C14" w:rsidRPr="00F16B23" w:rsidRDefault="00A47C14" w:rsidP="0064301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4.1</w:t>
      </w:r>
      <w:r w:rsidRPr="00F16B23">
        <w:rPr>
          <w:lang w:val="fr-FR"/>
        </w:rPr>
        <w:tab/>
        <w:t>…</w:t>
      </w:r>
    </w:p>
    <w:p w14:paraId="24A4D505" w14:textId="77777777" w:rsidR="00A47C14" w:rsidRPr="00F16B23" w:rsidRDefault="00A47C14" w:rsidP="0064301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4.1.1</w:t>
      </w:r>
      <w:r w:rsidRPr="00F16B23">
        <w:rPr>
          <w:lang w:val="fr-FR"/>
        </w:rPr>
        <w:tab/>
        <w:t>…</w:t>
      </w:r>
    </w:p>
    <w:p w14:paraId="628CDA36" w14:textId="77777777" w:rsidR="00A47C14" w:rsidRPr="00F16B23" w:rsidRDefault="00A47C14" w:rsidP="0064301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4.2</w:t>
      </w:r>
      <w:r w:rsidRPr="00F16B23">
        <w:rPr>
          <w:lang w:val="fr-FR"/>
        </w:rPr>
        <w:tab/>
        <w:t xml:space="preserve">Chaque </w:t>
      </w:r>
      <w:r w:rsidRPr="00F16B23">
        <w:rPr>
          <w:bCs/>
          <w:lang w:val="fr-FR"/>
        </w:rPr>
        <w:t>pièce de rechange</w:t>
      </w:r>
      <w:r w:rsidRPr="00F16B23">
        <w:rPr>
          <w:lang w:val="fr-FR"/>
        </w:rPr>
        <w:t xml:space="preserve"> homologuée reçoit</w:t>
      </w:r>
      <w:r w:rsidRPr="00F16B23">
        <w:rPr>
          <w:b/>
          <w:lang w:val="fr-FR"/>
        </w:rPr>
        <w:t xml:space="preserve"> un code et</w:t>
      </w:r>
      <w:r w:rsidRPr="00F16B23">
        <w:rPr>
          <w:lang w:val="fr-FR"/>
        </w:rPr>
        <w:t xml:space="preserve"> un </w:t>
      </w:r>
      <w:r w:rsidRPr="00BC33FA">
        <w:rPr>
          <w:lang w:val="fr-FR"/>
        </w:rPr>
        <w:t>numéro d</w:t>
      </w:r>
      <w:r w:rsidR="00D54EED">
        <w:rPr>
          <w:lang w:val="fr-FR"/>
        </w:rPr>
        <w:t>’</w:t>
      </w:r>
      <w:r w:rsidRPr="00BC33FA">
        <w:rPr>
          <w:lang w:val="fr-FR"/>
        </w:rPr>
        <w:t>homologation</w:t>
      </w:r>
      <w:r w:rsidRPr="00F16B23">
        <w:rPr>
          <w:b/>
          <w:lang w:val="fr-FR"/>
        </w:rPr>
        <w:t>, le format du</w:t>
      </w:r>
      <w:r>
        <w:rPr>
          <w:b/>
          <w:lang w:val="fr-FR"/>
        </w:rPr>
        <w:t>dit</w:t>
      </w:r>
      <w:r w:rsidRPr="00F16B23">
        <w:rPr>
          <w:b/>
          <w:lang w:val="fr-FR"/>
        </w:rPr>
        <w:t xml:space="preserve"> numéro devant être </w:t>
      </w:r>
      <w:r w:rsidRPr="00BC33FA">
        <w:rPr>
          <w:b/>
          <w:lang w:val="fr-FR"/>
        </w:rPr>
        <w:t>attribué</w:t>
      </w:r>
      <w:r>
        <w:rPr>
          <w:b/>
          <w:lang w:val="fr-FR"/>
        </w:rPr>
        <w:t xml:space="preserve"> conformément</w:t>
      </w:r>
      <w:r w:rsidRPr="00F16B23">
        <w:rPr>
          <w:b/>
          <w:lang w:val="fr-FR"/>
        </w:rPr>
        <w:t xml:space="preserve"> aux dispositions </w:t>
      </w:r>
      <w:r>
        <w:rPr>
          <w:b/>
          <w:lang w:val="fr-FR"/>
        </w:rPr>
        <w:t xml:space="preserve">de </w:t>
      </w:r>
      <w:r w:rsidRPr="00F16B23">
        <w:rPr>
          <w:b/>
          <w:bCs/>
          <w:lang w:val="fr-FR"/>
        </w:rPr>
        <w:t>l</w:t>
      </w:r>
      <w:r w:rsidR="00D54EED">
        <w:rPr>
          <w:b/>
          <w:bCs/>
          <w:lang w:val="fr-FR"/>
        </w:rPr>
        <w:t>’</w:t>
      </w:r>
      <w:r w:rsidRPr="00F16B23">
        <w:rPr>
          <w:b/>
          <w:bCs/>
          <w:lang w:val="fr-FR"/>
        </w:rPr>
        <w:t xml:space="preserve">annexe 4 </w:t>
      </w:r>
      <w:r w:rsidRPr="00F16B23">
        <w:rPr>
          <w:b/>
          <w:lang w:val="fr-FR"/>
        </w:rPr>
        <w:t xml:space="preserve">de la </w:t>
      </w:r>
      <w:r w:rsidRPr="00F16B23">
        <w:rPr>
          <w:b/>
          <w:iCs/>
          <w:lang w:val="fr-FR"/>
        </w:rPr>
        <w:t>Révision 3 de l</w:t>
      </w:r>
      <w:r w:rsidR="00D54EED">
        <w:rPr>
          <w:b/>
          <w:iCs/>
          <w:lang w:val="fr-FR"/>
        </w:rPr>
        <w:t>’</w:t>
      </w:r>
      <w:r w:rsidRPr="00F16B23">
        <w:rPr>
          <w:b/>
          <w:iCs/>
          <w:lang w:val="fr-FR"/>
        </w:rPr>
        <w:t>Accord de 1958</w:t>
      </w:r>
      <w:r w:rsidRPr="00F16B23">
        <w:rPr>
          <w:b/>
          <w:lang w:val="fr-FR"/>
        </w:rPr>
        <w:t>.</w:t>
      </w:r>
      <w:r w:rsidRPr="00F16B23">
        <w:rPr>
          <w:strike/>
          <w:lang w:val="fr-FR"/>
        </w:rPr>
        <w:t xml:space="preserve"> et un</w:t>
      </w:r>
      <w:r w:rsidRPr="00F16B23">
        <w:rPr>
          <w:b/>
          <w:lang w:val="fr-FR"/>
        </w:rPr>
        <w:t xml:space="preserve"> Le code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homologation</w:t>
      </w:r>
      <w:r w:rsidRPr="00F16B23">
        <w:rPr>
          <w:strike/>
          <w:lang w:val="fr-FR"/>
        </w:rPr>
        <w:t>, comprenant</w:t>
      </w:r>
      <w:r w:rsidRPr="00643012">
        <w:rPr>
          <w:lang w:val="fr-FR"/>
        </w:rPr>
        <w:t xml:space="preserve"> </w:t>
      </w:r>
      <w:r w:rsidRPr="00F16B23">
        <w:rPr>
          <w:b/>
          <w:lang w:val="fr-FR"/>
        </w:rPr>
        <w:t>comprend</w:t>
      </w:r>
      <w:r w:rsidRPr="00F16B23">
        <w:rPr>
          <w:lang w:val="fr-FR"/>
        </w:rPr>
        <w:t xml:space="preserve"> quatre groupes de chiffres :</w:t>
      </w:r>
    </w:p>
    <w:p w14:paraId="509C28B3" w14:textId="77777777" w:rsidR="00A47C14" w:rsidRPr="00F16B23" w:rsidRDefault="00A47C14" w:rsidP="0064301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4.2.1</w:t>
      </w:r>
      <w:r w:rsidRPr="00F16B23">
        <w:rPr>
          <w:lang w:val="fr-FR"/>
        </w:rPr>
        <w:tab/>
      </w:r>
      <w:r w:rsidR="00643012">
        <w:rPr>
          <w:lang w:val="fr-FR"/>
        </w:rPr>
        <w:t>…</w:t>
      </w:r>
    </w:p>
    <w:p w14:paraId="11D24820" w14:textId="77777777" w:rsidR="00A47C14" w:rsidRPr="00F16B23" w:rsidRDefault="00A47C14" w:rsidP="0064301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4.2.2</w:t>
      </w:r>
      <w:r w:rsidRPr="00F16B23">
        <w:rPr>
          <w:lang w:val="fr-FR"/>
        </w:rPr>
        <w:tab/>
      </w:r>
      <w:r w:rsidRPr="00F16B23">
        <w:rPr>
          <w:lang w:val="fr-FR"/>
        </w:rPr>
        <w:tab/>
        <w:t>…</w:t>
      </w:r>
    </w:p>
    <w:p w14:paraId="4B25B915" w14:textId="77777777" w:rsidR="00A47C14" w:rsidRPr="00F16B23" w:rsidRDefault="00A47C14" w:rsidP="00A47C14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4.2.3</w:t>
      </w:r>
      <w:r w:rsidRPr="00F16B23">
        <w:rPr>
          <w:lang w:val="fr-FR"/>
        </w:rPr>
        <w:tab/>
        <w:t>La série de chiffres suivant</w:t>
      </w:r>
      <w:r>
        <w:rPr>
          <w:lang w:val="fr-FR"/>
        </w:rPr>
        <w:t>e</w:t>
      </w:r>
      <w:r w:rsidRPr="00F16B23">
        <w:rPr>
          <w:lang w:val="fr-FR"/>
        </w:rPr>
        <w:t xml:space="preserve"> </w:t>
      </w:r>
      <w:r>
        <w:rPr>
          <w:lang w:val="fr-FR"/>
        </w:rPr>
        <w:t>renseigne sur</w:t>
      </w:r>
      <w:r w:rsidRPr="00F16B23">
        <w:rPr>
          <w:lang w:val="fr-FR"/>
        </w:rPr>
        <w:t xml:space="preserve"> le fabricant et </w:t>
      </w:r>
      <w:r>
        <w:rPr>
          <w:lang w:val="fr-FR"/>
        </w:rPr>
        <w:t xml:space="preserve">précise </w:t>
      </w:r>
      <w:r w:rsidRPr="00F16B23">
        <w:rPr>
          <w:lang w:val="fr-FR"/>
        </w:rPr>
        <w:t>le</w:t>
      </w:r>
      <w:r w:rsidR="00643012" w:rsidRPr="00643012">
        <w:rPr>
          <w:strike/>
          <w:lang w:val="fr-FR"/>
        </w:rPr>
        <w:t xml:space="preserve"> </w:t>
      </w:r>
      <w:r w:rsidRPr="00F16B23">
        <w:rPr>
          <w:strike/>
          <w:lang w:val="fr-FR"/>
        </w:rPr>
        <w:t>type de</w:t>
      </w:r>
      <w:r w:rsidR="00643012">
        <w:rPr>
          <w:strike/>
          <w:lang w:val="fr-FR"/>
        </w:rPr>
        <w:t xml:space="preserve"> </w:t>
      </w:r>
      <w:r w:rsidRPr="00F16B23">
        <w:rPr>
          <w:b/>
          <w:bCs/>
          <w:lang w:val="fr-FR"/>
        </w:rPr>
        <w:t>numéro d</w:t>
      </w:r>
      <w:r w:rsidR="00D54EED">
        <w:rPr>
          <w:b/>
          <w:bCs/>
          <w:lang w:val="fr-FR"/>
        </w:rPr>
        <w:t>’</w:t>
      </w:r>
      <w:r w:rsidRPr="00F16B23">
        <w:rPr>
          <w:b/>
          <w:bCs/>
          <w:lang w:val="fr-FR"/>
        </w:rPr>
        <w:t>identification du matériau de</w:t>
      </w:r>
      <w:r>
        <w:rPr>
          <w:b/>
          <w:bCs/>
          <w:lang w:val="fr-FR"/>
        </w:rPr>
        <w:t xml:space="preserve"> la</w:t>
      </w:r>
      <w:r w:rsidRPr="00F16B23">
        <w:rPr>
          <w:lang w:val="fr-FR"/>
        </w:rPr>
        <w:t xml:space="preserve"> garniture de frein, le type de disque ou le type de tambour.</w:t>
      </w:r>
    </w:p>
    <w:p w14:paraId="013A4315" w14:textId="77777777" w:rsidR="00A47C14" w:rsidRPr="00F16B23" w:rsidRDefault="00A47C14" w:rsidP="00786AC6">
      <w:pPr>
        <w:pStyle w:val="SingleTxtG"/>
        <w:ind w:left="2268"/>
        <w:rPr>
          <w:lang w:val="fr-FR"/>
        </w:rPr>
      </w:pPr>
      <w:r w:rsidRPr="00F16B23">
        <w:rPr>
          <w:lang w:val="fr-FR"/>
        </w:rPr>
        <w:t>Le suffixe numérique indique</w:t>
      </w:r>
      <w:r w:rsidR="00786AC6">
        <w:rPr>
          <w:lang w:val="fr-FR"/>
        </w:rPr>
        <w:t> </w:t>
      </w:r>
      <w:r w:rsidRPr="00F16B23">
        <w:rPr>
          <w:lang w:val="fr-FR"/>
        </w:rPr>
        <w:t>:</w:t>
      </w:r>
    </w:p>
    <w:p w14:paraId="332C380C" w14:textId="77777777" w:rsidR="00A47C14" w:rsidRPr="00F16B23" w:rsidRDefault="00A47C14" w:rsidP="00A47C14">
      <w:pPr>
        <w:pStyle w:val="SingleTxtG"/>
        <w:ind w:left="2835" w:hanging="567"/>
        <w:rPr>
          <w:rFonts w:cs="Courier New"/>
          <w:spacing w:val="1"/>
          <w:lang w:val="fr-FR"/>
        </w:rPr>
      </w:pPr>
      <w:r w:rsidRPr="00F16B23">
        <w:rPr>
          <w:rFonts w:cs="Courier New"/>
          <w:spacing w:val="1"/>
          <w:lang w:val="fr-FR"/>
        </w:rPr>
        <w:t>a)</w:t>
      </w:r>
      <w:r w:rsidRPr="00F16B23">
        <w:rPr>
          <w:rFonts w:cs="Courier New"/>
          <w:spacing w:val="1"/>
          <w:lang w:val="fr-FR"/>
        </w:rPr>
        <w:tab/>
        <w:t>La mâchoire ou la semelle de plaquettes, ou la dimension spécifique dans le cas des garnitures de tambour</w:t>
      </w:r>
      <w:r w:rsidR="00786AC6">
        <w:rPr>
          <w:rFonts w:cs="Courier New"/>
          <w:spacing w:val="1"/>
          <w:lang w:val="fr-FR"/>
        </w:rPr>
        <w:t> </w:t>
      </w:r>
      <w:r w:rsidRPr="00F16B23">
        <w:rPr>
          <w:rFonts w:cs="Courier New"/>
          <w:spacing w:val="1"/>
          <w:lang w:val="fr-FR"/>
        </w:rPr>
        <w:t>;</w:t>
      </w:r>
    </w:p>
    <w:p w14:paraId="426EFFC6" w14:textId="77777777" w:rsidR="00A47C14" w:rsidRPr="00F16B23" w:rsidRDefault="00A47C14" w:rsidP="00A47C14">
      <w:pPr>
        <w:pStyle w:val="SingleTxtG"/>
        <w:ind w:left="2835" w:hanging="567"/>
        <w:rPr>
          <w:lang w:val="fr-FR"/>
        </w:rPr>
      </w:pPr>
      <w:r w:rsidRPr="00F16B23">
        <w:rPr>
          <w:rFonts w:cs="Courier New"/>
          <w:spacing w:val="1"/>
          <w:lang w:val="fr-FR"/>
        </w:rPr>
        <w:t>b)</w:t>
      </w:r>
      <w:r w:rsidRPr="00F16B23">
        <w:rPr>
          <w:rFonts w:cs="Courier New"/>
          <w:spacing w:val="1"/>
          <w:lang w:val="fr-FR"/>
        </w:rPr>
        <w:tab/>
        <w:t>Le groupe d</w:t>
      </w:r>
      <w:r w:rsidR="00D54EED">
        <w:rPr>
          <w:rFonts w:cs="Courier New"/>
          <w:spacing w:val="1"/>
          <w:lang w:val="fr-FR"/>
        </w:rPr>
        <w:t>’</w:t>
      </w:r>
      <w:r w:rsidRPr="00F16B23">
        <w:rPr>
          <w:rFonts w:cs="Courier New"/>
          <w:spacing w:val="1"/>
          <w:lang w:val="fr-FR"/>
        </w:rPr>
        <w:t>essai dans le cas d</w:t>
      </w:r>
      <w:r w:rsidR="00D54EED">
        <w:rPr>
          <w:rFonts w:cs="Courier New"/>
          <w:spacing w:val="1"/>
          <w:lang w:val="fr-FR"/>
        </w:rPr>
        <w:t>’</w:t>
      </w:r>
      <w:r w:rsidRPr="00F16B23">
        <w:rPr>
          <w:rFonts w:cs="Courier New"/>
          <w:spacing w:val="1"/>
          <w:lang w:val="fr-FR"/>
        </w:rPr>
        <w:t>un disque ou tambour de rechange</w:t>
      </w:r>
      <w:r w:rsidRPr="00F16B23">
        <w:rPr>
          <w:lang w:val="fr-FR"/>
        </w:rPr>
        <w:t>.</w:t>
      </w:r>
    </w:p>
    <w:p w14:paraId="375724FC" w14:textId="77777777" w:rsidR="007D2AF0" w:rsidRDefault="00A47C14" w:rsidP="00786AC6">
      <w:pPr>
        <w:pStyle w:val="SingleTxtG"/>
        <w:ind w:left="2268"/>
        <w:rPr>
          <w:lang w:val="fr-FR"/>
        </w:rPr>
      </w:pPr>
      <w:r w:rsidRPr="00F16B23">
        <w:rPr>
          <w:lang w:val="fr-FR"/>
        </w:rPr>
        <w:t>Les variantes homologuées en tant que groupe d</w:t>
      </w:r>
      <w:r w:rsidR="00D54EED">
        <w:rPr>
          <w:lang w:val="fr-FR"/>
        </w:rPr>
        <w:t>’</w:t>
      </w:r>
      <w:r w:rsidRPr="00F16B23">
        <w:rPr>
          <w:lang w:val="fr-FR"/>
        </w:rPr>
        <w:t>essai doivent être indiquées dans un appendice au document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 :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7D2AF0" w:rsidRPr="005E75DD" w14:paraId="4647CA1F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2532B5C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lang w:val="fr-FR"/>
              </w:rPr>
              <w:lastRenderedPageBreak/>
              <w:br w:type="page"/>
            </w:r>
          </w:p>
        </w:tc>
        <w:tc>
          <w:tcPr>
            <w:tcW w:w="406" w:type="dxa"/>
            <w:gridSpan w:val="2"/>
            <w:noWrap/>
            <w:vAlign w:val="bottom"/>
          </w:tcPr>
          <w:p w14:paraId="25758D0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14:paraId="29AF5228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45EF867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107984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6B6A4D2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1E1406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F321F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E6BD1C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695ADA1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5D6C88C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27C91D61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78E43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07" w:type="dxa"/>
            <w:noWrap/>
            <w:vAlign w:val="bottom"/>
            <w:hideMark/>
          </w:tcPr>
          <w:p w14:paraId="5DD7BA84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1B3E0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082892B4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1790C14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53C25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lang w:eastAsia="ja-JP"/>
              </w:rPr>
            </w:pPr>
            <w:r w:rsidRPr="005E75DD">
              <w:rPr>
                <w:rFonts w:ascii="Arial" w:eastAsia="MS Mincho" w:hAnsi="Arial" w:cs="Arial"/>
                <w:lang w:eastAsia="ja-JP"/>
              </w:rPr>
              <w:t>_</w:t>
            </w:r>
          </w:p>
        </w:tc>
        <w:tc>
          <w:tcPr>
            <w:tcW w:w="4334" w:type="dxa"/>
            <w:noWrap/>
            <w:vAlign w:val="bottom"/>
          </w:tcPr>
          <w:p w14:paraId="535385FB" w14:textId="77777777" w:rsidR="007D2AF0" w:rsidRPr="005E75DD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5E75DD" w14:paraId="7105D524" w14:textId="77777777" w:rsidTr="00330124">
        <w:trPr>
          <w:trHeight w:hRule="exact" w:val="85"/>
        </w:trPr>
        <w:tc>
          <w:tcPr>
            <w:tcW w:w="330" w:type="dxa"/>
            <w:noWrap/>
            <w:vAlign w:val="bottom"/>
          </w:tcPr>
          <w:p w14:paraId="4B21DC3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6D0A9C8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14:paraId="4B23996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2FC093E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14:paraId="09F7DBF1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14:paraId="04BD752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734459B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3C28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ECF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2A357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11D2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27D46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D5E7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ED1721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0D0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14:paraId="200A912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042F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C4D7F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9EE6D8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AF8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noWrap/>
            <w:vAlign w:val="bottom"/>
          </w:tcPr>
          <w:p w14:paraId="6EFCBDAF" w14:textId="77777777" w:rsidR="007D2AF0" w:rsidRPr="005E75DD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5E75DD" w14:paraId="04EA041C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07CEAC8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EBCB66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48ADF8E3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5531FF2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A1610B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B8D5537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380AF32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71DEBC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EB841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7336584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E6001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409EAA9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203C8E3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3E785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259C881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011CA67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32A856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14CDBB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970216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1837B55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2C34E961" w14:textId="77777777" w:rsidR="007D2AF0" w:rsidRPr="005E75DD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7D2AF0" w14:paraId="16E2465D" w14:textId="77777777" w:rsidTr="00330124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20AC5FC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FE3BC6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2EBE693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59D85C78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C60457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74564A0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2D62362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BC325C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8DB11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6ED0939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BB74B4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7C78FDA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8A898F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01CBC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6AF4193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31773C9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65CA4A8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B258A2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322B87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11BC8B6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93D7C9D" w14:textId="77777777" w:rsidR="007D2AF0" w:rsidRPr="007D2AF0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>Suffixe numérique indiquant le groupe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>essai/</w:t>
            </w:r>
            <w:r w:rsidR="00817A55">
              <w:rPr>
                <w:lang w:val="fr-FR"/>
              </w:rPr>
              <w:br/>
            </w:r>
            <w:r w:rsidRPr="00F16B23">
              <w:rPr>
                <w:lang w:val="fr-FR"/>
              </w:rPr>
              <w:t>la mâchoire/la semelle de plaquette/les dimensions précises de la pièce de rechange</w:t>
            </w:r>
          </w:p>
        </w:tc>
      </w:tr>
      <w:tr w:rsidR="007D2AF0" w:rsidRPr="007D2AF0" w14:paraId="12BBA3C3" w14:textId="77777777" w:rsidTr="00330124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01B22186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29BCCCF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4B0F53C1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260CFCEA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B4F62C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0F8CD72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2927378F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08B1F7F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442DF7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56A44CF9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29CA0A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7638DCD0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E7C091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75254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6424B72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6F92B485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A24475A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CD23D69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AA65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1BE5C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A76C8" w14:textId="77777777" w:rsidR="007D2AF0" w:rsidRPr="007D2AF0" w:rsidRDefault="007D2AF0" w:rsidP="00330124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7D2AF0" w:rsidRPr="007D2AF0" w14:paraId="54F3413C" w14:textId="77777777" w:rsidTr="00330124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43861FC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B7E922E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1BAA39D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14:paraId="40237AA7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2C25307C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9C1DA6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0CE403E6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27652A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4E21DE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407620E2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D852C6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BEC3326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F72FBA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2C9D52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F9C04FF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6F785292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604A41F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B19277C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F0C7B0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D8206C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A608C4D" w14:textId="77777777" w:rsidR="007D2AF0" w:rsidRPr="007D2AF0" w:rsidRDefault="007D2AF0" w:rsidP="00330124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7D2AF0" w:rsidRPr="00B0246F" w14:paraId="6A0A3F54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131A7DC8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7A58131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1FE1EE8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39881399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34649FA9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134DF06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300BBF36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DB34BC4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6E6D2D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115F426C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83F271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76F89E48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ADD2A11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A39608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D2AF0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0BBF922B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4F572641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D637303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B402D67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81AB729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3F18B91" w14:textId="77777777" w:rsidR="007D2AF0" w:rsidRPr="007D2AF0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noWrap/>
            <w:vAlign w:val="bottom"/>
          </w:tcPr>
          <w:p w14:paraId="54841443" w14:textId="77777777" w:rsidR="007D2AF0" w:rsidRPr="00B0246F" w:rsidRDefault="00B0246F" w:rsidP="00330124">
            <w:pPr>
              <w:keepNext/>
              <w:keepLines/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 xml:space="preserve">Série de </w:t>
            </w:r>
            <w:r w:rsidRPr="00247615">
              <w:rPr>
                <w:strike/>
                <w:lang w:val="fr-FR"/>
              </w:rPr>
              <w:t>4</w:t>
            </w:r>
            <w:r w:rsidRPr="00F16B23">
              <w:rPr>
                <w:lang w:val="fr-FR"/>
              </w:rPr>
              <w:t xml:space="preserve"> chiffres indiquant (le nom du fabricant et) </w:t>
            </w:r>
            <w:r w:rsidRPr="00F16B23">
              <w:rPr>
                <w:b/>
                <w:bCs/>
                <w:lang w:val="fr-FR"/>
              </w:rPr>
              <w:t>le numéro d</w:t>
            </w:r>
            <w:r w:rsidR="00D54EED">
              <w:rPr>
                <w:b/>
                <w:bCs/>
                <w:lang w:val="fr-FR"/>
              </w:rPr>
              <w:t>’</w:t>
            </w:r>
            <w:r w:rsidRPr="00F16B23">
              <w:rPr>
                <w:b/>
                <w:bCs/>
                <w:lang w:val="fr-FR"/>
              </w:rPr>
              <w:t>identification du matériau de</w:t>
            </w:r>
            <w:r w:rsidRPr="00F16B2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la </w:t>
            </w:r>
            <w:r w:rsidRPr="00F16B23">
              <w:rPr>
                <w:b/>
                <w:lang w:val="fr-FR"/>
              </w:rPr>
              <w:t>garniture de frein/</w:t>
            </w:r>
            <w:r w:rsidRPr="00F16B23">
              <w:rPr>
                <w:lang w:val="fr-FR"/>
              </w:rPr>
              <w:t>le type de pièce de rechange</w:t>
            </w:r>
          </w:p>
        </w:tc>
      </w:tr>
      <w:tr w:rsidR="007D2AF0" w:rsidRPr="00B0246F" w14:paraId="626604CC" w14:textId="77777777" w:rsidTr="00330124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262C766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2C7DF3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18CAC32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35AD934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EF7B1A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5F68447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3E17646B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27438E3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B7120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0D3BDE9B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D7930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053098F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469D7C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B88047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0C216B1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7916C50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991455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51D92B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A9333C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C3722D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/>
            <w:vAlign w:val="bottom"/>
            <w:hideMark/>
          </w:tcPr>
          <w:p w14:paraId="5A3FF34F" w14:textId="77777777" w:rsidR="007D2AF0" w:rsidRPr="00B0246F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B0246F" w14:paraId="17B263A1" w14:textId="77777777" w:rsidTr="00330124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7ED303E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04A00E1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3210555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37A6946B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0C989C6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55B3B7A3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6A98BAD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045712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138A5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1FAFE26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8DA91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0A9C412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77BCE3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A28FB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70056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BCA1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4720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274DA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C1601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4044FFA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20F801B" w14:textId="77777777" w:rsidR="007D2AF0" w:rsidRPr="00B0246F" w:rsidRDefault="007D2AF0" w:rsidP="00330124">
            <w:pPr>
              <w:suppressAutoHyphens w:val="0"/>
              <w:spacing w:line="240" w:lineRule="auto"/>
              <w:rPr>
                <w:rFonts w:eastAsia="MS Mincho"/>
                <w:lang w:eastAsia="ja-JP"/>
              </w:rPr>
            </w:pPr>
          </w:p>
        </w:tc>
      </w:tr>
      <w:tr w:rsidR="007D2AF0" w:rsidRPr="00B0246F" w14:paraId="3C9A2FD5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31A4C67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95EBF2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62D8725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24A85E43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6A34E93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0AE3914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5749811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9EA854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07F5E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4D712AC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8222E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6082BEC1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2DCD81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D5ACC5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F5ED5B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543A983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6EE46A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E1A4CB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1FECC1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6E8A1F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759A541F" w14:textId="77777777" w:rsidR="007D2AF0" w:rsidRPr="00B0246F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B0246F" w14:paraId="6B5494B3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0229E0E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BA61F0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4F00A42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66A6A33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21D06B8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53B98E6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1099E5E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B14D35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FD5C7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5AD13EB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095A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9FBF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3F37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01A0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3A423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2C968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977B4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1428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416EC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42FA2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325F9" w14:textId="77777777" w:rsidR="007D2AF0" w:rsidRPr="00B0246F" w:rsidRDefault="00B0246F" w:rsidP="00330124">
            <w:pPr>
              <w:keepNext/>
              <w:keepLines/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 xml:space="preserve">1 caractère (A à D) indique la catégorie de pièce </w:t>
            </w:r>
            <w:r>
              <w:rPr>
                <w:lang w:val="fr-FR"/>
              </w:rPr>
              <w:br/>
            </w:r>
            <w:r w:rsidRPr="00F16B23">
              <w:rPr>
                <w:lang w:val="fr-FR"/>
              </w:rPr>
              <w:t>de rechange</w:t>
            </w:r>
          </w:p>
        </w:tc>
      </w:tr>
      <w:tr w:rsidR="007D2AF0" w:rsidRPr="00B0246F" w14:paraId="0D48C842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26D98FA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369315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7595D1FB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0FA5770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9D52B1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61E273A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477CDD1C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C3B618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19302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3A5996F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1A018E8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8C569C5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877822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BC91F5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DC3E1C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0EBAABA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A56E27B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23B5BDA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A3FABD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7B105D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7D38F62B" w14:textId="77777777" w:rsidR="007D2AF0" w:rsidRPr="00B0246F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F716DB" w14:paraId="09723649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3C37508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3119795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3950520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59678718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3B6988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F067A1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76859DF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F08F02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10A3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1ACEE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4153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E57B6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7C9A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5F8167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42AC0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8FBE4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42222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E570F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FE92B9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4F867D" w14:textId="77777777" w:rsidR="007D2AF0" w:rsidRPr="00B0246F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76DF5" w14:textId="77777777" w:rsidR="007D2AF0" w:rsidRPr="00B0246F" w:rsidRDefault="00B0246F" w:rsidP="00330124">
            <w:pPr>
              <w:keepNext/>
              <w:keepLines/>
              <w:rPr>
                <w:rFonts w:eastAsia="MS Mincho"/>
                <w:spacing w:val="-2"/>
                <w:lang w:eastAsia="ja-JP"/>
              </w:rPr>
            </w:pPr>
            <w:r w:rsidRPr="00B0246F">
              <w:rPr>
                <w:spacing w:val="-2"/>
                <w:lang w:val="fr-FR"/>
              </w:rPr>
              <w:t>2 chiffres indiquent la série d</w:t>
            </w:r>
            <w:r w:rsidR="00D54EED">
              <w:rPr>
                <w:spacing w:val="-2"/>
                <w:lang w:val="fr-FR"/>
              </w:rPr>
              <w:t>’</w:t>
            </w:r>
            <w:r w:rsidRPr="00B0246F">
              <w:rPr>
                <w:spacing w:val="-2"/>
                <w:lang w:val="fr-FR"/>
              </w:rPr>
              <w:t>amendements (01 à 99)</w:t>
            </w:r>
          </w:p>
        </w:tc>
      </w:tr>
      <w:tr w:rsidR="007D2AF0" w:rsidRPr="00F716DB" w14:paraId="090F3BE4" w14:textId="77777777" w:rsidTr="00330124">
        <w:trPr>
          <w:trHeight w:val="255"/>
        </w:trPr>
        <w:tc>
          <w:tcPr>
            <w:tcW w:w="330" w:type="dxa"/>
            <w:noWrap/>
            <w:vAlign w:val="bottom"/>
          </w:tcPr>
          <w:p w14:paraId="7D993FA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7B2C8950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769CCE8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78ACE73D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1C2FFE48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783AD204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B0246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0397D6B2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3142C39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7F1846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37728EB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40DA982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D0C633E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F480F25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A7A058A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63345CB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78093B3C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532595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79B4CA1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BD7A264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A7DB15F" w14:textId="77777777" w:rsidR="007D2AF0" w:rsidRPr="005E75DD" w:rsidRDefault="007D2AF0" w:rsidP="00330124">
            <w:pPr>
              <w:keepNext/>
              <w:keepLines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130A313A" w14:textId="77777777" w:rsidR="007D2AF0" w:rsidRPr="005E75DD" w:rsidRDefault="007D2AF0" w:rsidP="00330124">
            <w:pPr>
              <w:keepNext/>
              <w:keepLines/>
              <w:rPr>
                <w:rFonts w:eastAsia="MS Mincho"/>
                <w:lang w:eastAsia="ja-JP"/>
              </w:rPr>
            </w:pPr>
          </w:p>
        </w:tc>
      </w:tr>
      <w:tr w:rsidR="007D2AF0" w:rsidRPr="00F716DB" w14:paraId="450A94BB" w14:textId="77777777" w:rsidTr="00330124">
        <w:trPr>
          <w:trHeight w:val="255"/>
        </w:trPr>
        <w:tc>
          <w:tcPr>
            <w:tcW w:w="1279" w:type="dxa"/>
            <w:gridSpan w:val="5"/>
            <w:noWrap/>
            <w:vAlign w:val="bottom"/>
          </w:tcPr>
          <w:p w14:paraId="287947B0" w14:textId="77777777" w:rsidR="007D2AF0" w:rsidRPr="005E75DD" w:rsidRDefault="007D2AF0" w:rsidP="00330124">
            <w:pPr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FBFE4B5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0FB5CF52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CDF2EEA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917B4B4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0D7C343C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70ECA947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226ED92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A74DFB7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0B75BFB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5506042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6789A708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6D9BCB1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A28A387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416219F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014B7B6" w14:textId="77777777" w:rsidR="007D2AF0" w:rsidRPr="005E75DD" w:rsidRDefault="007D2AF0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65D8B0FC" w14:textId="77777777" w:rsidR="007D2AF0" w:rsidRPr="005E75DD" w:rsidRDefault="007D2AF0" w:rsidP="00330124">
            <w:pPr>
              <w:rPr>
                <w:rFonts w:eastAsia="MS Mincho"/>
                <w:lang w:eastAsia="ja-JP"/>
              </w:rPr>
            </w:pPr>
          </w:p>
        </w:tc>
      </w:tr>
    </w:tbl>
    <w:p w14:paraId="41F893F7" w14:textId="77777777" w:rsidR="00B0246F" w:rsidRDefault="00B0246F" w:rsidP="00B0246F">
      <w:pPr>
        <w:pStyle w:val="SingleTxtGR"/>
        <w:suppressAutoHyphens/>
        <w:spacing w:before="120"/>
      </w:pPr>
      <w:r>
        <w:rPr>
          <w:lang w:val="fr-CH"/>
        </w:rPr>
        <w:t>Exemple :</w:t>
      </w:r>
    </w:p>
    <w:tbl>
      <w:tblPr>
        <w:tblW w:w="959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02"/>
        <w:gridCol w:w="202"/>
        <w:gridCol w:w="240"/>
        <w:gridCol w:w="298"/>
        <w:gridCol w:w="272"/>
        <w:gridCol w:w="311"/>
        <w:gridCol w:w="272"/>
        <w:gridCol w:w="272"/>
        <w:gridCol w:w="185"/>
        <w:gridCol w:w="185"/>
        <w:gridCol w:w="272"/>
        <w:gridCol w:w="359"/>
        <w:gridCol w:w="272"/>
        <w:gridCol w:w="272"/>
        <w:gridCol w:w="206"/>
        <w:gridCol w:w="359"/>
        <w:gridCol w:w="272"/>
        <w:gridCol w:w="272"/>
        <w:gridCol w:w="272"/>
        <w:gridCol w:w="4268"/>
      </w:tblGrid>
      <w:tr w:rsidR="00B0246F" w:rsidRPr="005E75DD" w14:paraId="67549515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78512FE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5DA70A6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6C4703D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14:paraId="7B6AEA3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4FA8A9F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48DE63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14:paraId="22C5924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088FCB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253D34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14DDC3C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1AAC99E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A9959B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18135B5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9A398E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542DCBA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7BE9C70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5285A58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C2BC5E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653AF3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375C6B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48545BDA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4105DF" w14:paraId="77D45472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32E82D22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404" w:type="dxa"/>
            <w:gridSpan w:val="2"/>
            <w:noWrap/>
            <w:vAlign w:val="bottom"/>
          </w:tcPr>
          <w:p w14:paraId="1018376A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14:paraId="0C128A9E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3E5C9036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0154608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14:paraId="4B2C4F49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EA8E11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5914E5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834C44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C</w:t>
            </w:r>
          </w:p>
        </w:tc>
        <w:tc>
          <w:tcPr>
            <w:tcW w:w="272" w:type="dxa"/>
            <w:noWrap/>
            <w:vAlign w:val="bottom"/>
            <w:hideMark/>
          </w:tcPr>
          <w:p w14:paraId="66119395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359" w:type="dxa"/>
            <w:noWrap/>
            <w:vAlign w:val="bottom"/>
            <w:hideMark/>
          </w:tcPr>
          <w:p w14:paraId="4B57B4E3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03</w:t>
            </w:r>
          </w:p>
        </w:tc>
        <w:tc>
          <w:tcPr>
            <w:tcW w:w="272" w:type="dxa"/>
            <w:noWrap/>
            <w:vAlign w:val="bottom"/>
            <w:hideMark/>
          </w:tcPr>
          <w:p w14:paraId="7EC348AB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C7D104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206" w:type="dxa"/>
            <w:noWrap/>
            <w:vAlign w:val="bottom"/>
            <w:hideMark/>
          </w:tcPr>
          <w:p w14:paraId="20AA5AE6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/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6DF83B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07</w:t>
            </w:r>
          </w:p>
        </w:tc>
        <w:tc>
          <w:tcPr>
            <w:tcW w:w="272" w:type="dxa"/>
            <w:noWrap/>
            <w:vAlign w:val="bottom"/>
            <w:hideMark/>
          </w:tcPr>
          <w:p w14:paraId="0FD8BEA3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272" w:type="dxa"/>
            <w:noWrap/>
            <w:vAlign w:val="bottom"/>
            <w:hideMark/>
          </w:tcPr>
          <w:p w14:paraId="09162678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CE865D" w14:textId="77777777" w:rsidR="00B0246F" w:rsidRPr="004105DF" w:rsidRDefault="00B0246F" w:rsidP="00330124">
            <w:pPr>
              <w:jc w:val="center"/>
              <w:rPr>
                <w:rFonts w:eastAsia="MS Mincho"/>
                <w:lang w:eastAsia="ja-JP"/>
              </w:rPr>
            </w:pPr>
            <w:r w:rsidRPr="004105DF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4268" w:type="dxa"/>
            <w:noWrap/>
            <w:vAlign w:val="bottom"/>
          </w:tcPr>
          <w:p w14:paraId="5B055D2C" w14:textId="77777777" w:rsidR="00B0246F" w:rsidRPr="004105DF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09571097" w14:textId="77777777" w:rsidTr="00401482">
        <w:trPr>
          <w:trHeight w:hRule="exact" w:val="85"/>
        </w:trPr>
        <w:tc>
          <w:tcPr>
            <w:tcW w:w="328" w:type="dxa"/>
            <w:noWrap/>
            <w:vAlign w:val="bottom"/>
          </w:tcPr>
          <w:p w14:paraId="27B8961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6F62FA2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2" w:type="dxa"/>
            <w:noWrap/>
            <w:vAlign w:val="bottom"/>
            <w:hideMark/>
          </w:tcPr>
          <w:p w14:paraId="43235F1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3F02F24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14:paraId="6F16801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14:paraId="4D3CBF7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2E89C1E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0589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6FFF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DC6D1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007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8AABA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E8970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62A6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582D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noWrap/>
            <w:vAlign w:val="bottom"/>
          </w:tcPr>
          <w:p w14:paraId="563A433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3129D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DD71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0A47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EAF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noWrap/>
            <w:vAlign w:val="bottom"/>
          </w:tcPr>
          <w:p w14:paraId="1ADF734D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61849616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6C242C7F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42CBF47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256DEAC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04D45F3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6256483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231CD0B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237F4CC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5B046E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9CEE0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3D6346E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A4AC2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5C6DBEB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9397AA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23E15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5487A92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737231D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EEFB13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C6D90C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57CC0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1D3B090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7CD70FC3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4F5B870F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367EB9B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36A74E4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4B73382F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1E3F51F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7E386A5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55545DE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20A2454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C49562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7B762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3F6FA6E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62E0B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2154469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3924F4D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D1716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52F7ACE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02B197E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21E2FC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B1C70A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A11B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6F7B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A1DF2" w14:textId="77777777" w:rsidR="00B0246F" w:rsidRPr="005E75DD" w:rsidRDefault="00401482" w:rsidP="00330124">
            <w:pPr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>Groupe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>essai n</w:t>
            </w:r>
            <w:r w:rsidRPr="00F16B23">
              <w:rPr>
                <w:vertAlign w:val="superscript"/>
                <w:lang w:val="fr-FR"/>
              </w:rPr>
              <w:t>o</w:t>
            </w:r>
            <w:r w:rsidRPr="00F16B23">
              <w:rPr>
                <w:lang w:val="fr-FR"/>
              </w:rPr>
              <w:t> 07248</w:t>
            </w:r>
          </w:p>
        </w:tc>
      </w:tr>
      <w:tr w:rsidR="00B0246F" w:rsidRPr="005E75DD" w14:paraId="6F484E79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0559227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478CFFA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0738BF9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271B3C2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5AE0844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723E9FC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6783AFC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1FAC76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C05BB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0A8A3B4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11633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5A1927C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1218BB1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CD3B9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3174D7F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6A8E081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65D8CFF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9AE20E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830006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48D214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554265CD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57032560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43F7727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06EF187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1D8A9A3F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694C36E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2BE2475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22D7497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38294B6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33F19C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CC627F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29EB8A5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27DEA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3095E12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00EC1E6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7A2A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07817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F6CD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FFDC3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0B8F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B5E84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9BC26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CE8FD" w14:textId="77777777" w:rsidR="00B0246F" w:rsidRPr="005E75DD" w:rsidRDefault="00401482" w:rsidP="00330124">
            <w:pPr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>Type n</w:t>
            </w:r>
            <w:r w:rsidRPr="00F16B23">
              <w:rPr>
                <w:vertAlign w:val="superscript"/>
                <w:lang w:val="fr-FR"/>
              </w:rPr>
              <w:t>o</w:t>
            </w:r>
            <w:r w:rsidRPr="00F16B23">
              <w:rPr>
                <w:lang w:val="fr-FR"/>
              </w:rPr>
              <w:t> 00359</w:t>
            </w:r>
          </w:p>
        </w:tc>
      </w:tr>
      <w:tr w:rsidR="00B0246F" w:rsidRPr="005E75DD" w14:paraId="6509ED5D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2EBDAA3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3D36FD3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019D9BB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166ADEA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1CEC37C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2D23EE5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567AA40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9F2A54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BA532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0315D7C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033BB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2F15C5B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14E510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4881E3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54FBEA5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5F59D49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143D553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FF9CBF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D13493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7EC34B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6BB049BE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590DBB23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48E405F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6EC6A8C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5644D8E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2A41888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2F1EA95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465408D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20E4C2F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318CF9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E13E8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0128BD5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4FD4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5C05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CFF73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C176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9BDA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5CA32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CDF7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44FA0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396BD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EAC38A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5C53F6" w14:textId="77777777" w:rsidR="00B0246F" w:rsidRPr="005E75DD" w:rsidRDefault="00401482" w:rsidP="00330124">
            <w:pPr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>Disque de frein</w:t>
            </w:r>
          </w:p>
        </w:tc>
      </w:tr>
      <w:tr w:rsidR="00B0246F" w:rsidRPr="005E75DD" w14:paraId="2502BFDA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7ED1257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389690A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03385BD2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2427322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0EBBB1C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519EEA5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5890F26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BB061B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A16C7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noWrap/>
            <w:vAlign w:val="bottom"/>
          </w:tcPr>
          <w:p w14:paraId="73CAF9E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noWrap/>
            <w:vAlign w:val="bottom"/>
          </w:tcPr>
          <w:p w14:paraId="4CE2099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6974E5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45A5EB19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939097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C2C8C2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04093B9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13FC2B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61E669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7525CA3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DB8B26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71A012EB" w14:textId="77777777" w:rsidR="00B0246F" w:rsidRPr="005E75DD" w:rsidRDefault="00B0246F" w:rsidP="00330124">
            <w:pPr>
              <w:rPr>
                <w:rFonts w:eastAsia="MS Mincho"/>
                <w:lang w:eastAsia="ja-JP"/>
              </w:rPr>
            </w:pPr>
          </w:p>
        </w:tc>
      </w:tr>
      <w:tr w:rsidR="00B0246F" w:rsidRPr="005E75DD" w14:paraId="7D71C63D" w14:textId="77777777" w:rsidTr="00401482">
        <w:trPr>
          <w:trHeight w:val="255"/>
        </w:trPr>
        <w:tc>
          <w:tcPr>
            <w:tcW w:w="328" w:type="dxa"/>
            <w:noWrap/>
            <w:vAlign w:val="bottom"/>
          </w:tcPr>
          <w:p w14:paraId="7586D90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51418CC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5AC3A6F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1EE8E2F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6757EF0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3379BC75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603F90F8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1A96A5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142D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4D93D6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D4F5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4A555D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B99B90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91C7CB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AA808E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1277D7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8C4C0C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4E332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CAA31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A09E4" w14:textId="77777777" w:rsidR="00B0246F" w:rsidRPr="005E75DD" w:rsidRDefault="00B0246F" w:rsidP="0033012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5D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8A65D7" w14:textId="77777777" w:rsidR="00B0246F" w:rsidRPr="005E75DD" w:rsidRDefault="00401482" w:rsidP="00330124">
            <w:pPr>
              <w:rPr>
                <w:rFonts w:eastAsia="MS Mincho"/>
                <w:lang w:eastAsia="ja-JP"/>
              </w:rPr>
            </w:pPr>
            <w:r w:rsidRPr="00F16B23">
              <w:rPr>
                <w:lang w:val="fr-FR"/>
              </w:rPr>
              <w:t>Série 02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>amendements</w:t>
            </w:r>
          </w:p>
        </w:tc>
      </w:tr>
    </w:tbl>
    <w:p w14:paraId="10CF09E6" w14:textId="77777777" w:rsidR="00401482" w:rsidRPr="00F16B23" w:rsidRDefault="00401482" w:rsidP="00EC0A64">
      <w:pPr>
        <w:pStyle w:val="SingleTxtG"/>
        <w:spacing w:before="240"/>
        <w:ind w:left="2268" w:hanging="1134"/>
        <w:rPr>
          <w:lang w:val="fr-FR"/>
        </w:rPr>
      </w:pPr>
      <w:r w:rsidRPr="00F16B23">
        <w:rPr>
          <w:lang w:val="fr-FR"/>
        </w:rPr>
        <w:t>4.2.4</w:t>
      </w:r>
      <w:r w:rsidRPr="00F16B23">
        <w:rPr>
          <w:lang w:val="fr-FR"/>
        </w:rPr>
        <w:tab/>
        <w:t>Dans le cas des garnitures de frein assemblées pour les véhicules de la catégorie L, les garnitures de frein assemblées appartenant au même groupe défini selon les critères de l</w:t>
      </w:r>
      <w:r w:rsidR="00D54EED">
        <w:rPr>
          <w:lang w:val="fr-FR"/>
        </w:rPr>
        <w:t>’</w:t>
      </w:r>
      <w:r w:rsidRPr="00F16B23">
        <w:rPr>
          <w:lang w:val="fr-FR"/>
        </w:rPr>
        <w:t>annexe</w:t>
      </w:r>
      <w:r w:rsidR="00B93B7D">
        <w:rPr>
          <w:lang w:val="fr-FR"/>
        </w:rPr>
        <w:t> </w:t>
      </w:r>
      <w:r w:rsidRPr="00F16B23">
        <w:rPr>
          <w:lang w:val="fr-FR"/>
        </w:rPr>
        <w:t xml:space="preserve">7a doivent être affectées </w:t>
      </w:r>
      <w:r w:rsidRPr="003F520C">
        <w:rPr>
          <w:lang w:val="fr-FR"/>
        </w:rPr>
        <w:t xml:space="preserve">au même </w:t>
      </w:r>
      <w:r w:rsidRPr="00F16B23">
        <w:rPr>
          <w:b/>
          <w:lang w:val="fr-FR"/>
        </w:rPr>
        <w:t>code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homologation et au même</w:t>
      </w:r>
      <w:r w:rsidRPr="00F16B23">
        <w:rPr>
          <w:lang w:val="fr-FR"/>
        </w:rPr>
        <w:t xml:space="preserve"> numéro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que</w:t>
      </w:r>
      <w:r>
        <w:rPr>
          <w:lang w:val="fr-FR"/>
        </w:rPr>
        <w:t xml:space="preserve"> </w:t>
      </w:r>
      <w:r w:rsidRPr="003F520C">
        <w:rPr>
          <w:strike/>
          <w:lang w:val="fr-FR"/>
        </w:rPr>
        <w:t>celui</w:t>
      </w:r>
      <w:r w:rsidR="00B93B7D">
        <w:rPr>
          <w:strike/>
          <w:lang w:val="fr-FR"/>
        </w:rPr>
        <w:t xml:space="preserve"> </w:t>
      </w:r>
      <w:r w:rsidRPr="00F16B23">
        <w:rPr>
          <w:b/>
          <w:lang w:val="fr-FR"/>
        </w:rPr>
        <w:t xml:space="preserve">ceux </w:t>
      </w:r>
      <w:r w:rsidRPr="00E077E9">
        <w:rPr>
          <w:lang w:val="fr-FR"/>
        </w:rPr>
        <w:t>attribué</w:t>
      </w:r>
      <w:r w:rsidRPr="00F16B23">
        <w:rPr>
          <w:b/>
          <w:lang w:val="fr-FR"/>
        </w:rPr>
        <w:t>s</w:t>
      </w:r>
      <w:r w:rsidRPr="00F16B23">
        <w:rPr>
          <w:lang w:val="fr-FR"/>
        </w:rPr>
        <w:t xml:space="preserve"> à la garniture de frein assemblée représentative.</w:t>
      </w:r>
    </w:p>
    <w:p w14:paraId="71BB7A38" w14:textId="77777777" w:rsidR="00401482" w:rsidRPr="00F16B23" w:rsidRDefault="00401482" w:rsidP="00401482">
      <w:pPr>
        <w:pStyle w:val="SingleTxtG"/>
        <w:ind w:left="2268" w:hanging="1134"/>
        <w:rPr>
          <w:lang w:val="fr-FR"/>
        </w:rPr>
      </w:pPr>
      <w:r w:rsidRPr="00F16B23">
        <w:rPr>
          <w:lang w:val="fr-FR"/>
        </w:rPr>
        <w:t>4.3</w:t>
      </w:r>
      <w:r w:rsidRPr="00F16B23">
        <w:rPr>
          <w:lang w:val="fr-FR"/>
        </w:rPr>
        <w:tab/>
        <w:t xml:space="preserve">Une même Partie contractante ne peut attribuer le même </w:t>
      </w:r>
      <w:r w:rsidRPr="00E077E9">
        <w:rPr>
          <w:strike/>
          <w:lang w:val="fr-FR"/>
        </w:rPr>
        <w:t>numéro</w:t>
      </w:r>
      <w:r w:rsidR="00B93B7D">
        <w:rPr>
          <w:strike/>
          <w:lang w:val="fr-FR"/>
        </w:rPr>
        <w:t xml:space="preserve"> </w:t>
      </w:r>
      <w:r>
        <w:rPr>
          <w:b/>
          <w:lang w:val="fr-FR"/>
        </w:rPr>
        <w:t xml:space="preserve">code </w:t>
      </w:r>
      <w:r w:rsidRPr="00F16B23">
        <w:rPr>
          <w:lang w:val="fr-FR"/>
        </w:rPr>
        <w:t>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 </w:t>
      </w:r>
      <w:r w:rsidRPr="00E077E9">
        <w:rPr>
          <w:lang w:val="fr-FR"/>
        </w:rPr>
        <w:t xml:space="preserve">et/ou le même </w:t>
      </w:r>
      <w:r>
        <w:rPr>
          <w:b/>
          <w:lang w:val="fr-FR"/>
        </w:rPr>
        <w:t>numéro</w:t>
      </w:r>
      <w:r w:rsidRPr="00F16B23">
        <w:rPr>
          <w:b/>
          <w:lang w:val="fr-FR"/>
        </w:rPr>
        <w:t xml:space="preserve"> </w:t>
      </w:r>
      <w:r w:rsidRPr="00E077E9">
        <w:rPr>
          <w:lang w:val="fr-FR"/>
        </w:rPr>
        <w:t>d</w:t>
      </w:r>
      <w:r w:rsidR="00D54EED">
        <w:rPr>
          <w:lang w:val="fr-FR"/>
        </w:rPr>
        <w:t>’</w:t>
      </w:r>
      <w:r w:rsidRPr="00E077E9">
        <w:rPr>
          <w:lang w:val="fr-FR"/>
        </w:rPr>
        <w:t>homologation</w:t>
      </w:r>
      <w:r w:rsidRPr="00F16B23">
        <w:rPr>
          <w:lang w:val="fr-FR"/>
        </w:rPr>
        <w:t xml:space="preserve"> à </w:t>
      </w:r>
      <w:r w:rsidRPr="00E077E9">
        <w:rPr>
          <w:lang w:val="fr-FR"/>
        </w:rPr>
        <w:t>une</w:t>
      </w:r>
      <w:r w:rsidRPr="00F16B23">
        <w:rPr>
          <w:lang w:val="fr-FR"/>
        </w:rPr>
        <w:t xml:space="preserve"> </w:t>
      </w:r>
      <w:r w:rsidRPr="00F16B23">
        <w:rPr>
          <w:strike/>
          <w:lang w:val="fr-FR"/>
        </w:rPr>
        <w:t>autre</w:t>
      </w:r>
      <w:r w:rsidR="00AE0ABB">
        <w:rPr>
          <w:strike/>
          <w:lang w:val="fr-FR"/>
        </w:rPr>
        <w:t xml:space="preserve"> </w:t>
      </w:r>
      <w:r w:rsidRPr="00F16B23">
        <w:rPr>
          <w:lang w:val="fr-FR"/>
        </w:rPr>
        <w:t xml:space="preserve">pièce de rechange </w:t>
      </w:r>
      <w:r w:rsidRPr="00F16B23">
        <w:rPr>
          <w:b/>
          <w:lang w:val="fr-FR"/>
        </w:rPr>
        <w:t>de qualité ou de type différent</w:t>
      </w:r>
      <w:r w:rsidRPr="00F16B23">
        <w:rPr>
          <w:lang w:val="fr-FR"/>
        </w:rPr>
        <w:t>. Le même numéro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 </w:t>
      </w:r>
      <w:r w:rsidRPr="00F16B23">
        <w:rPr>
          <w:strike/>
          <w:lang w:val="fr-FR"/>
        </w:rPr>
        <w:t>et</w:t>
      </w:r>
      <w:r w:rsidR="00CF0F4B">
        <w:rPr>
          <w:strike/>
          <w:lang w:val="fr-FR"/>
        </w:rPr>
        <w:t xml:space="preserve"> </w:t>
      </w:r>
      <w:r w:rsidRPr="00F16B23">
        <w:rPr>
          <w:b/>
          <w:lang w:val="fr-FR"/>
        </w:rPr>
        <w:t>ou</w:t>
      </w:r>
      <w:r w:rsidRPr="00F16B23">
        <w:rPr>
          <w:lang w:val="fr-FR"/>
        </w:rPr>
        <w:t xml:space="preserve"> </w:t>
      </w:r>
      <w:r w:rsidRPr="00F16B23">
        <w:rPr>
          <w:b/>
          <w:lang w:val="fr-FR"/>
        </w:rPr>
        <w:t>le même</w:t>
      </w:r>
      <w:r w:rsidRPr="00F16B23">
        <w:rPr>
          <w:lang w:val="fr-FR"/>
        </w:rPr>
        <w:t xml:space="preserve"> </w:t>
      </w:r>
      <w:r w:rsidRPr="00F16B23">
        <w:rPr>
          <w:b/>
          <w:lang w:val="fr-FR"/>
        </w:rPr>
        <w:t>code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homologation</w:t>
      </w:r>
      <w:r w:rsidRPr="00F16B23">
        <w:rPr>
          <w:lang w:val="fr-FR"/>
        </w:rPr>
        <w:t>, par contre, peut s</w:t>
      </w:r>
      <w:r w:rsidR="00D54EED">
        <w:rPr>
          <w:lang w:val="fr-FR"/>
        </w:rPr>
        <w:t>’</w:t>
      </w:r>
      <w:r w:rsidRPr="00F16B23">
        <w:rPr>
          <w:lang w:val="fr-FR"/>
        </w:rPr>
        <w:t>appliquer à l</w:t>
      </w:r>
      <w:r w:rsidR="00D54EED">
        <w:rPr>
          <w:lang w:val="fr-FR"/>
        </w:rPr>
        <w:t>’</w:t>
      </w:r>
      <w:r w:rsidRPr="00F16B23">
        <w:rPr>
          <w:lang w:val="fr-FR"/>
        </w:rPr>
        <w:t>utilisation de cette pièce de rechange sur un certain nombre de types de véhicules différents.</w:t>
      </w:r>
    </w:p>
    <w:p w14:paraId="404CA2FD" w14:textId="77777777" w:rsidR="00401482" w:rsidRPr="00F16B23" w:rsidRDefault="00401482" w:rsidP="00B93B7D">
      <w:pPr>
        <w:pStyle w:val="SingleTxtG"/>
        <w:ind w:left="2268"/>
        <w:rPr>
          <w:lang w:val="fr-FR"/>
        </w:rPr>
      </w:pPr>
      <w:r w:rsidRPr="00F16B23">
        <w:rPr>
          <w:lang w:val="fr-FR"/>
        </w:rPr>
        <w:tab/>
        <w:t>…</w:t>
      </w:r>
    </w:p>
    <w:p w14:paraId="5715AC6F" w14:textId="77777777" w:rsidR="00401482" w:rsidRPr="00F16B23" w:rsidRDefault="00401482" w:rsidP="00401482">
      <w:pPr>
        <w:pStyle w:val="SingleTxtG"/>
        <w:ind w:left="2268" w:hanging="1134"/>
        <w:rPr>
          <w:spacing w:val="-4"/>
          <w:lang w:val="fr-FR"/>
        </w:rPr>
      </w:pPr>
      <w:r w:rsidRPr="00F16B23">
        <w:rPr>
          <w:lang w:val="fr-FR"/>
        </w:rPr>
        <w:t>4.5.2</w:t>
      </w:r>
      <w:r w:rsidRPr="00F16B23">
        <w:rPr>
          <w:lang w:val="fr-FR"/>
        </w:rPr>
        <w:tab/>
        <w:t>Du numéro du présent Règlement, suivi de la lettre “R”,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un tiret et du </w:t>
      </w:r>
      <w:r w:rsidRPr="00F16B23">
        <w:rPr>
          <w:strike/>
          <w:lang w:val="fr-FR"/>
        </w:rPr>
        <w:t>numéro</w:t>
      </w:r>
      <w:r w:rsidR="0097473C">
        <w:rPr>
          <w:strike/>
          <w:lang w:val="fr-FR"/>
        </w:rPr>
        <w:t xml:space="preserve"> </w:t>
      </w:r>
      <w:r w:rsidRPr="00F16B23">
        <w:rPr>
          <w:b/>
          <w:lang w:val="fr-FR"/>
        </w:rPr>
        <w:t>code</w:t>
      </w:r>
      <w:r w:rsidRPr="00F16B23">
        <w:rPr>
          <w:lang w:val="fr-FR"/>
        </w:rPr>
        <w:t xml:space="preserve">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homologation, placés à la droite du cercle prévu au paragraphe 4.5.1.</w:t>
      </w:r>
    </w:p>
    <w:p w14:paraId="75850712" w14:textId="77777777" w:rsidR="00401482" w:rsidRPr="00F16B23" w:rsidRDefault="00401482" w:rsidP="00B93B7D">
      <w:pPr>
        <w:pStyle w:val="SingleTxtG"/>
        <w:ind w:left="2268"/>
        <w:rPr>
          <w:lang w:val="fr-FR"/>
        </w:rPr>
      </w:pPr>
      <w:r w:rsidRPr="00F16B23">
        <w:rPr>
          <w:lang w:val="fr-FR"/>
        </w:rPr>
        <w:tab/>
      </w:r>
      <w:r w:rsidR="00B93B7D">
        <w:rPr>
          <w:lang w:val="fr-FR"/>
        </w:rPr>
        <w:t>…</w:t>
      </w:r>
    </w:p>
    <w:p w14:paraId="0B6D3B33" w14:textId="77777777" w:rsidR="00401482" w:rsidRPr="00F16B23" w:rsidRDefault="00401482" w:rsidP="00401482">
      <w:pPr>
        <w:pStyle w:val="SingleTxtG"/>
        <w:ind w:left="2268" w:hanging="1134"/>
        <w:rPr>
          <w:b/>
          <w:bCs/>
          <w:lang w:val="fr-FR"/>
        </w:rPr>
      </w:pPr>
      <w:r w:rsidRPr="00F16B23">
        <w:rPr>
          <w:b/>
          <w:bCs/>
          <w:lang w:val="fr-FR"/>
        </w:rPr>
        <w:t>4.8</w:t>
      </w:r>
      <w:r w:rsidRPr="00F16B23">
        <w:rPr>
          <w:b/>
          <w:bCs/>
          <w:lang w:val="fr-FR"/>
        </w:rPr>
        <w:tab/>
      </w:r>
      <w:r w:rsidRPr="00F16B23">
        <w:rPr>
          <w:b/>
          <w:lang w:val="fr-FR"/>
        </w:rPr>
        <w:t>Les marques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 xml:space="preserve">homologation prescrites dans le présent Règlement ONU ne peuvent être remplacées par </w:t>
      </w:r>
      <w:r>
        <w:rPr>
          <w:b/>
          <w:lang w:val="fr-FR"/>
        </w:rPr>
        <w:t>l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 xml:space="preserve">identifiant unique </w:t>
      </w:r>
      <w:r>
        <w:rPr>
          <w:b/>
          <w:lang w:val="fr-FR"/>
        </w:rPr>
        <w:t>(UI)</w:t>
      </w:r>
      <w:r w:rsidRPr="00003CF5">
        <w:t xml:space="preserve"> </w:t>
      </w:r>
      <w:r w:rsidRPr="00003CF5">
        <w:rPr>
          <w:b/>
          <w:lang w:val="fr-FR"/>
        </w:rPr>
        <w:t>dont il est fait mention</w:t>
      </w:r>
      <w:r w:rsidRPr="00F16B23">
        <w:rPr>
          <w:b/>
          <w:lang w:val="fr-FR"/>
        </w:rPr>
        <w:t xml:space="preserve"> à l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annexe 5 de l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Accord de 1958</w:t>
      </w:r>
      <w:r w:rsidRPr="00FF1118">
        <w:rPr>
          <w:b/>
          <w:lang w:val="fr-FR"/>
        </w:rPr>
        <w:t>.</w:t>
      </w:r>
      <w:r w:rsidRPr="00F16B23">
        <w:rPr>
          <w:lang w:val="fr-FR"/>
        </w:rPr>
        <w:t> »</w:t>
      </w:r>
      <w:r w:rsidR="0015003B">
        <w:rPr>
          <w:lang w:val="fr-FR"/>
        </w:rPr>
        <w:t>.</w:t>
      </w:r>
    </w:p>
    <w:p w14:paraId="7884B82A" w14:textId="77777777" w:rsidR="00401482" w:rsidRPr="00F16B23" w:rsidRDefault="00401482" w:rsidP="0015003B">
      <w:pPr>
        <w:pStyle w:val="SingleTxtG"/>
        <w:keepNext/>
        <w:rPr>
          <w:lang w:val="fr-FR"/>
        </w:rPr>
      </w:pPr>
      <w:r w:rsidRPr="00F16B23">
        <w:rPr>
          <w:i/>
          <w:lang w:val="fr-FR"/>
        </w:rPr>
        <w:lastRenderedPageBreak/>
        <w:t xml:space="preserve">Paragraphe 6.2.2 et </w:t>
      </w:r>
      <w:r>
        <w:rPr>
          <w:i/>
          <w:lang w:val="fr-FR"/>
        </w:rPr>
        <w:t xml:space="preserve">ses </w:t>
      </w:r>
      <w:r w:rsidRPr="00F16B23">
        <w:rPr>
          <w:i/>
          <w:lang w:val="fr-FR"/>
        </w:rPr>
        <w:t>sous-paragraphes</w:t>
      </w:r>
      <w:r w:rsidRPr="00F16B23">
        <w:rPr>
          <w:b/>
          <w:i/>
          <w:lang w:val="fr-FR"/>
        </w:rPr>
        <w:t xml:space="preserve"> </w:t>
      </w:r>
      <w:r w:rsidRPr="00F16B23">
        <w:rPr>
          <w:i/>
          <w:lang w:val="fr-FR"/>
        </w:rPr>
        <w:t>(Emballage et marquage)</w:t>
      </w:r>
      <w:r w:rsidRPr="00F16B23">
        <w:rPr>
          <w:lang w:val="fr-FR"/>
        </w:rPr>
        <w:t xml:space="preserve">, </w:t>
      </w:r>
      <w:r w:rsidRPr="00F16B23">
        <w:rPr>
          <w:iCs/>
          <w:lang w:val="fr-FR"/>
        </w:rPr>
        <w:t>lire :</w:t>
      </w:r>
    </w:p>
    <w:p w14:paraId="169A1CA5" w14:textId="77777777" w:rsidR="00401482" w:rsidRPr="00F16B23" w:rsidRDefault="00401482" w:rsidP="0015003B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F16B23">
        <w:rPr>
          <w:lang w:val="fr-FR"/>
        </w:rPr>
        <w:t>« 6.2.2</w:t>
      </w:r>
      <w:r w:rsidRPr="00F16B23">
        <w:rPr>
          <w:lang w:val="fr-FR"/>
        </w:rPr>
        <w:tab/>
        <w:t>Marquage</w:t>
      </w:r>
    </w:p>
    <w:p w14:paraId="3149A34F" w14:textId="77777777" w:rsidR="00401482" w:rsidRPr="00F16B23" w:rsidRDefault="00401482" w:rsidP="0015003B">
      <w:pPr>
        <w:pStyle w:val="SingleTxtG"/>
        <w:keepNext/>
        <w:ind w:left="2268"/>
        <w:rPr>
          <w:lang w:val="fr-FR"/>
        </w:rPr>
      </w:pPr>
      <w:r w:rsidRPr="00F16B23">
        <w:rPr>
          <w:lang w:val="fr-FR"/>
        </w:rPr>
        <w:tab/>
        <w:t>Chaque disque/tambour de frein homologué conformément au présent Règlement doit porter un marquage durable comprenant au moins les informations suivantes :</w:t>
      </w:r>
    </w:p>
    <w:p w14:paraId="710ADE78" w14:textId="77777777" w:rsidR="00401482" w:rsidRPr="00F16B23" w:rsidRDefault="00401482" w:rsidP="0040148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F16B23">
        <w:rPr>
          <w:lang w:val="fr-FR"/>
        </w:rPr>
        <w:t>6.2.2.1</w:t>
      </w:r>
      <w:r w:rsidRPr="00F16B23">
        <w:rPr>
          <w:lang w:val="fr-FR"/>
        </w:rPr>
        <w:tab/>
        <w:t>Nom du constructeur ou désignation commerciale ;</w:t>
      </w:r>
    </w:p>
    <w:p w14:paraId="49059A74" w14:textId="77777777" w:rsidR="00401482" w:rsidRPr="00F16B23" w:rsidRDefault="00401482" w:rsidP="0040148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F16B23">
        <w:rPr>
          <w:lang w:val="fr-FR"/>
        </w:rPr>
        <w:t>6.2.2.2</w:t>
      </w:r>
      <w:r w:rsidRPr="00F16B23">
        <w:rPr>
          <w:lang w:val="fr-FR"/>
        </w:rPr>
        <w:tab/>
      </w:r>
      <w:r w:rsidRPr="00F16B23">
        <w:rPr>
          <w:strike/>
          <w:lang w:val="fr-FR"/>
        </w:rPr>
        <w:t>Numéro</w:t>
      </w:r>
      <w:r w:rsidRPr="00F16B23">
        <w:rPr>
          <w:b/>
          <w:lang w:val="fr-FR"/>
        </w:rPr>
        <w:t>Code</w:t>
      </w:r>
      <w:r w:rsidRPr="00F16B23">
        <w:rPr>
          <w:lang w:val="fr-FR"/>
        </w:rPr>
        <w:t xml:space="preserve">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 ;</w:t>
      </w:r>
    </w:p>
    <w:p w14:paraId="77032D87" w14:textId="77777777" w:rsidR="00401482" w:rsidRPr="00F16B23" w:rsidRDefault="00401482" w:rsidP="00401482">
      <w:pPr>
        <w:pStyle w:val="SingleTxtG"/>
        <w:spacing w:before="120"/>
        <w:ind w:left="2268" w:hanging="1134"/>
        <w:rPr>
          <w:lang w:val="fr-FR"/>
        </w:rPr>
      </w:pPr>
      <w:r w:rsidRPr="00F16B23">
        <w:rPr>
          <w:lang w:val="fr-FR"/>
        </w:rPr>
        <w:t>6.2.2.3</w:t>
      </w:r>
      <w:r w:rsidRPr="00F16B23">
        <w:rPr>
          <w:lang w:val="fr-FR"/>
        </w:rPr>
        <w:tab/>
        <w:t>… ».</w:t>
      </w:r>
    </w:p>
    <w:p w14:paraId="4FF688A1" w14:textId="77777777" w:rsidR="00401482" w:rsidRPr="00F16B23" w:rsidRDefault="00401482" w:rsidP="00401482">
      <w:pPr>
        <w:pStyle w:val="SingleTxtG"/>
        <w:rPr>
          <w:lang w:val="fr-FR"/>
        </w:rPr>
      </w:pPr>
      <w:r w:rsidRPr="00F16B23">
        <w:rPr>
          <w:i/>
          <w:lang w:val="fr-FR"/>
        </w:rPr>
        <w:t>Paragraphe 12</w:t>
      </w:r>
      <w:r w:rsidRPr="00F16B23">
        <w:rPr>
          <w:lang w:val="fr-FR"/>
        </w:rPr>
        <w:t xml:space="preserve">, insérer les nouveaux </w:t>
      </w:r>
      <w:r>
        <w:rPr>
          <w:lang w:val="fr-FR"/>
        </w:rPr>
        <w:t>sous-</w:t>
      </w:r>
      <w:r w:rsidRPr="00F16B23">
        <w:rPr>
          <w:lang w:val="fr-FR"/>
        </w:rPr>
        <w:t>paragraphes</w:t>
      </w:r>
      <w:r w:rsidR="00E90646">
        <w:rPr>
          <w:lang w:val="fr-FR"/>
        </w:rPr>
        <w:t> </w:t>
      </w:r>
      <w:r w:rsidRPr="00F16B23">
        <w:rPr>
          <w:lang w:val="fr-FR"/>
        </w:rPr>
        <w:t>12.4, 12.5 et 12.6, comme suit :</w:t>
      </w:r>
    </w:p>
    <w:p w14:paraId="3FE47A9B" w14:textId="77777777" w:rsidR="00401482" w:rsidRPr="00F16B23" w:rsidRDefault="00E90646" w:rsidP="00401482">
      <w:pPr>
        <w:suppressAutoHyphens w:val="0"/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val="fr-FR" w:eastAsia="ja-JP"/>
        </w:rPr>
      </w:pPr>
      <w:r>
        <w:rPr>
          <w:rFonts w:eastAsia="MS Mincho"/>
          <w:bCs/>
          <w:snapToGrid w:val="0"/>
          <w:lang w:val="fr-FR" w:eastAsia="ja-JP"/>
        </w:rPr>
        <w:t>« </w:t>
      </w:r>
      <w:r w:rsidR="00401482" w:rsidRPr="00F16B23">
        <w:rPr>
          <w:rFonts w:eastAsia="MS Mincho"/>
          <w:b/>
          <w:snapToGrid w:val="0"/>
          <w:lang w:val="fr-FR" w:eastAsia="ja-JP"/>
        </w:rPr>
        <w:t>12.4</w:t>
      </w:r>
      <w:r w:rsidR="00401482" w:rsidRPr="00F16B23">
        <w:rPr>
          <w:rFonts w:eastAsia="MS Mincho"/>
          <w:b/>
          <w:snapToGrid w:val="0"/>
          <w:lang w:val="fr-FR" w:eastAsia="ja-JP"/>
        </w:rPr>
        <w:tab/>
      </w:r>
      <w:r w:rsidR="00401482" w:rsidRPr="00F16B23">
        <w:rPr>
          <w:b/>
          <w:lang w:val="fr-FR"/>
        </w:rPr>
        <w:t>À compter de la date officielle d</w:t>
      </w:r>
      <w:r w:rsidR="00D54EED">
        <w:rPr>
          <w:b/>
          <w:lang w:val="fr-FR"/>
        </w:rPr>
        <w:t>’</w:t>
      </w:r>
      <w:r w:rsidR="00401482" w:rsidRPr="00F16B23">
        <w:rPr>
          <w:b/>
          <w:lang w:val="fr-FR"/>
        </w:rPr>
        <w:t>entrée en vigueur du complément 5 à la série 02 d</w:t>
      </w:r>
      <w:r w:rsidR="00D54EED">
        <w:rPr>
          <w:b/>
          <w:lang w:val="fr-FR"/>
        </w:rPr>
        <w:t>’</w:t>
      </w:r>
      <w:r w:rsidR="00401482" w:rsidRPr="00F16B23">
        <w:rPr>
          <w:b/>
          <w:lang w:val="fr-FR"/>
        </w:rPr>
        <w:t xml:space="preserve">amendements, aucune Partie contractante appliquant le présent Règlement </w:t>
      </w:r>
      <w:r w:rsidR="00CF0F4B">
        <w:rPr>
          <w:b/>
          <w:lang w:val="fr-FR"/>
        </w:rPr>
        <w:t xml:space="preserve">ONU </w:t>
      </w:r>
      <w:r w:rsidR="00401482" w:rsidRPr="00F16B23">
        <w:rPr>
          <w:b/>
          <w:lang w:val="fr-FR"/>
        </w:rPr>
        <w:t>ne pourra refuser d</w:t>
      </w:r>
      <w:r w:rsidR="00D54EED">
        <w:rPr>
          <w:b/>
          <w:lang w:val="fr-FR"/>
        </w:rPr>
        <w:t>’</w:t>
      </w:r>
      <w:r w:rsidR="00401482" w:rsidRPr="00F16B23">
        <w:rPr>
          <w:b/>
          <w:lang w:val="fr-FR"/>
        </w:rPr>
        <w:t>accorder une homologation de type</w:t>
      </w:r>
      <w:r w:rsidR="00401482">
        <w:rPr>
          <w:b/>
          <w:lang w:val="fr-FR"/>
        </w:rPr>
        <w:t xml:space="preserve"> ONU</w:t>
      </w:r>
      <w:r w:rsidR="00401482" w:rsidRPr="00F16B23">
        <w:rPr>
          <w:b/>
          <w:lang w:val="fr-FR"/>
        </w:rPr>
        <w:t xml:space="preserve"> </w:t>
      </w:r>
      <w:r w:rsidR="00401482">
        <w:rPr>
          <w:b/>
          <w:lang w:val="fr-FR"/>
        </w:rPr>
        <w:t>en vertu</w:t>
      </w:r>
      <w:r w:rsidR="00401482" w:rsidRPr="00F16B23">
        <w:rPr>
          <w:b/>
          <w:lang w:val="fr-FR"/>
        </w:rPr>
        <w:t xml:space="preserve"> </w:t>
      </w:r>
      <w:r w:rsidR="00401482">
        <w:rPr>
          <w:b/>
          <w:lang w:val="fr-FR"/>
        </w:rPr>
        <w:t>de ce</w:t>
      </w:r>
      <w:r w:rsidR="00401482" w:rsidRPr="00F16B23">
        <w:rPr>
          <w:b/>
          <w:lang w:val="fr-FR"/>
        </w:rPr>
        <w:t xml:space="preserve"> Règlement tel que modifié par le complément 5 à la série 02 d</w:t>
      </w:r>
      <w:r w:rsidR="00D54EED">
        <w:rPr>
          <w:b/>
          <w:lang w:val="fr-FR"/>
        </w:rPr>
        <w:t>’</w:t>
      </w:r>
      <w:r w:rsidR="00401482" w:rsidRPr="00F16B23">
        <w:rPr>
          <w:b/>
          <w:lang w:val="fr-FR"/>
        </w:rPr>
        <w:t>amendements</w:t>
      </w:r>
      <w:r w:rsidR="00401482">
        <w:rPr>
          <w:b/>
          <w:lang w:val="fr-FR"/>
        </w:rPr>
        <w:t xml:space="preserve"> </w:t>
      </w:r>
      <w:r w:rsidR="00401482" w:rsidRPr="00CB1230">
        <w:rPr>
          <w:b/>
          <w:lang w:val="fr-FR"/>
        </w:rPr>
        <w:t xml:space="preserve">ou </w:t>
      </w:r>
      <w:r w:rsidR="00401482">
        <w:rPr>
          <w:b/>
          <w:lang w:val="fr-FR"/>
        </w:rPr>
        <w:t xml:space="preserve">refuser </w:t>
      </w:r>
      <w:r w:rsidR="00401482" w:rsidRPr="00CB1230">
        <w:rPr>
          <w:b/>
          <w:lang w:val="fr-FR"/>
        </w:rPr>
        <w:t>d</w:t>
      </w:r>
      <w:r w:rsidR="00D54EED">
        <w:rPr>
          <w:b/>
          <w:lang w:val="fr-FR"/>
        </w:rPr>
        <w:t>’</w:t>
      </w:r>
      <w:r w:rsidR="00401482" w:rsidRPr="00CB1230">
        <w:rPr>
          <w:b/>
          <w:lang w:val="fr-FR"/>
        </w:rPr>
        <w:t>accepter</w:t>
      </w:r>
      <w:r w:rsidR="00401482">
        <w:rPr>
          <w:b/>
          <w:lang w:val="fr-FR"/>
        </w:rPr>
        <w:t xml:space="preserve"> une telle homologation</w:t>
      </w:r>
      <w:r w:rsidR="00401482" w:rsidRPr="00F16B23">
        <w:rPr>
          <w:b/>
          <w:lang w:val="fr-FR"/>
        </w:rPr>
        <w:t>.</w:t>
      </w:r>
    </w:p>
    <w:p w14:paraId="3B405849" w14:textId="77777777" w:rsidR="00401482" w:rsidRPr="00F16B23" w:rsidRDefault="00401482" w:rsidP="00401482">
      <w:pPr>
        <w:keepLines/>
        <w:suppressAutoHyphens w:val="0"/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val="fr-FR" w:eastAsia="ja-JP"/>
        </w:rPr>
      </w:pPr>
      <w:r w:rsidRPr="00F16B23">
        <w:rPr>
          <w:rFonts w:eastAsia="MS Mincho"/>
          <w:b/>
          <w:snapToGrid w:val="0"/>
          <w:lang w:val="fr-FR" w:eastAsia="ja-JP"/>
        </w:rPr>
        <w:t>12.5</w:t>
      </w:r>
      <w:r w:rsidRPr="00F16B23">
        <w:rPr>
          <w:rFonts w:eastAsia="MS Mincho"/>
          <w:b/>
          <w:snapToGrid w:val="0"/>
          <w:lang w:val="fr-FR" w:eastAsia="ja-JP"/>
        </w:rPr>
        <w:tab/>
        <w:t>Jusqu</w:t>
      </w:r>
      <w:r w:rsidR="00D54EED">
        <w:rPr>
          <w:rFonts w:eastAsia="MS Mincho"/>
          <w:b/>
          <w:snapToGrid w:val="0"/>
          <w:lang w:val="fr-FR" w:eastAsia="ja-JP"/>
        </w:rPr>
        <w:t>’</w:t>
      </w:r>
      <w:r w:rsidRPr="00F16B23">
        <w:rPr>
          <w:rFonts w:eastAsia="MS Mincho"/>
          <w:b/>
          <w:snapToGrid w:val="0"/>
          <w:lang w:val="fr-FR" w:eastAsia="ja-JP"/>
        </w:rPr>
        <w:t>au 1</w:t>
      </w:r>
      <w:r w:rsidRPr="00E90646">
        <w:rPr>
          <w:rFonts w:eastAsia="MS Mincho"/>
          <w:b/>
          <w:snapToGrid w:val="0"/>
          <w:vertAlign w:val="superscript"/>
          <w:lang w:val="fr-FR" w:eastAsia="ja-JP"/>
        </w:rPr>
        <w:t>er</w:t>
      </w:r>
      <w:r w:rsidR="00E90646">
        <w:rPr>
          <w:rFonts w:eastAsia="MS Mincho"/>
          <w:b/>
          <w:snapToGrid w:val="0"/>
          <w:lang w:val="fr-FR" w:eastAsia="ja-JP"/>
        </w:rPr>
        <w:t> </w:t>
      </w:r>
      <w:r w:rsidRPr="00F16B23">
        <w:rPr>
          <w:rFonts w:eastAsia="MS Mincho"/>
          <w:b/>
          <w:snapToGrid w:val="0"/>
          <w:lang w:val="fr-FR" w:eastAsia="ja-JP"/>
        </w:rPr>
        <w:t xml:space="preserve">mars 2021, </w:t>
      </w:r>
      <w:r w:rsidRPr="00F16B23">
        <w:rPr>
          <w:b/>
          <w:lang w:val="fr-FR"/>
        </w:rPr>
        <w:t>les Parties contractantes appliquant le présent Règlement ONU peuvent continuer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accorder des homologations ONU conformément à la série 02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>amendements à ce Règlement sans tenir compte des dispositions du complément 5.</w:t>
      </w:r>
    </w:p>
    <w:p w14:paraId="2E87C967" w14:textId="77777777" w:rsidR="00401482" w:rsidRPr="00F16B23" w:rsidRDefault="00401482" w:rsidP="00401482">
      <w:pPr>
        <w:suppressAutoHyphens w:val="0"/>
        <w:spacing w:after="120" w:line="240" w:lineRule="exact"/>
        <w:ind w:left="2268" w:right="1134" w:hanging="1134"/>
        <w:jc w:val="both"/>
        <w:rPr>
          <w:rFonts w:eastAsia="MS Mincho"/>
          <w:b/>
          <w:snapToGrid w:val="0"/>
          <w:lang w:val="fr-FR" w:eastAsia="ja-JP"/>
        </w:rPr>
      </w:pPr>
      <w:r w:rsidRPr="00F16B23">
        <w:rPr>
          <w:rFonts w:eastAsia="MS Mincho"/>
          <w:b/>
          <w:snapToGrid w:val="0"/>
          <w:lang w:val="fr-FR" w:eastAsia="ja-JP"/>
        </w:rPr>
        <w:t>12.6</w:t>
      </w:r>
      <w:r w:rsidRPr="00F16B23">
        <w:rPr>
          <w:rFonts w:eastAsia="MS Mincho"/>
          <w:b/>
          <w:snapToGrid w:val="0"/>
          <w:lang w:val="fr-FR" w:eastAsia="ja-JP"/>
        </w:rPr>
        <w:tab/>
      </w:r>
      <w:r w:rsidRPr="00F16B23">
        <w:rPr>
          <w:b/>
          <w:lang w:val="fr-FR"/>
        </w:rPr>
        <w:t>Les Parties contractantes appliquant le présent Règlement ONU peuvent continuer d</w:t>
      </w:r>
      <w:r w:rsidR="00D54EED">
        <w:rPr>
          <w:b/>
          <w:lang w:val="fr-FR"/>
        </w:rPr>
        <w:t>’</w:t>
      </w:r>
      <w:r w:rsidRPr="00F16B23">
        <w:rPr>
          <w:b/>
          <w:lang w:val="fr-FR"/>
        </w:rPr>
        <w:t xml:space="preserve">accorder </w:t>
      </w:r>
      <w:r w:rsidRPr="00E04D16">
        <w:rPr>
          <w:b/>
          <w:lang w:val="fr-FR"/>
        </w:rPr>
        <w:t xml:space="preserve">des extensions </w:t>
      </w:r>
      <w:r>
        <w:rPr>
          <w:b/>
          <w:lang w:val="fr-FR"/>
        </w:rPr>
        <w:t>pour</w:t>
      </w:r>
      <w:r w:rsidRPr="00E04D16">
        <w:rPr>
          <w:b/>
          <w:lang w:val="fr-FR"/>
        </w:rPr>
        <w:t xml:space="preserve"> </w:t>
      </w:r>
      <w:r>
        <w:rPr>
          <w:b/>
          <w:lang w:val="fr-FR"/>
        </w:rPr>
        <w:t>des</w:t>
      </w:r>
      <w:r w:rsidRPr="00F16B23">
        <w:rPr>
          <w:b/>
          <w:lang w:val="fr-FR"/>
        </w:rPr>
        <w:t xml:space="preserve"> homologation</w:t>
      </w:r>
      <w:r>
        <w:rPr>
          <w:b/>
          <w:lang w:val="fr-FR"/>
        </w:rPr>
        <w:t>s</w:t>
      </w:r>
      <w:r w:rsidRPr="00F16B23">
        <w:rPr>
          <w:b/>
          <w:lang w:val="fr-FR"/>
        </w:rPr>
        <w:t xml:space="preserve"> de type ONU </w:t>
      </w:r>
      <w:r>
        <w:rPr>
          <w:b/>
          <w:lang w:val="fr-FR"/>
        </w:rPr>
        <w:t>existantes</w:t>
      </w:r>
      <w:r w:rsidRPr="00E04D16">
        <w:rPr>
          <w:b/>
          <w:lang w:val="fr-FR"/>
        </w:rPr>
        <w:t xml:space="preserve"> </w:t>
      </w:r>
      <w:r>
        <w:rPr>
          <w:b/>
          <w:lang w:val="fr-FR"/>
        </w:rPr>
        <w:t xml:space="preserve">délivrées </w:t>
      </w:r>
      <w:r w:rsidRPr="00E04D16">
        <w:rPr>
          <w:b/>
          <w:lang w:val="fr-FR"/>
        </w:rPr>
        <w:t>conformément à la série 02 d</w:t>
      </w:r>
      <w:r w:rsidR="00D54EED">
        <w:rPr>
          <w:b/>
          <w:lang w:val="fr-FR"/>
        </w:rPr>
        <w:t>’</w:t>
      </w:r>
      <w:r w:rsidRPr="00E04D16">
        <w:rPr>
          <w:b/>
          <w:lang w:val="fr-FR"/>
        </w:rPr>
        <w:t>amendements à ce Règlement</w:t>
      </w:r>
      <w:r>
        <w:rPr>
          <w:b/>
          <w:lang w:val="fr-FR"/>
        </w:rPr>
        <w:t>,</w:t>
      </w:r>
      <w:r w:rsidRPr="00F16B23">
        <w:rPr>
          <w:b/>
          <w:lang w:val="fr-FR"/>
        </w:rPr>
        <w:t xml:space="preserve"> sans tenir compte des dispositions du complément 5.</w:t>
      </w:r>
      <w:r w:rsidR="0056470F" w:rsidRPr="0056470F">
        <w:rPr>
          <w:lang w:val="fr-FR"/>
        </w:rPr>
        <w:t> »</w:t>
      </w:r>
      <w:r w:rsidR="0056470F">
        <w:rPr>
          <w:lang w:val="fr-FR"/>
        </w:rPr>
        <w:t>.</w:t>
      </w:r>
    </w:p>
    <w:p w14:paraId="2A4648F0" w14:textId="77777777" w:rsidR="00882DA4" w:rsidRPr="00CF0F4B" w:rsidRDefault="00401482" w:rsidP="00401482">
      <w:pPr>
        <w:pStyle w:val="SingleTxtG"/>
        <w:rPr>
          <w:lang w:val="fr-FR"/>
        </w:rPr>
      </w:pPr>
      <w:r w:rsidRPr="00F16B23">
        <w:rPr>
          <w:i/>
          <w:lang w:val="fr-FR"/>
        </w:rPr>
        <w:t>Annexe 1A, « Communication »,</w:t>
      </w:r>
      <w:r w:rsidRPr="00F16B23">
        <w:rPr>
          <w:lang w:val="fr-FR"/>
        </w:rPr>
        <w:t xml:space="preserve"> modifier comme suit, y compris </w:t>
      </w:r>
      <w:r w:rsidRPr="00CF0F4B">
        <w:rPr>
          <w:lang w:val="fr-FR"/>
        </w:rPr>
        <w:t>l</w:t>
      </w:r>
      <w:r w:rsidR="00D54EED" w:rsidRPr="00CF0F4B">
        <w:rPr>
          <w:lang w:val="fr-FR"/>
        </w:rPr>
        <w:t>’</w:t>
      </w:r>
      <w:r w:rsidRPr="00CF0F4B">
        <w:rPr>
          <w:lang w:val="fr-FR"/>
        </w:rPr>
        <w:t>ajout des deux nouvelles notes de bas de page 3 et 4 :</w:t>
      </w:r>
    </w:p>
    <w:p w14:paraId="6568F4D4" w14:textId="77777777" w:rsidR="00E31B9F" w:rsidRPr="00F93AB6" w:rsidRDefault="00E31B9F" w:rsidP="00E31B9F">
      <w:pPr>
        <w:pStyle w:val="HChG"/>
      </w:pPr>
      <w:r w:rsidRPr="007B0713">
        <w:tab/>
      </w:r>
      <w:r w:rsidRPr="007B0713">
        <w:tab/>
      </w:r>
      <w:r w:rsidRPr="00F93AB6">
        <w:rPr>
          <w:b w:val="0"/>
          <w:sz w:val="20"/>
        </w:rPr>
        <w:t>«</w:t>
      </w:r>
      <w:r>
        <w:rPr>
          <w:b w:val="0"/>
          <w:sz w:val="20"/>
        </w:rPr>
        <w:t> </w:t>
      </w:r>
      <w:r>
        <w:rPr>
          <w:bCs/>
        </w:rPr>
        <w:t>Annexe</w:t>
      </w:r>
      <w:r w:rsidRPr="00F93AB6">
        <w:rPr>
          <w:bCs/>
        </w:rPr>
        <w:t xml:space="preserve"> </w:t>
      </w:r>
      <w:r w:rsidRPr="00F93AB6">
        <w:t>1</w:t>
      </w:r>
      <w:r w:rsidRPr="007B0713">
        <w:rPr>
          <w:lang w:val="fr-FR"/>
        </w:rPr>
        <w:t>A</w:t>
      </w:r>
    </w:p>
    <w:p w14:paraId="06855A76" w14:textId="77777777" w:rsidR="00E31B9F" w:rsidRPr="00E31B9F" w:rsidRDefault="00E31B9F" w:rsidP="00E31B9F">
      <w:pPr>
        <w:pStyle w:val="HChG"/>
        <w:spacing w:after="120"/>
      </w:pPr>
      <w:r w:rsidRPr="00F93AB6">
        <w:tab/>
      </w:r>
      <w:r w:rsidRPr="00F93AB6">
        <w:tab/>
      </w:r>
      <w:r w:rsidRPr="00E31B9F">
        <w:rPr>
          <w:bCs/>
          <w:lang w:val="ru-RU"/>
        </w:rPr>
        <w:t>С</w:t>
      </w:r>
      <w:r>
        <w:rPr>
          <w:bCs/>
        </w:rPr>
        <w:t>ommunication</w:t>
      </w:r>
    </w:p>
    <w:p w14:paraId="44EC147E" w14:textId="77777777" w:rsidR="00E31B9F" w:rsidRDefault="00E31B9F" w:rsidP="00E31B9F">
      <w:pPr>
        <w:pStyle w:val="SingleTxtG"/>
      </w:pPr>
      <w:r w:rsidRPr="00F93AB6">
        <w:t>(</w:t>
      </w:r>
      <w:r w:rsidR="00B206AF">
        <w:t>f</w:t>
      </w:r>
      <w:proofErr w:type="spellStart"/>
      <w:r w:rsidRPr="00F16B23">
        <w:rPr>
          <w:lang w:val="fr-FR"/>
        </w:rPr>
        <w:t>ormat</w:t>
      </w:r>
      <w:proofErr w:type="spellEnd"/>
      <w:r w:rsidRPr="00F16B23">
        <w:rPr>
          <w:lang w:val="fr-FR"/>
        </w:rPr>
        <w:t xml:space="preserve"> maximal</w:t>
      </w:r>
      <w:r w:rsidR="00F93AB6">
        <w:rPr>
          <w:lang w:val="fr-FR"/>
        </w:rPr>
        <w:t> </w:t>
      </w:r>
      <w:r w:rsidRPr="00F16B23">
        <w:rPr>
          <w:lang w:val="fr-FR"/>
        </w:rPr>
        <w:t>: A4 (210 x 297 mm</w:t>
      </w:r>
      <w:r w:rsidR="00F93AB6">
        <w:rPr>
          <w:lang w:val="fr-FR"/>
        </w:rPr>
        <w:t> )</w:t>
      </w:r>
      <w:r w:rsidRPr="00F93AB6">
        <w:t>)</w:t>
      </w:r>
    </w:p>
    <w:p w14:paraId="2FDB0562" w14:textId="77777777" w:rsidR="00E31B9F" w:rsidRPr="007B0713" w:rsidRDefault="009A5384" w:rsidP="00E31B9F">
      <w:pPr>
        <w:pStyle w:val="SingleTxtG"/>
      </w:pP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A95156" wp14:editId="58A248CD">
                <wp:simplePos x="0" y="0"/>
                <wp:positionH relativeFrom="column">
                  <wp:posOffset>2628228</wp:posOffset>
                </wp:positionH>
                <wp:positionV relativeFrom="paragraph">
                  <wp:posOffset>13298</wp:posOffset>
                </wp:positionV>
                <wp:extent cx="2661920" cy="662305"/>
                <wp:effectExtent l="0" t="0" r="508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B36F" w14:textId="77777777" w:rsidR="003D2986" w:rsidRPr="00F93AB6" w:rsidRDefault="003D2986" w:rsidP="00893DC2">
                            <w:pPr>
                              <w:ind w:left="1701" w:hanging="1701"/>
                            </w:pPr>
                            <w:r>
                              <w:t>Émanant</w:t>
                            </w:r>
                            <w:r w:rsidRPr="00F93AB6">
                              <w:t xml:space="preserve"> </w:t>
                            </w:r>
                            <w:r>
                              <w:t>de </w:t>
                            </w:r>
                            <w:r w:rsidRPr="00F93AB6">
                              <w:t>:</w:t>
                            </w:r>
                            <w:r w:rsidRPr="00F93AB6">
                              <w:tab/>
                            </w:r>
                            <w:r>
                              <w:t>Nom de l’administration </w:t>
                            </w:r>
                            <w:r w:rsidRPr="00F93AB6">
                              <w:t>:</w:t>
                            </w:r>
                          </w:p>
                          <w:p w14:paraId="212C9EAA" w14:textId="77777777" w:rsidR="003D2986" w:rsidRPr="00F93AB6" w:rsidRDefault="003D2986" w:rsidP="00893DC2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  <w:p w14:paraId="47CFA49E" w14:textId="77777777" w:rsidR="003D2986" w:rsidRPr="00F93AB6" w:rsidRDefault="003D2986" w:rsidP="00893DC2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  <w:p w14:paraId="03EB1878" w14:textId="77777777" w:rsidR="003D2986" w:rsidRPr="00F93AB6" w:rsidRDefault="003D2986" w:rsidP="00893DC2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5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95pt;margin-top:1.05pt;width:209.6pt;height:5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OmeQIAAP8EAAAOAAAAZHJzL2Uyb0RvYy54bWysVNtu3CAQfa/Uf0C8b3yp14mteKNculWl&#10;9CIl/QAW8BoVAwV27bTqv3fA603Si1RV9QMeYDjMzDnD+cXYS7Tn1gmtGpydpBhxRTUTatvgT/fr&#10;xRlGzhPFiNSKN/iBO3yxevnifDA1z3WnJeMWAYhy9WAa3Hlv6iRxtOM9cSfacAWbrbY98TC124RZ&#10;MgB6L5M8Tctk0JYZqyl3DlZvpk28ivhty6n/0LaOeyQbDLH5ONo4bsKYrM5JvbXEdIIewiD/EEVP&#10;hIJLj1A3xBO0s+IXqF5Qq51u/QnVfaLbVlAec4BssvSnbO46YnjMBYrjzLFM7v/B0vf7jxYJ1mAg&#10;SpEeKLrno0dXekR5qM5gXA1Odwbc/AjLwHLM1JlbTT87pPR1R9SWX1qrh44TBtFl4WTy5OiE4wLI&#10;ZninGVxDdl5HoLG1fSgdFAMBOrD0cGQmhEJhMS/LrMphi8JeWeav0mW8gtTzaWOdf8N1j4LRYAvM&#10;R3Syv3U+REPq2SVc5rQUbC2kjBO73VxLi/YEVLKO3wH9mZtUwVnpcGxCnFYgSLgj7IVwI+vfqiwv&#10;0qu8WqzLs9NFsS6Wi+o0PVukWXVVlWlRFTfr7yHArKg7wRhXt0LxWYFZ8XcMH3ph0k7UIBoaXC3z&#10;5UTRH5NM4/e7JHvhoSGl6EERRydSB2JfKwZpk9oTISc7eR5+rDLUYP7HqkQZBOYnDfhxMwJK0MZG&#10;swcQhNXAF1ALrwgYnbZfMRqgIxvsvuyI5RjJtwpEFdp3NuxsbGaDKApHG+wxmsxrP7X5zlix7QB5&#10;kq3SlyC8VkRNPEZxkCt0WQz+8CKENn46j16P79bqBwAAAP//AwBQSwMEFAAGAAgAAAAhAF8iAAnf&#10;AAAACQEAAA8AAABkcnMvZG93bnJldi54bWxMj01PwzAMhu9I/IfISFwQSz+mapSmE2xwg8PGtHPW&#10;mLaicaomXbt/jzmxm6330evHxXq2nTjj4FtHCuJFBAKpcqalWsHh6/1xBcIHTUZ3jlDBBT2sy9ub&#10;QufGTbTD8z7UgkvI51pBE0KfS+mrBq32C9cjcfbtBqsDr0MtzaAnLredTKIok1a3xBca3eOmwepn&#10;P1oF2XYYpx1tHraHtw/92dfJ8fVyVOr+bn55BhFwDv8w/OmzOpTsdHIjGS86Bcs4fWJUQRKD4HyV&#10;pjycGIyyJciykNcflL8AAAD//wMAUEsBAi0AFAAGAAgAAAAhALaDOJL+AAAA4QEAABMAAAAAAAAA&#10;AAAAAAAAAAAAAFtDb250ZW50X1R5cGVzXS54bWxQSwECLQAUAAYACAAAACEAOP0h/9YAAACUAQAA&#10;CwAAAAAAAAAAAAAAAAAvAQAAX3JlbHMvLnJlbHNQSwECLQAUAAYACAAAACEAcN3zpnkCAAD/BAAA&#10;DgAAAAAAAAAAAAAAAAAuAgAAZHJzL2Uyb0RvYy54bWxQSwECLQAUAAYACAAAACEAXyIACd8AAAAJ&#10;AQAADwAAAAAAAAAAAAAAAADTBAAAZHJzL2Rvd25yZXYueG1sUEsFBgAAAAAEAAQA8wAAAN8FAAAA&#10;AA==&#10;" stroked="f">
                <v:textbox inset="0,0,0,0">
                  <w:txbxContent>
                    <w:p w14:paraId="6C6CB36F" w14:textId="77777777" w:rsidR="003D2986" w:rsidRPr="00F93AB6" w:rsidRDefault="003D2986" w:rsidP="00893DC2">
                      <w:pPr>
                        <w:ind w:left="1701" w:hanging="1701"/>
                      </w:pPr>
                      <w:r>
                        <w:t>Émanant</w:t>
                      </w:r>
                      <w:r w:rsidRPr="00F93AB6">
                        <w:t xml:space="preserve"> </w:t>
                      </w:r>
                      <w:r>
                        <w:t>de </w:t>
                      </w:r>
                      <w:r w:rsidRPr="00F93AB6">
                        <w:t>:</w:t>
                      </w:r>
                      <w:r w:rsidRPr="00F93AB6">
                        <w:tab/>
                      </w:r>
                      <w:r>
                        <w:t>Nom de l’administration </w:t>
                      </w:r>
                      <w:r w:rsidRPr="00F93AB6">
                        <w:t>:</w:t>
                      </w:r>
                    </w:p>
                    <w:p w14:paraId="212C9EAA" w14:textId="77777777" w:rsidR="003D2986" w:rsidRPr="00F93AB6" w:rsidRDefault="003D2986" w:rsidP="00893DC2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  <w:p w14:paraId="47CFA49E" w14:textId="77777777" w:rsidR="003D2986" w:rsidRPr="00F93AB6" w:rsidRDefault="003D2986" w:rsidP="00893DC2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  <w:p w14:paraId="03EB1878" w14:textId="77777777" w:rsidR="003D2986" w:rsidRPr="00F93AB6" w:rsidRDefault="003D2986" w:rsidP="00893DC2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AB6"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FC45A" wp14:editId="11AC8F68">
                <wp:simplePos x="0" y="0"/>
                <wp:positionH relativeFrom="column">
                  <wp:posOffset>1674159</wp:posOffset>
                </wp:positionH>
                <wp:positionV relativeFrom="paragraph">
                  <wp:posOffset>271183</wp:posOffset>
                </wp:positionV>
                <wp:extent cx="317500" cy="342900"/>
                <wp:effectExtent l="5715" t="13335" r="10160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AAD1" w14:textId="77777777" w:rsidR="003D2986" w:rsidRPr="004215B6" w:rsidRDefault="003D2986" w:rsidP="00E31B9F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4215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C45A" id="Text Box 3" o:spid="_x0000_s1027" type="#_x0000_t202" style="position:absolute;left:0;text-align:left;margin-left:131.8pt;margin-top:21.35pt;width: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2oJAIAAFY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rigxTGOL&#10;HsUQyAcYyDyy01tfoNODRbcw4DV2OVXq7T3wn54Y2HbMtOLWOeg7wWrMbhpfZhdPRxwfQar+C9QY&#10;hu0DJKChcTpSh2QQRMcuHc+dialwvJxPr5Y5Wjia5ovZCuUYgRXPj63z4ZMATaJQUoeNT+DscO/D&#10;6PrsEmN5ULLeSaWS4tpqqxw5MBySXfpO6H+4KUN6pGk5W471vwJCy4DTrqQu6XUevxiHFZG1j6ZO&#10;cmBSjTJWp8yJxsjcyGEYqiH1K3EcKa6gPiKvDsbhxmVEoQP3m5IeB7uk/teeOUGJ+mywN6vpYhE3&#10;ISmL5dUMFXdpqS4tzHCEKmmgZBS3YdyevXWy7TDSOA0GbrGfjUxcv2R1Sh+HN3XrtGhxOy715PXy&#10;O9g8AQAA//8DAFBLAwQUAAYACAAAACEAaK0nSd4AAAAJAQAADwAAAGRycy9kb3ducmV2LnhtbEyP&#10;wU7DMAyG70i8Q2QkLoily1AHpe40TSDOG1y4ZY3XVjRO22Rrx9OTndjR9qff35+vJtuKEw2+cYww&#10;nyUgiEtnGq4Qvj7fH59B+KDZ6NYxIZzJw6q4vcl1ZtzIWzrtQiViCPtMI9QhdJmUvqzJaj9zHXG8&#10;HdxgdYjjUEkz6DGG21aqJEml1Q3HD7XuaFNT+bM7WgQ3vp2toz5RD9+/9mOz7rcH1SPe303rVxCB&#10;pvAPw0U/qkMRnfbuyMaLFkGlizSiCE9qCSICi/llsUd4SZcgi1xeNyj+AAAA//8DAFBLAQItABQA&#10;BgAIAAAAIQC2gziS/gAAAOEBAAATAAAAAAAAAAAAAAAAAAAAAABbQ29udGVudF9UeXBlc10ueG1s&#10;UEsBAi0AFAAGAAgAAAAhADj9If/WAAAAlAEAAAsAAAAAAAAAAAAAAAAALwEAAF9yZWxzLy5yZWxz&#10;UEsBAi0AFAAGAAgAAAAhAIrZbagkAgAAVgQAAA4AAAAAAAAAAAAAAAAALgIAAGRycy9lMm9Eb2Mu&#10;eG1sUEsBAi0AFAAGAAgAAAAhAGitJ0neAAAACQEAAA8AAAAAAAAAAAAAAAAAfgQAAGRycy9kb3du&#10;cmV2LnhtbFBLBQYAAAAABAAEAPMAAACJBQAAAAA=&#10;" strokecolor="white">
                <v:textbox>
                  <w:txbxContent>
                    <w:p w14:paraId="0FDEAAD1" w14:textId="77777777" w:rsidR="003D2986" w:rsidRPr="004215B6" w:rsidRDefault="003D2986" w:rsidP="00E31B9F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</w:pPr>
                      <w:r w:rsidRPr="004215B6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1B9F" w:rsidRPr="00F93AB6">
        <w:tab/>
      </w:r>
      <w:r w:rsidR="00E31B9F" w:rsidRPr="007B0713">
        <w:rPr>
          <w:noProof/>
          <w:lang w:val="en-US"/>
        </w:rPr>
        <w:drawing>
          <wp:inline distT="0" distB="0" distL="0" distR="0" wp14:anchorId="2406530A" wp14:editId="21AC5A56">
            <wp:extent cx="1069975" cy="10090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51C1" w14:textId="77777777" w:rsidR="00605E32" w:rsidRDefault="00893DC2" w:rsidP="00605E32">
      <w:pPr>
        <w:pStyle w:val="SingleTxtG"/>
        <w:kinsoku/>
        <w:overflowPunct/>
        <w:autoSpaceDE/>
        <w:autoSpaceDN/>
        <w:adjustRightInd/>
        <w:snapToGrid/>
        <w:spacing w:before="120"/>
        <w:ind w:left="2552" w:hanging="1418"/>
        <w:jc w:val="left"/>
        <w:rPr>
          <w:lang w:val="fr-FR"/>
        </w:rPr>
      </w:pPr>
      <w:r>
        <w:t>concernant</w:t>
      </w:r>
      <w:r w:rsidR="00E31B9F" w:rsidRPr="00893DC2">
        <w:rPr>
          <w:sz w:val="18"/>
          <w:szCs w:val="18"/>
          <w:vertAlign w:val="superscript"/>
        </w:rPr>
        <w:t>2</w:t>
      </w:r>
      <w:r w:rsidRPr="00893DC2">
        <w:rPr>
          <w:sz w:val="18"/>
          <w:szCs w:val="18"/>
        </w:rPr>
        <w:t> </w:t>
      </w:r>
      <w:r w:rsidR="00E31B9F" w:rsidRPr="00893DC2">
        <w:t>:</w:t>
      </w:r>
      <w:r w:rsidR="002D7D0C">
        <w:tab/>
      </w:r>
      <w:r w:rsidRPr="00F16B23">
        <w:rPr>
          <w:lang w:val="fr-FR"/>
        </w:rPr>
        <w:t>Délivrance d</w:t>
      </w:r>
      <w:r w:rsidR="00D54EED">
        <w:rPr>
          <w:lang w:val="fr-FR"/>
        </w:rPr>
        <w:t>’</w:t>
      </w:r>
      <w:r w:rsidRPr="00F16B23">
        <w:rPr>
          <w:lang w:val="fr-FR"/>
        </w:rPr>
        <w:t>une homologation</w:t>
      </w:r>
      <w:r w:rsidR="002D7D0C">
        <w:rPr>
          <w:rFonts w:eastAsia="Times New Roman"/>
        </w:rPr>
        <w:br/>
      </w:r>
      <w:r w:rsidRPr="00F16B23">
        <w:rPr>
          <w:lang w:val="fr-FR"/>
        </w:rPr>
        <w:t>Extension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 w:rsidR="002D7D0C">
        <w:rPr>
          <w:lang w:val="fr-FR"/>
        </w:rPr>
        <w:br/>
      </w:r>
      <w:r w:rsidRPr="00F16B23">
        <w:rPr>
          <w:lang w:val="fr-FR"/>
        </w:rPr>
        <w:t>Refus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 w:rsidR="002D7D0C">
        <w:rPr>
          <w:lang w:val="fr-FR"/>
        </w:rPr>
        <w:br/>
      </w:r>
      <w:r w:rsidRPr="00F16B23">
        <w:rPr>
          <w:lang w:val="fr-FR"/>
        </w:rPr>
        <w:t>Retrait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 w:rsidR="00605E32">
        <w:rPr>
          <w:lang w:val="fr-FR"/>
        </w:rPr>
        <w:br/>
      </w:r>
      <w:r w:rsidRPr="00F16B23">
        <w:rPr>
          <w:lang w:val="fr-FR"/>
        </w:rPr>
        <w:t>Arrêt définitif de la production</w:t>
      </w:r>
    </w:p>
    <w:p w14:paraId="09CF01BA" w14:textId="77777777" w:rsidR="000365A9" w:rsidRDefault="00605E32" w:rsidP="00605E32">
      <w:pPr>
        <w:pStyle w:val="SingleTxtG"/>
      </w:pPr>
      <w:r w:rsidRPr="00605E32">
        <w:rPr>
          <w:lang w:val="fr-FR"/>
        </w:rPr>
        <w:t xml:space="preserve">de garnitures de frein assemblées de rechange ou de garnitures de frein à tambour de rechange, en application du Règlement </w:t>
      </w:r>
      <w:r w:rsidRPr="00605E32">
        <w:rPr>
          <w:rFonts w:eastAsia="MS Mincho"/>
          <w:szCs w:val="22"/>
          <w:lang w:val="fr-FR"/>
        </w:rPr>
        <w:t>n</w:t>
      </w:r>
      <w:r w:rsidRPr="00605E3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605E32">
        <w:rPr>
          <w:lang w:val="fr-FR"/>
        </w:rPr>
        <w:t>90</w:t>
      </w:r>
      <w:r w:rsidR="00E31B9F" w:rsidRPr="00605E32">
        <w:t>.</w:t>
      </w:r>
    </w:p>
    <w:p w14:paraId="65820147" w14:textId="77777777" w:rsidR="00E81CB2" w:rsidRPr="00D96394" w:rsidRDefault="000365A9" w:rsidP="00E81CB2">
      <w:pPr>
        <w:pStyle w:val="SingleTxtG"/>
        <w:tabs>
          <w:tab w:val="right" w:leader="dot" w:pos="4253"/>
          <w:tab w:val="left" w:pos="4962"/>
          <w:tab w:val="right" w:leader="dot" w:pos="8505"/>
        </w:tabs>
        <w:jc w:val="left"/>
      </w:pPr>
      <w:r w:rsidRPr="00D27C2A">
        <w:br w:type="page"/>
      </w:r>
      <w:r w:rsidR="00E81CB2">
        <w:rPr>
          <w:b/>
        </w:rPr>
        <w:lastRenderedPageBreak/>
        <w:t>Code</w:t>
      </w:r>
      <w:r w:rsidR="00E81CB2" w:rsidRPr="00D27C2A">
        <w:rPr>
          <w:b/>
        </w:rPr>
        <w:t xml:space="preserve"> </w:t>
      </w:r>
      <w:r w:rsidR="00E81CB2" w:rsidRPr="00F16B23">
        <w:rPr>
          <w:b/>
          <w:lang w:val="fr-FR"/>
        </w:rPr>
        <w:t>d</w:t>
      </w:r>
      <w:r w:rsidR="00E81CB2">
        <w:rPr>
          <w:b/>
        </w:rPr>
        <w:t>’</w:t>
      </w:r>
      <w:r w:rsidR="00E81CB2" w:rsidRPr="00D96394">
        <w:t>homologation</w:t>
      </w:r>
      <w:r w:rsidR="00E81CB2" w:rsidRPr="008F12BD">
        <w:rPr>
          <w:strike/>
          <w:lang w:val="fr-FR"/>
        </w:rPr>
        <w:t xml:space="preserve"> </w:t>
      </w:r>
      <w:r w:rsidR="00E81CB2" w:rsidRPr="000365A9">
        <w:rPr>
          <w:rFonts w:eastAsia="MS Mincho"/>
          <w:strike/>
          <w:szCs w:val="22"/>
          <w:lang w:val="fr-FR"/>
        </w:rPr>
        <w:t>n</w:t>
      </w:r>
      <w:r w:rsidR="00E81CB2" w:rsidRPr="000365A9">
        <w:rPr>
          <w:rFonts w:eastAsia="MS Mincho"/>
          <w:strike/>
          <w:szCs w:val="22"/>
          <w:vertAlign w:val="superscript"/>
          <w:lang w:val="fr-FR"/>
        </w:rPr>
        <w:t>o</w:t>
      </w:r>
      <w:r w:rsidR="00E81CB2">
        <w:rPr>
          <w:rFonts w:eastAsia="MS Mincho"/>
          <w:strike/>
          <w:lang w:val="fr-FR"/>
        </w:rPr>
        <w:t> </w:t>
      </w:r>
      <w:r w:rsidR="00E81CB2" w:rsidRPr="008F12BD">
        <w:rPr>
          <w:rFonts w:eastAsia="MS Mincho"/>
          <w:b/>
          <w:vertAlign w:val="superscript"/>
        </w:rPr>
        <w:t>3</w:t>
      </w:r>
      <w:r w:rsidR="00E81CB2" w:rsidRPr="00195A33">
        <w:rPr>
          <w:rFonts w:eastAsia="MS Mincho"/>
        </w:rPr>
        <w:t xml:space="preserve"> </w:t>
      </w:r>
      <w:r w:rsidR="00E81CB2" w:rsidRPr="00D96394">
        <w:tab/>
      </w:r>
      <w:r w:rsidR="00E81CB2" w:rsidRPr="00D96394">
        <w:tab/>
      </w:r>
      <w:proofErr w:type="spellStart"/>
      <w:r w:rsidR="00E81CB2" w:rsidRPr="009D49D0">
        <w:rPr>
          <w:rFonts w:eastAsia="Times New Roman"/>
          <w:b/>
          <w:lang w:val="fr-FR"/>
        </w:rPr>
        <w:t>H</w:t>
      </w:r>
      <w:r w:rsidR="00E81CB2" w:rsidRPr="000F0427">
        <w:rPr>
          <w:rFonts w:eastAsia="Times New Roman"/>
          <w:b/>
          <w:lang w:val="fr-FR"/>
        </w:rPr>
        <w:t>omologation</w:t>
      </w:r>
      <w:r w:rsidR="00E81CB2" w:rsidRPr="000F0427">
        <w:rPr>
          <w:rFonts w:eastAsia="Times New Roman"/>
          <w:strike/>
          <w:lang w:val="fr-FR"/>
        </w:rPr>
        <w:t>Extension</w:t>
      </w:r>
      <w:proofErr w:type="spellEnd"/>
      <w:r w:rsidR="00E81CB2" w:rsidRPr="008F12BD">
        <w:rPr>
          <w:strike/>
          <w:lang w:val="fr-FR"/>
        </w:rPr>
        <w:t xml:space="preserve"> </w:t>
      </w:r>
      <w:r w:rsidR="00E81CB2" w:rsidRPr="00B20CF6">
        <w:rPr>
          <w:rFonts w:eastAsia="MS Mincho"/>
          <w:strike/>
          <w:szCs w:val="22"/>
          <w:lang w:val="fr-FR"/>
        </w:rPr>
        <w:t>n</w:t>
      </w:r>
      <w:r w:rsidR="00E81CB2" w:rsidRPr="00B20CF6">
        <w:rPr>
          <w:rFonts w:eastAsia="MS Mincho"/>
          <w:strike/>
          <w:szCs w:val="22"/>
          <w:vertAlign w:val="superscript"/>
          <w:lang w:val="fr-FR"/>
        </w:rPr>
        <w:t>o</w:t>
      </w:r>
      <w:r w:rsidR="00E81CB2" w:rsidRPr="00B20CF6">
        <w:rPr>
          <w:rFonts w:eastAsia="MS Mincho"/>
          <w:strike/>
          <w:lang w:val="fr-FR"/>
        </w:rPr>
        <w:t> </w:t>
      </w:r>
      <w:r w:rsidR="00E81CB2" w:rsidRPr="008F12BD">
        <w:rPr>
          <w:rFonts w:eastAsia="MS Mincho"/>
          <w:b/>
          <w:vertAlign w:val="superscript"/>
          <w:lang w:val="fr-FR"/>
        </w:rPr>
        <w:t>4</w:t>
      </w:r>
      <w:r w:rsidR="00E81CB2" w:rsidRPr="001E14FE">
        <w:rPr>
          <w:rFonts w:eastAsia="MS Mincho"/>
          <w:lang w:val="fr-FR"/>
        </w:rPr>
        <w:t xml:space="preserve"> </w:t>
      </w:r>
      <w:r w:rsidR="00E81CB2" w:rsidRPr="00D96394">
        <w:tab/>
      </w:r>
    </w:p>
    <w:p w14:paraId="4777FBCA" w14:textId="77777777" w:rsidR="00E31B9F" w:rsidRPr="00106C5C" w:rsidRDefault="00E31B9F" w:rsidP="00B61C5F">
      <w:pPr>
        <w:pStyle w:val="SingleTxtG"/>
      </w:pPr>
      <w:r w:rsidRPr="00D27C2A">
        <w:t>1.</w:t>
      </w:r>
      <w:r w:rsidRPr="00D27C2A">
        <w:tab/>
        <w:t>…</w:t>
      </w:r>
      <w:r w:rsidR="00106C5C">
        <w:t> </w:t>
      </w:r>
      <w:r w:rsidRPr="00D27C2A">
        <w:t>»</w:t>
      </w:r>
      <w:r w:rsidR="00B206AF">
        <w:t>.</w:t>
      </w:r>
    </w:p>
    <w:p w14:paraId="61034142" w14:textId="77777777" w:rsidR="00E31B9F" w:rsidRPr="00106C5C" w:rsidRDefault="00E31B9F" w:rsidP="00E31B9F">
      <w:pPr>
        <w:pStyle w:val="SingleTxtG"/>
      </w:pPr>
      <w:r w:rsidRPr="00106C5C">
        <w:t>_________________________</w:t>
      </w:r>
    </w:p>
    <w:p w14:paraId="54EB68C0" w14:textId="77777777" w:rsidR="00E31B9F" w:rsidRPr="00106C5C" w:rsidRDefault="00E31B9F" w:rsidP="00E31B9F">
      <w:pPr>
        <w:pStyle w:val="Notedebasdepage"/>
        <w:widowControl w:val="0"/>
        <w:tabs>
          <w:tab w:val="clear" w:pos="1021"/>
          <w:tab w:val="right" w:pos="1020"/>
        </w:tabs>
      </w:pPr>
      <w:r w:rsidRPr="00106C5C">
        <w:tab/>
      </w:r>
      <w:r w:rsidRPr="00106C5C">
        <w:rPr>
          <w:sz w:val="20"/>
        </w:rPr>
        <w:t>«</w:t>
      </w:r>
      <w:r w:rsidR="00330124">
        <w:rPr>
          <w:sz w:val="20"/>
        </w:rPr>
        <w:t> </w:t>
      </w:r>
      <w:r w:rsidRPr="00106C5C">
        <w:rPr>
          <w:vertAlign w:val="superscript"/>
        </w:rPr>
        <w:t>1</w:t>
      </w:r>
      <w:r w:rsidRPr="00106C5C">
        <w:tab/>
      </w:r>
      <w:r w:rsidR="00106C5C" w:rsidRPr="00916243">
        <w:rPr>
          <w:lang w:val="fr-FR"/>
        </w:rPr>
        <w:t>Numéro distinctif du pays qui a délivré/étendu/refusé/retiré l</w:t>
      </w:r>
      <w:r w:rsidR="00D54EED">
        <w:rPr>
          <w:lang w:val="fr-FR"/>
        </w:rPr>
        <w:t>’</w:t>
      </w:r>
      <w:r w:rsidR="00106C5C" w:rsidRPr="00916243">
        <w:rPr>
          <w:lang w:val="fr-FR"/>
        </w:rPr>
        <w:t>homologation (voir les dispositions du Règlement relatives à l</w:t>
      </w:r>
      <w:r w:rsidR="00D54EED">
        <w:rPr>
          <w:lang w:val="fr-FR"/>
        </w:rPr>
        <w:t>’</w:t>
      </w:r>
      <w:r w:rsidR="00106C5C" w:rsidRPr="00916243">
        <w:rPr>
          <w:lang w:val="fr-FR"/>
        </w:rPr>
        <w:t>homologation).</w:t>
      </w:r>
    </w:p>
    <w:p w14:paraId="661E7D8A" w14:textId="77777777" w:rsidR="00E31B9F" w:rsidRPr="00330124" w:rsidRDefault="00E31B9F" w:rsidP="00E31B9F">
      <w:pPr>
        <w:pStyle w:val="Notedebasdepage"/>
        <w:widowControl w:val="0"/>
        <w:tabs>
          <w:tab w:val="clear" w:pos="1021"/>
          <w:tab w:val="right" w:pos="1020"/>
        </w:tabs>
      </w:pPr>
      <w:r w:rsidRPr="00106C5C">
        <w:tab/>
      </w:r>
      <w:r w:rsidRPr="00330124">
        <w:rPr>
          <w:rStyle w:val="Appelnotedebasdep"/>
        </w:rPr>
        <w:t>2</w:t>
      </w:r>
      <w:r w:rsidRPr="00330124">
        <w:tab/>
      </w:r>
      <w:r w:rsidR="00330124" w:rsidRPr="00916243">
        <w:rPr>
          <w:szCs w:val="22"/>
          <w:lang w:val="fr-FR"/>
        </w:rPr>
        <w:t>Biffer les mentions inutiles</w:t>
      </w:r>
      <w:r w:rsidRPr="00330124">
        <w:t>.</w:t>
      </w:r>
    </w:p>
    <w:p w14:paraId="3AC317A3" w14:textId="77777777" w:rsidR="00E31B9F" w:rsidRPr="00330124" w:rsidRDefault="00E31B9F" w:rsidP="00E31B9F">
      <w:pPr>
        <w:pStyle w:val="Notedebasdepage"/>
        <w:widowControl w:val="0"/>
        <w:tabs>
          <w:tab w:val="clear" w:pos="1021"/>
          <w:tab w:val="right" w:pos="1020"/>
        </w:tabs>
      </w:pPr>
      <w:r w:rsidRPr="00330124">
        <w:tab/>
      </w:r>
      <w:r w:rsidRPr="00330124">
        <w:rPr>
          <w:b/>
          <w:vertAlign w:val="superscript"/>
        </w:rPr>
        <w:t>3</w:t>
      </w:r>
      <w:r w:rsidRPr="00330124">
        <w:rPr>
          <w:b/>
        </w:rPr>
        <w:tab/>
      </w:r>
      <w:r w:rsidR="00330124" w:rsidRPr="00916243">
        <w:rPr>
          <w:b/>
          <w:lang w:val="fr-FR"/>
        </w:rPr>
        <w:t>Conformément au paragraphe 4.2 du présent Règlement</w:t>
      </w:r>
      <w:r w:rsidRPr="00330124">
        <w:rPr>
          <w:b/>
        </w:rPr>
        <w:t>.</w:t>
      </w:r>
    </w:p>
    <w:p w14:paraId="696E8F65" w14:textId="77777777" w:rsidR="00E31B9F" w:rsidRPr="00330124" w:rsidRDefault="00E31B9F" w:rsidP="00E31B9F">
      <w:pPr>
        <w:pStyle w:val="Notedebasdepage"/>
        <w:widowControl w:val="0"/>
      </w:pPr>
      <w:r w:rsidRPr="00330124">
        <w:rPr>
          <w:b/>
        </w:rPr>
        <w:tab/>
      </w:r>
      <w:r w:rsidRPr="00330124">
        <w:rPr>
          <w:rStyle w:val="Appelnotedebasdep"/>
          <w:b/>
        </w:rPr>
        <w:t>4</w:t>
      </w:r>
      <w:r w:rsidRPr="00330124">
        <w:rPr>
          <w:b/>
        </w:rPr>
        <w:tab/>
      </w:r>
      <w:r w:rsidR="00330124" w:rsidRPr="00916243">
        <w:rPr>
          <w:b/>
          <w:lang w:val="fr-FR"/>
        </w:rPr>
        <w:t>Conformément</w:t>
      </w:r>
      <w:r w:rsidR="00330124" w:rsidRPr="00330124">
        <w:rPr>
          <w:b/>
          <w:bCs/>
          <w:szCs w:val="18"/>
        </w:rPr>
        <w:t xml:space="preserve"> </w:t>
      </w:r>
      <w:r w:rsidR="00330124">
        <w:rPr>
          <w:b/>
          <w:bCs/>
          <w:szCs w:val="18"/>
        </w:rPr>
        <w:t xml:space="preserve">à </w:t>
      </w:r>
      <w:r w:rsidR="00330124" w:rsidRPr="00916243">
        <w:rPr>
          <w:b/>
          <w:lang w:val="fr-FR"/>
        </w:rPr>
        <w:t>l</w:t>
      </w:r>
      <w:r w:rsidR="00D54EED">
        <w:rPr>
          <w:b/>
          <w:lang w:val="fr-FR"/>
        </w:rPr>
        <w:t>’</w:t>
      </w:r>
      <w:r w:rsidR="00330124" w:rsidRPr="00916243">
        <w:rPr>
          <w:b/>
          <w:lang w:val="fr-FR"/>
        </w:rPr>
        <w:t>annexe 4 de l</w:t>
      </w:r>
      <w:r w:rsidR="00D54EED">
        <w:rPr>
          <w:b/>
          <w:lang w:val="fr-FR"/>
        </w:rPr>
        <w:t>’</w:t>
      </w:r>
      <w:r w:rsidR="00330124" w:rsidRPr="00916243">
        <w:rPr>
          <w:b/>
          <w:lang w:val="fr-FR"/>
        </w:rPr>
        <w:t>Accord de 1958</w:t>
      </w:r>
      <w:r w:rsidR="00B206AF">
        <w:rPr>
          <w:b/>
          <w:lang w:val="fr-FR"/>
        </w:rPr>
        <w:t>.</w:t>
      </w:r>
      <w:r w:rsidR="00330124">
        <w:rPr>
          <w:b/>
          <w:bCs/>
          <w:szCs w:val="18"/>
        </w:rPr>
        <w:t> </w:t>
      </w:r>
      <w:r w:rsidRPr="00330124">
        <w:rPr>
          <w:sz w:val="20"/>
        </w:rPr>
        <w:t>».</w:t>
      </w:r>
    </w:p>
    <w:p w14:paraId="518004F6" w14:textId="77777777" w:rsidR="00E31B9F" w:rsidRPr="00C806F4" w:rsidRDefault="00472B44" w:rsidP="00E31B9F">
      <w:pPr>
        <w:pStyle w:val="SingleTxtG"/>
        <w:spacing w:before="120"/>
        <w:ind w:left="1138" w:right="1138"/>
      </w:pPr>
      <w:bookmarkStart w:id="0" w:name="_Hlk15901329"/>
      <w:r w:rsidRPr="0078621B">
        <w:rPr>
          <w:rFonts w:eastAsia="Calibri"/>
          <w:i/>
          <w:lang w:val="fr-FR"/>
        </w:rPr>
        <w:t>Annexe 1</w:t>
      </w:r>
      <w:r w:rsidRPr="0078621B">
        <w:rPr>
          <w:i/>
          <w:lang w:val="fr-FR"/>
        </w:rPr>
        <w:t>B</w:t>
      </w:r>
      <w:r w:rsidRPr="0078621B">
        <w:rPr>
          <w:rFonts w:eastAsia="Calibri"/>
          <w:i/>
          <w:lang w:val="fr-FR"/>
        </w:rPr>
        <w:t xml:space="preserve">, « Communication », </w:t>
      </w:r>
      <w:r w:rsidRPr="0010429E">
        <w:rPr>
          <w:rFonts w:eastAsia="Calibri"/>
          <w:lang w:val="fr-FR"/>
        </w:rPr>
        <w:t>modifier comme suit</w:t>
      </w:r>
      <w:r w:rsidRPr="00C806F4">
        <w:rPr>
          <w:rFonts w:eastAsia="Calibri"/>
          <w:lang w:val="fr-FR"/>
        </w:rPr>
        <w:t>, y compris l</w:t>
      </w:r>
      <w:r w:rsidR="00D54EED" w:rsidRPr="00C806F4">
        <w:rPr>
          <w:rFonts w:eastAsia="Calibri"/>
          <w:lang w:val="fr-FR"/>
        </w:rPr>
        <w:t>’</w:t>
      </w:r>
      <w:r w:rsidRPr="00C806F4">
        <w:rPr>
          <w:rFonts w:eastAsia="Calibri"/>
          <w:lang w:val="fr-FR"/>
        </w:rPr>
        <w:t>ajout des deux nouvelles notes de bas de page 3 et 4 </w:t>
      </w:r>
      <w:bookmarkEnd w:id="0"/>
      <w:r w:rsidR="00E31B9F" w:rsidRPr="00C806F4">
        <w:t>:</w:t>
      </w:r>
    </w:p>
    <w:p w14:paraId="374B2117" w14:textId="77777777" w:rsidR="00E31B9F" w:rsidRPr="00DB2F55" w:rsidRDefault="00E31B9F" w:rsidP="00E31B9F">
      <w:pPr>
        <w:pStyle w:val="HChG"/>
      </w:pPr>
      <w:r w:rsidRPr="00472B44">
        <w:tab/>
      </w:r>
      <w:r w:rsidRPr="00472B44">
        <w:tab/>
      </w:r>
      <w:r w:rsidRPr="00DB2F55">
        <w:rPr>
          <w:b w:val="0"/>
          <w:sz w:val="20"/>
        </w:rPr>
        <w:t>«</w:t>
      </w:r>
      <w:r w:rsidR="00B805FE">
        <w:rPr>
          <w:b w:val="0"/>
          <w:sz w:val="20"/>
        </w:rPr>
        <w:t> </w:t>
      </w:r>
      <w:r w:rsidR="00DB2F55">
        <w:rPr>
          <w:bCs/>
        </w:rPr>
        <w:t>Annexe</w:t>
      </w:r>
      <w:r w:rsidRPr="00DB2F55">
        <w:rPr>
          <w:bCs/>
        </w:rPr>
        <w:t xml:space="preserve"> </w:t>
      </w:r>
      <w:r w:rsidRPr="00DB2F55">
        <w:t>1</w:t>
      </w:r>
      <w:r w:rsidRPr="007B0713">
        <w:rPr>
          <w:lang w:val="fr-FR"/>
        </w:rPr>
        <w:t>B</w:t>
      </w:r>
    </w:p>
    <w:p w14:paraId="58415362" w14:textId="77777777" w:rsidR="00E31B9F" w:rsidRPr="00DB2F55" w:rsidRDefault="00E31B9F" w:rsidP="00E31B9F">
      <w:pPr>
        <w:pStyle w:val="HChG"/>
        <w:spacing w:after="120"/>
      </w:pPr>
      <w:r w:rsidRPr="00DB2F55">
        <w:tab/>
      </w:r>
      <w:r w:rsidRPr="00DB2F55">
        <w:tab/>
      </w:r>
      <w:r w:rsidR="00DB2F55" w:rsidRPr="00E31B9F">
        <w:rPr>
          <w:bCs/>
          <w:lang w:val="ru-RU"/>
        </w:rPr>
        <w:t>С</w:t>
      </w:r>
      <w:r w:rsidR="00DB2F55">
        <w:rPr>
          <w:bCs/>
        </w:rPr>
        <w:t>ommunication</w:t>
      </w:r>
    </w:p>
    <w:p w14:paraId="5D28C33F" w14:textId="77777777" w:rsidR="00E31B9F" w:rsidRPr="00DB2F55" w:rsidRDefault="00DB2F55" w:rsidP="00E31B9F">
      <w:pPr>
        <w:pStyle w:val="SingleTxtG"/>
      </w:pPr>
      <w:r w:rsidRPr="00F93AB6">
        <w:t>(</w:t>
      </w:r>
      <w:r w:rsidR="00B206AF">
        <w:rPr>
          <w:lang w:val="fr-FR"/>
        </w:rPr>
        <w:t>f</w:t>
      </w:r>
      <w:r w:rsidRPr="00F16B23">
        <w:rPr>
          <w:lang w:val="fr-FR"/>
        </w:rPr>
        <w:t>ormat maximal</w:t>
      </w:r>
      <w:r>
        <w:rPr>
          <w:lang w:val="fr-FR"/>
        </w:rPr>
        <w:t> </w:t>
      </w:r>
      <w:r w:rsidRPr="00F16B23">
        <w:rPr>
          <w:lang w:val="fr-FR"/>
        </w:rPr>
        <w:t>: A4 (210 x 297 mm</w:t>
      </w:r>
      <w:r>
        <w:rPr>
          <w:lang w:val="fr-FR"/>
        </w:rPr>
        <w:t> )</w:t>
      </w:r>
      <w:r w:rsidRPr="00F93AB6">
        <w:t>)</w:t>
      </w:r>
    </w:p>
    <w:p w14:paraId="7FD73042" w14:textId="77777777" w:rsidR="00E31B9F" w:rsidRDefault="004215B6" w:rsidP="00E31B9F">
      <w:pPr>
        <w:pStyle w:val="SingleTxtG"/>
      </w:pP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25574" wp14:editId="16653688">
                <wp:simplePos x="0" y="0"/>
                <wp:positionH relativeFrom="column">
                  <wp:posOffset>1668152</wp:posOffset>
                </wp:positionH>
                <wp:positionV relativeFrom="paragraph">
                  <wp:posOffset>233706</wp:posOffset>
                </wp:positionV>
                <wp:extent cx="317500" cy="342900"/>
                <wp:effectExtent l="5715" t="13335" r="10160" b="571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F5D9" w14:textId="77777777" w:rsidR="003D2986" w:rsidRPr="004215B6" w:rsidRDefault="003D2986" w:rsidP="00E31B9F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4215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5574" id="_x0000_s1028" type="#_x0000_t202" style="position:absolute;left:0;text-align:left;margin-left:131.35pt;margin-top:18.4pt;width: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EsJgIAAFcEAAAOAAAAZHJzL2Uyb0RvYy54bWysVM1u2zAMvg/YOwi6L3acZG2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SDvZtRYpjG&#10;Hj2KIZAPMJBZpKe3vkSvB4t+YcBrdE2lensP/KcnBjYdMztx6xz0nWANpjeNL7OLpyOOjyB1/wUa&#10;DMP2ARLQ0DoduUM2CKJjm47n1sRUOF7OpleLHC0cTbN5sUQ5RmDl82PrfPgkQJMoVNRh5xM4O9z7&#10;MLo+u8RYHpRstlKppLhdvVGOHBhOyTZ9J/Q/3JQhfUWXi2Ix1v8KCC0DjruSuqLXefxiHFZG1j6a&#10;JsmBSTXKWJ0yJxojcyOHYaiH1LAivo0U19AckVcH43TjNqLQgftNSY+TXVH/a8+coER9Ntib5XQ+&#10;j6uQlPniqkDFXVrqSwszHKEqGigZxU0Y12dvndx1GGmcBgO32M9WJq5fsjqlj9ObunXatLgel3ry&#10;evkfrJ8AAAD//wMAUEsDBBQABgAIAAAAIQDVaQc83gAAAAkBAAAPAAAAZHJzL2Rvd25yZXYueG1s&#10;TI/BTsMwDIbvSLxDZCQuiKXLpDK6utM0gThvcOGWNV5brUnaJls7nh7vBEfbn35/f76ebCsuNITG&#10;O4T5LAFBrvSmcRXC1+f78xJEiNoZ3XpHCFcKsC7u73KdGT+6HV32sRIc4kKmEeoYu0zKUNZkdZj5&#10;jhzfjn6wOvI4VNIMeuRw20qVJKm0unH8odYdbWsqT/uzRfDj29V66hP19P1jP7abfndUPeLjw7RZ&#10;gYg0xT8YbvqsDgU7HfzZmSBaBJWqF0YRFilXYGAxvy0OCK/JEmSRy/8Nil8AAAD//wMAUEsBAi0A&#10;FAAGAAgAAAAhALaDOJL+AAAA4QEAABMAAAAAAAAAAAAAAAAAAAAAAFtDb250ZW50X1R5cGVzXS54&#10;bWxQSwECLQAUAAYACAAAACEAOP0h/9YAAACUAQAACwAAAAAAAAAAAAAAAAAvAQAAX3JlbHMvLnJl&#10;bHNQSwECLQAUAAYACAAAACEAuA2xLCYCAABXBAAADgAAAAAAAAAAAAAAAAAuAgAAZHJzL2Uyb0Rv&#10;Yy54bWxQSwECLQAUAAYACAAAACEA1WkHPN4AAAAJAQAADwAAAAAAAAAAAAAAAACABAAAZHJzL2Rv&#10;d25yZXYueG1sUEsFBgAAAAAEAAQA8wAAAIsFAAAAAA==&#10;" strokecolor="white">
                <v:textbox>
                  <w:txbxContent>
                    <w:p w14:paraId="341BF5D9" w14:textId="77777777" w:rsidR="003D2986" w:rsidRPr="004215B6" w:rsidRDefault="003D2986" w:rsidP="00E31B9F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</w:pPr>
                      <w:r w:rsidRPr="004215B6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B07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CEC1" wp14:editId="7BADA9A9">
                <wp:simplePos x="0" y="0"/>
                <wp:positionH relativeFrom="column">
                  <wp:posOffset>2818615</wp:posOffset>
                </wp:positionH>
                <wp:positionV relativeFrom="paragraph">
                  <wp:posOffset>136688</wp:posOffset>
                </wp:positionV>
                <wp:extent cx="2661920" cy="662305"/>
                <wp:effectExtent l="0" t="0" r="508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13B3C" w14:textId="77777777" w:rsidR="003D2986" w:rsidRPr="00F93AB6" w:rsidRDefault="003D2986" w:rsidP="004215B6">
                            <w:pPr>
                              <w:ind w:left="1701" w:hanging="1701"/>
                            </w:pPr>
                            <w:r>
                              <w:t>Émanant</w:t>
                            </w:r>
                            <w:r w:rsidRPr="00F93AB6">
                              <w:t xml:space="preserve"> </w:t>
                            </w:r>
                            <w:r>
                              <w:t>de </w:t>
                            </w:r>
                            <w:r w:rsidRPr="00F93AB6">
                              <w:t>:</w:t>
                            </w:r>
                            <w:r w:rsidRPr="00F93AB6">
                              <w:tab/>
                            </w:r>
                            <w:r>
                              <w:t>Nom de l’administration </w:t>
                            </w:r>
                            <w:r w:rsidRPr="00F93AB6">
                              <w:t>:</w:t>
                            </w:r>
                          </w:p>
                          <w:p w14:paraId="206A120A" w14:textId="77777777" w:rsidR="003D2986" w:rsidRPr="00F93AB6" w:rsidRDefault="003D2986" w:rsidP="004215B6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  <w:p w14:paraId="2042C7AD" w14:textId="77777777" w:rsidR="003D2986" w:rsidRPr="00F93AB6" w:rsidRDefault="003D2986" w:rsidP="004215B6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  <w:p w14:paraId="3CF2FA9C" w14:textId="77777777" w:rsidR="003D2986" w:rsidRPr="00F93AB6" w:rsidRDefault="003D2986" w:rsidP="004215B6">
                            <w:pPr>
                              <w:pStyle w:val="SingleTxtG"/>
                              <w:tabs>
                                <w:tab w:val="right" w:leader="dot" w:pos="3686"/>
                              </w:tabs>
                              <w:spacing w:after="0"/>
                              <w:ind w:left="1701" w:right="0"/>
                            </w:pPr>
                            <w:r w:rsidRPr="00F93AB6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CEC1" id="_x0000_s1029" type="#_x0000_t202" style="position:absolute;left:0;text-align:left;margin-left:221.95pt;margin-top:10.75pt;width:209.6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U4fQIAAAYFAAAOAAAAZHJzL2Uyb0RvYy54bWysVG1v2yAQ/j5p/wHxPfVLHTe24lRNu0yT&#10;uhep3Q8gBsdoGBiQ2F21/74Dx2m7F2ma5g/4gOPh7p7nWF4OnUAHZixXssLJWYwRk7WiXO4q/Pl+&#10;M1tgZB2RlAglWYUfmMWXq9evlr0uWapaJSgzCECkLXtd4dY5XUaRrVvWEXumNJOw2SjTEQdTs4uo&#10;IT2gdyJK4ziPemWoNqpm1sLqzbiJVwG/aVjtPjaNZQ6JCkNsLowmjFs/RqslKXeG6JbXxzDIP0TR&#10;ES7h0hPUDXEE7Q3/BarjtVFWNe6sVl2kmobXLOQA2STxT9nctUSzkAsUx+pTmez/g60/HD4ZxGmF&#10;M4wk6YCiezY4tFYDSn11em1LcLrT4OYGWAaWQ6ZW36r6i0VSXbdE7tiVMapvGaEQXeJPRs+OjjjW&#10;g2z794rCNWTvVAAaGtP50kExEKADSw8nZnwoNSymeZ4UKWzVsJfn6Xk8D1eQcjqtjXVvmeqQNyps&#10;gPmATg631vloSDm5+MusEpxuuBBhYnbba2HQgYBKNuE7or9wE9I7S+WPjYjjCgQJd/g9H25g/bFI&#10;0ixep8Vsky8uZtkmm8+Ki3gxi5NiXeRxVmQ3m+8+wCQrW04pk7dcskmBSfZ3DB97YdRO0CDqK1zM&#10;0/lI0R+TjMP3uyQ77qAhBe8qvDg5kdIT+0ZSSJuUjnAx2tHL8EOVoQbTP1QlyMAzP2rADdsh6O3c&#10;3+4lslX0AXRhFNAGDMNjAkarzDeMemjMCtuve2IYRuKdBG35Lp4MMxnbySCyhqMVdhiN5rUbu32v&#10;Dd+1gDyqV6or0F/DgzSeojiqFpot5HB8GHw3P58Hr6fna/UDAAD//wMAUEsDBBQABgAIAAAAIQB5&#10;N/0g4AAAAAoBAAAPAAAAZHJzL2Rvd25yZXYueG1sTI/BTsMwEETvSPyDtUhcEHWStlGaxqmghVs5&#10;tFQ9u/GSRMTryHaa9O8xJziu5mnmbbGZdMeuaF1rSEA8i4AhVUa1VAs4fb4/Z8Ccl6RkZwgF3NDB&#10;pry/K2SuzEgHvB59zUIJuVwKaLzvc85d1aCWbmZ6pJB9GaulD6etubJyDOW640kUpVzLlsJCI3vc&#10;Nlh9HwctIN3ZYTzQ9ml3etvLj75Ozq+3sxCPD9PLGpjHyf/B8Ksf1KEMThczkHKsE7BYzFcBFZDE&#10;S2AByNJ5DOwSyGSZAS8L/v+F8gcAAP//AwBQSwECLQAUAAYACAAAACEAtoM4kv4AAADhAQAAEwAA&#10;AAAAAAAAAAAAAAAAAAAAW0NvbnRlbnRfVHlwZXNdLnhtbFBLAQItABQABgAIAAAAIQA4/SH/1gAA&#10;AJQBAAALAAAAAAAAAAAAAAAAAC8BAABfcmVscy8ucmVsc1BLAQItABQABgAIAAAAIQDJR2U4fQIA&#10;AAYFAAAOAAAAAAAAAAAAAAAAAC4CAABkcnMvZTJvRG9jLnhtbFBLAQItABQABgAIAAAAIQB5N/0g&#10;4AAAAAoBAAAPAAAAAAAAAAAAAAAAANcEAABkcnMvZG93bnJldi54bWxQSwUGAAAAAAQABADzAAAA&#10;5AUAAAAA&#10;" stroked="f">
                <v:textbox inset="0,0,0,0">
                  <w:txbxContent>
                    <w:p w14:paraId="0CA13B3C" w14:textId="77777777" w:rsidR="003D2986" w:rsidRPr="00F93AB6" w:rsidRDefault="003D2986" w:rsidP="004215B6">
                      <w:pPr>
                        <w:ind w:left="1701" w:hanging="1701"/>
                      </w:pPr>
                      <w:r>
                        <w:t>Émanant</w:t>
                      </w:r>
                      <w:r w:rsidRPr="00F93AB6">
                        <w:t xml:space="preserve"> </w:t>
                      </w:r>
                      <w:r>
                        <w:t>de </w:t>
                      </w:r>
                      <w:r w:rsidRPr="00F93AB6">
                        <w:t>:</w:t>
                      </w:r>
                      <w:r w:rsidRPr="00F93AB6">
                        <w:tab/>
                      </w:r>
                      <w:r>
                        <w:t>Nom de l’administration </w:t>
                      </w:r>
                      <w:r w:rsidRPr="00F93AB6">
                        <w:t>:</w:t>
                      </w:r>
                    </w:p>
                    <w:p w14:paraId="206A120A" w14:textId="77777777" w:rsidR="003D2986" w:rsidRPr="00F93AB6" w:rsidRDefault="003D2986" w:rsidP="004215B6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  <w:p w14:paraId="2042C7AD" w14:textId="77777777" w:rsidR="003D2986" w:rsidRPr="00F93AB6" w:rsidRDefault="003D2986" w:rsidP="004215B6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  <w:p w14:paraId="3CF2FA9C" w14:textId="77777777" w:rsidR="003D2986" w:rsidRPr="00F93AB6" w:rsidRDefault="003D2986" w:rsidP="004215B6">
                      <w:pPr>
                        <w:pStyle w:val="SingleTxtG"/>
                        <w:tabs>
                          <w:tab w:val="right" w:leader="dot" w:pos="3686"/>
                        </w:tabs>
                        <w:spacing w:after="0"/>
                        <w:ind w:left="1701" w:right="0"/>
                      </w:pPr>
                      <w:r w:rsidRPr="00F93AB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1B9F" w:rsidRPr="00DB2F55">
        <w:tab/>
      </w:r>
      <w:r w:rsidR="00E31B9F" w:rsidRPr="007B0713">
        <w:rPr>
          <w:noProof/>
          <w:lang w:val="en-US"/>
        </w:rPr>
        <w:drawing>
          <wp:inline distT="0" distB="0" distL="0" distR="0" wp14:anchorId="5052B9A5" wp14:editId="10A8D585">
            <wp:extent cx="1069975" cy="1009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5526" w14:textId="77777777" w:rsidR="004215B6" w:rsidRDefault="004215B6" w:rsidP="004215B6">
      <w:pPr>
        <w:pStyle w:val="SingleTxtG"/>
        <w:kinsoku/>
        <w:overflowPunct/>
        <w:autoSpaceDE/>
        <w:autoSpaceDN/>
        <w:adjustRightInd/>
        <w:snapToGrid/>
        <w:spacing w:before="120"/>
        <w:ind w:left="2552" w:hanging="1418"/>
        <w:jc w:val="left"/>
        <w:rPr>
          <w:lang w:val="fr-FR"/>
        </w:rPr>
      </w:pPr>
      <w:r>
        <w:t>concernant</w:t>
      </w:r>
      <w:r w:rsidRPr="00893DC2">
        <w:rPr>
          <w:sz w:val="18"/>
          <w:szCs w:val="18"/>
          <w:vertAlign w:val="superscript"/>
        </w:rPr>
        <w:t>2</w:t>
      </w:r>
      <w:r w:rsidRPr="00893DC2">
        <w:rPr>
          <w:sz w:val="18"/>
          <w:szCs w:val="18"/>
        </w:rPr>
        <w:t> </w:t>
      </w:r>
      <w:r w:rsidRPr="00893DC2">
        <w:t>:</w:t>
      </w:r>
      <w:r>
        <w:tab/>
      </w:r>
      <w:r w:rsidRPr="00F16B23">
        <w:rPr>
          <w:lang w:val="fr-FR"/>
        </w:rPr>
        <w:t>Délivrance d</w:t>
      </w:r>
      <w:r w:rsidR="00D54EED">
        <w:rPr>
          <w:lang w:val="fr-FR"/>
        </w:rPr>
        <w:t>’</w:t>
      </w:r>
      <w:r w:rsidRPr="00F16B23">
        <w:rPr>
          <w:lang w:val="fr-FR"/>
        </w:rPr>
        <w:t>une homologation</w:t>
      </w:r>
      <w:r>
        <w:rPr>
          <w:rFonts w:eastAsia="Times New Roman"/>
        </w:rPr>
        <w:br/>
      </w:r>
      <w:r w:rsidRPr="00F16B23">
        <w:rPr>
          <w:lang w:val="fr-FR"/>
        </w:rPr>
        <w:t>Extension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>
        <w:rPr>
          <w:lang w:val="fr-FR"/>
        </w:rPr>
        <w:br/>
      </w:r>
      <w:r w:rsidRPr="00F16B23">
        <w:rPr>
          <w:lang w:val="fr-FR"/>
        </w:rPr>
        <w:t>Refus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>
        <w:rPr>
          <w:lang w:val="fr-FR"/>
        </w:rPr>
        <w:br/>
      </w:r>
      <w:r w:rsidRPr="00F16B23">
        <w:rPr>
          <w:lang w:val="fr-FR"/>
        </w:rPr>
        <w:t>Retrait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>
        <w:rPr>
          <w:lang w:val="fr-FR"/>
        </w:rPr>
        <w:br/>
      </w:r>
      <w:r w:rsidRPr="00F16B23">
        <w:rPr>
          <w:lang w:val="fr-FR"/>
        </w:rPr>
        <w:t>Arrêt définitif de la production</w:t>
      </w:r>
    </w:p>
    <w:p w14:paraId="66C698B3" w14:textId="77777777" w:rsidR="00E31B9F" w:rsidRPr="004215B6" w:rsidRDefault="004215B6" w:rsidP="00E31B9F">
      <w:pPr>
        <w:pStyle w:val="SingleTxtG"/>
      </w:pPr>
      <w:r w:rsidRPr="00F16B23">
        <w:rPr>
          <w:lang w:val="fr-FR"/>
        </w:rPr>
        <w:t>d</w:t>
      </w:r>
      <w:r w:rsidR="00D54EED">
        <w:rPr>
          <w:lang w:val="fr-FR"/>
        </w:rPr>
        <w:t>’</w:t>
      </w:r>
      <w:r w:rsidRPr="00F16B23">
        <w:rPr>
          <w:lang w:val="fr-FR"/>
        </w:rPr>
        <w:t>un disque de frein de rechange ou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un tambour de frein de rechange en application du Règlement </w:t>
      </w:r>
      <w:r w:rsidRPr="004215B6">
        <w:rPr>
          <w:rFonts w:eastAsia="MS Mincho"/>
          <w:szCs w:val="22"/>
          <w:lang w:val="fr-FR"/>
        </w:rPr>
        <w:t>n</w:t>
      </w:r>
      <w:r w:rsidRPr="004215B6">
        <w:rPr>
          <w:rFonts w:eastAsia="MS Mincho"/>
          <w:szCs w:val="22"/>
          <w:vertAlign w:val="superscript"/>
          <w:lang w:val="fr-FR"/>
        </w:rPr>
        <w:t>o</w:t>
      </w:r>
      <w:r>
        <w:rPr>
          <w:szCs w:val="24"/>
          <w:lang w:val="fr-FR"/>
        </w:rPr>
        <w:t> </w:t>
      </w:r>
      <w:r w:rsidRPr="00F16B23">
        <w:rPr>
          <w:lang w:val="fr-FR"/>
        </w:rPr>
        <w:t>90</w:t>
      </w:r>
      <w:r w:rsidR="00E31B9F" w:rsidRPr="004215B6">
        <w:t>.</w:t>
      </w:r>
    </w:p>
    <w:p w14:paraId="6BDCFBA4" w14:textId="77777777" w:rsidR="007C0898" w:rsidRPr="00D96394" w:rsidRDefault="007C0898" w:rsidP="00D06760">
      <w:pPr>
        <w:pStyle w:val="SingleTxtG"/>
        <w:tabs>
          <w:tab w:val="right" w:leader="dot" w:pos="4253"/>
          <w:tab w:val="left" w:pos="4962"/>
          <w:tab w:val="right" w:leader="dot" w:pos="8505"/>
        </w:tabs>
        <w:jc w:val="left"/>
      </w:pPr>
      <w:r>
        <w:rPr>
          <w:b/>
        </w:rPr>
        <w:t>Code</w:t>
      </w:r>
      <w:r w:rsidRPr="00D27C2A">
        <w:rPr>
          <w:b/>
        </w:rPr>
        <w:t xml:space="preserve"> </w:t>
      </w:r>
      <w:r w:rsidRPr="00F16B23">
        <w:rPr>
          <w:b/>
          <w:lang w:val="fr-FR"/>
        </w:rPr>
        <w:t>d</w:t>
      </w:r>
      <w:r>
        <w:rPr>
          <w:b/>
        </w:rPr>
        <w:t>’</w:t>
      </w:r>
      <w:r w:rsidRPr="00D96394">
        <w:t>homologation</w:t>
      </w:r>
      <w:r w:rsidRPr="008F12BD">
        <w:rPr>
          <w:strike/>
          <w:lang w:val="fr-FR"/>
        </w:rPr>
        <w:t xml:space="preserve"> </w:t>
      </w:r>
      <w:r w:rsidRPr="000365A9">
        <w:rPr>
          <w:rFonts w:eastAsia="MS Mincho"/>
          <w:strike/>
          <w:szCs w:val="22"/>
          <w:lang w:val="fr-FR"/>
        </w:rPr>
        <w:t>n</w:t>
      </w:r>
      <w:r w:rsidRPr="000365A9">
        <w:rPr>
          <w:rFonts w:eastAsia="MS Mincho"/>
          <w:strike/>
          <w:szCs w:val="22"/>
          <w:vertAlign w:val="superscript"/>
          <w:lang w:val="fr-FR"/>
        </w:rPr>
        <w:t>o</w:t>
      </w:r>
      <w:r>
        <w:rPr>
          <w:rFonts w:eastAsia="MS Mincho"/>
          <w:strike/>
          <w:lang w:val="fr-FR"/>
        </w:rPr>
        <w:t> </w:t>
      </w:r>
      <w:r w:rsidRPr="008F12BD">
        <w:rPr>
          <w:rFonts w:eastAsia="MS Mincho"/>
          <w:b/>
          <w:vertAlign w:val="superscript"/>
        </w:rPr>
        <w:t>3</w:t>
      </w:r>
      <w:r w:rsidRPr="00195A33">
        <w:rPr>
          <w:rFonts w:eastAsia="MS Mincho"/>
        </w:rPr>
        <w:t xml:space="preserve"> </w:t>
      </w:r>
      <w:r w:rsidRPr="00D96394">
        <w:tab/>
      </w:r>
      <w:r w:rsidRPr="00D96394">
        <w:tab/>
      </w:r>
      <w:proofErr w:type="spellStart"/>
      <w:r w:rsidRPr="009D49D0">
        <w:rPr>
          <w:rFonts w:eastAsia="Times New Roman"/>
          <w:b/>
          <w:lang w:val="fr-FR"/>
        </w:rPr>
        <w:t>H</w:t>
      </w:r>
      <w:r w:rsidRPr="000F0427">
        <w:rPr>
          <w:rFonts w:eastAsia="Times New Roman"/>
          <w:b/>
          <w:lang w:val="fr-FR"/>
        </w:rPr>
        <w:t>omologation</w:t>
      </w:r>
      <w:r w:rsidRPr="000F0427">
        <w:rPr>
          <w:rFonts w:eastAsia="Times New Roman"/>
          <w:strike/>
          <w:lang w:val="fr-FR"/>
        </w:rPr>
        <w:t>Extension</w:t>
      </w:r>
      <w:proofErr w:type="spellEnd"/>
      <w:r w:rsidRPr="008F12BD">
        <w:rPr>
          <w:strike/>
          <w:lang w:val="fr-FR"/>
        </w:rPr>
        <w:t xml:space="preserve"> </w:t>
      </w:r>
      <w:r w:rsidRPr="00B20CF6">
        <w:rPr>
          <w:rFonts w:eastAsia="MS Mincho"/>
          <w:strike/>
          <w:szCs w:val="22"/>
          <w:lang w:val="fr-FR"/>
        </w:rPr>
        <w:t>n</w:t>
      </w:r>
      <w:r w:rsidRPr="00B20CF6">
        <w:rPr>
          <w:rFonts w:eastAsia="MS Mincho"/>
          <w:strike/>
          <w:szCs w:val="22"/>
          <w:vertAlign w:val="superscript"/>
          <w:lang w:val="fr-FR"/>
        </w:rPr>
        <w:t>o</w:t>
      </w:r>
      <w:r w:rsidRPr="00B20CF6">
        <w:rPr>
          <w:rFonts w:eastAsia="MS Mincho"/>
          <w:strike/>
          <w:lang w:val="fr-FR"/>
        </w:rPr>
        <w:t> </w:t>
      </w:r>
      <w:r w:rsidRPr="008F12BD">
        <w:rPr>
          <w:rFonts w:eastAsia="MS Mincho"/>
          <w:b/>
          <w:vertAlign w:val="superscript"/>
          <w:lang w:val="fr-FR"/>
        </w:rPr>
        <w:t>4</w:t>
      </w:r>
      <w:r w:rsidRPr="001E14FE">
        <w:rPr>
          <w:rFonts w:eastAsia="MS Mincho"/>
          <w:lang w:val="fr-FR"/>
        </w:rPr>
        <w:t xml:space="preserve"> </w:t>
      </w:r>
      <w:r w:rsidRPr="00D96394">
        <w:tab/>
      </w:r>
    </w:p>
    <w:p w14:paraId="17AEC302" w14:textId="77777777" w:rsidR="007C0898" w:rsidRPr="00106C5C" w:rsidRDefault="007C0898" w:rsidP="007C0898">
      <w:pPr>
        <w:pStyle w:val="SingleTxtG"/>
      </w:pPr>
      <w:r w:rsidRPr="00D27C2A">
        <w:t>1.</w:t>
      </w:r>
      <w:r w:rsidRPr="00D27C2A">
        <w:tab/>
        <w:t>…</w:t>
      </w:r>
      <w:r>
        <w:t> </w:t>
      </w:r>
      <w:r w:rsidRPr="00D27C2A">
        <w:t>»</w:t>
      </w:r>
      <w:r>
        <w:t>.</w:t>
      </w:r>
    </w:p>
    <w:p w14:paraId="267BE418" w14:textId="77777777" w:rsidR="00E31B9F" w:rsidRPr="00D27C2A" w:rsidRDefault="00E31B9F" w:rsidP="00E31B9F">
      <w:pPr>
        <w:pStyle w:val="SingleTxtG"/>
      </w:pPr>
      <w:r w:rsidRPr="00D27C2A">
        <w:t>_________________________</w:t>
      </w:r>
    </w:p>
    <w:p w14:paraId="79EA2151" w14:textId="77777777" w:rsidR="00E31B9F" w:rsidRPr="00A66240" w:rsidRDefault="00E31B9F" w:rsidP="00E31B9F">
      <w:pPr>
        <w:pStyle w:val="Notedebasdepage"/>
        <w:widowControl w:val="0"/>
        <w:tabs>
          <w:tab w:val="clear" w:pos="1021"/>
          <w:tab w:val="right" w:pos="1020"/>
        </w:tabs>
        <w:rPr>
          <w:szCs w:val="18"/>
        </w:rPr>
      </w:pPr>
      <w:r w:rsidRPr="00D27C2A">
        <w:tab/>
      </w:r>
      <w:r w:rsidRPr="00A66240">
        <w:rPr>
          <w:szCs w:val="18"/>
        </w:rPr>
        <w:t>«</w:t>
      </w:r>
      <w:r w:rsidR="00A66240" w:rsidRPr="00A66240">
        <w:rPr>
          <w:szCs w:val="18"/>
        </w:rPr>
        <w:t> </w:t>
      </w:r>
      <w:r w:rsidRPr="00A66240">
        <w:rPr>
          <w:szCs w:val="18"/>
          <w:vertAlign w:val="superscript"/>
        </w:rPr>
        <w:t>1</w:t>
      </w:r>
      <w:r w:rsidRPr="00A66240">
        <w:rPr>
          <w:szCs w:val="18"/>
        </w:rPr>
        <w:tab/>
      </w:r>
      <w:bookmarkStart w:id="1" w:name="_Hlk15900779"/>
      <w:r w:rsidR="00A66240" w:rsidRPr="00A66240">
        <w:rPr>
          <w:szCs w:val="18"/>
          <w:lang w:val="fr-FR"/>
        </w:rPr>
        <w:t>Numéro distinctif du pays qui a délivré/étendu/refusé/retiré l</w:t>
      </w:r>
      <w:r w:rsidR="00D54EED">
        <w:rPr>
          <w:szCs w:val="18"/>
          <w:lang w:val="fr-FR"/>
        </w:rPr>
        <w:t>’</w:t>
      </w:r>
      <w:r w:rsidR="00A66240" w:rsidRPr="00A66240">
        <w:rPr>
          <w:szCs w:val="18"/>
          <w:lang w:val="fr-FR"/>
        </w:rPr>
        <w:t>homologation (voir les dispositions du Règlement relatives à l</w:t>
      </w:r>
      <w:r w:rsidR="00D54EED">
        <w:rPr>
          <w:szCs w:val="18"/>
          <w:lang w:val="fr-FR"/>
        </w:rPr>
        <w:t>’</w:t>
      </w:r>
      <w:r w:rsidR="00A66240" w:rsidRPr="00A66240">
        <w:rPr>
          <w:szCs w:val="18"/>
          <w:lang w:val="fr-FR"/>
        </w:rPr>
        <w:t>homologation).</w:t>
      </w:r>
      <w:bookmarkEnd w:id="1"/>
    </w:p>
    <w:p w14:paraId="260D0DE6" w14:textId="77777777" w:rsidR="00E31B9F" w:rsidRPr="00A66240" w:rsidRDefault="00E31B9F" w:rsidP="00E31B9F">
      <w:pPr>
        <w:pStyle w:val="Notedebasdepage"/>
        <w:widowControl w:val="0"/>
        <w:tabs>
          <w:tab w:val="clear" w:pos="1021"/>
          <w:tab w:val="right" w:pos="1020"/>
        </w:tabs>
        <w:rPr>
          <w:szCs w:val="18"/>
        </w:rPr>
      </w:pPr>
      <w:r w:rsidRPr="00A66240">
        <w:rPr>
          <w:szCs w:val="18"/>
        </w:rPr>
        <w:tab/>
      </w:r>
      <w:r w:rsidRPr="00A66240">
        <w:rPr>
          <w:rStyle w:val="Appelnotedebasdep"/>
          <w:szCs w:val="18"/>
        </w:rPr>
        <w:t>2</w:t>
      </w:r>
      <w:r w:rsidRPr="00A66240">
        <w:rPr>
          <w:szCs w:val="18"/>
        </w:rPr>
        <w:tab/>
      </w:r>
      <w:bookmarkStart w:id="2" w:name="_Hlk15900791"/>
      <w:r w:rsidR="00A66240" w:rsidRPr="00A66240">
        <w:rPr>
          <w:szCs w:val="18"/>
          <w:lang w:val="fr-FR"/>
        </w:rPr>
        <w:t>Biffer les mentions inutiles</w:t>
      </w:r>
      <w:bookmarkEnd w:id="2"/>
      <w:r w:rsidR="00A66240" w:rsidRPr="00A66240">
        <w:rPr>
          <w:szCs w:val="18"/>
          <w:lang w:val="fr-FR"/>
        </w:rPr>
        <w:t>.</w:t>
      </w:r>
    </w:p>
    <w:p w14:paraId="5DDAF291" w14:textId="77777777" w:rsidR="00E31B9F" w:rsidRPr="00A66240" w:rsidRDefault="00E31B9F" w:rsidP="00E31B9F">
      <w:pPr>
        <w:pStyle w:val="Notedebasdepage"/>
        <w:widowControl w:val="0"/>
        <w:tabs>
          <w:tab w:val="clear" w:pos="1021"/>
          <w:tab w:val="right" w:pos="1020"/>
        </w:tabs>
        <w:rPr>
          <w:szCs w:val="18"/>
        </w:rPr>
      </w:pPr>
      <w:r w:rsidRPr="00A66240">
        <w:rPr>
          <w:szCs w:val="18"/>
        </w:rPr>
        <w:tab/>
      </w:r>
      <w:r w:rsidRPr="00A66240">
        <w:rPr>
          <w:b/>
          <w:szCs w:val="18"/>
          <w:vertAlign w:val="superscript"/>
        </w:rPr>
        <w:t>3</w:t>
      </w:r>
      <w:r w:rsidRPr="00A66240">
        <w:rPr>
          <w:b/>
          <w:szCs w:val="18"/>
        </w:rPr>
        <w:tab/>
      </w:r>
      <w:bookmarkStart w:id="3" w:name="_Hlk15900808"/>
      <w:r w:rsidR="00A66240" w:rsidRPr="00A66240">
        <w:rPr>
          <w:b/>
          <w:szCs w:val="18"/>
          <w:lang w:val="fr-FR"/>
        </w:rPr>
        <w:t>Conformément au paragraphe 4.2 du présent Règlement</w:t>
      </w:r>
      <w:bookmarkEnd w:id="3"/>
      <w:r w:rsidR="00A66240" w:rsidRPr="00A66240">
        <w:rPr>
          <w:b/>
          <w:szCs w:val="18"/>
          <w:lang w:val="fr-FR"/>
        </w:rPr>
        <w:t>.</w:t>
      </w:r>
    </w:p>
    <w:p w14:paraId="33987F7D" w14:textId="77777777" w:rsidR="00E31B9F" w:rsidRPr="00A66240" w:rsidRDefault="00E31B9F" w:rsidP="00E31B9F">
      <w:pPr>
        <w:pStyle w:val="Notedebasdepage"/>
        <w:widowControl w:val="0"/>
        <w:rPr>
          <w:szCs w:val="18"/>
        </w:rPr>
      </w:pPr>
      <w:r w:rsidRPr="00A66240">
        <w:rPr>
          <w:b/>
          <w:szCs w:val="18"/>
        </w:rPr>
        <w:tab/>
      </w:r>
      <w:r w:rsidRPr="00A66240">
        <w:rPr>
          <w:rStyle w:val="Appelnotedebasdep"/>
          <w:b/>
          <w:szCs w:val="18"/>
        </w:rPr>
        <w:t>4</w:t>
      </w:r>
      <w:r w:rsidRPr="00A66240">
        <w:rPr>
          <w:b/>
          <w:szCs w:val="18"/>
        </w:rPr>
        <w:tab/>
      </w:r>
      <w:bookmarkStart w:id="4" w:name="_Hlk15900822"/>
      <w:r w:rsidR="00A66240" w:rsidRPr="00A66240">
        <w:rPr>
          <w:b/>
          <w:szCs w:val="18"/>
          <w:lang w:val="fr-FR"/>
        </w:rPr>
        <w:t>Conformément</w:t>
      </w:r>
      <w:bookmarkEnd w:id="4"/>
      <w:r w:rsidR="00A66240" w:rsidRPr="00A66240">
        <w:rPr>
          <w:b/>
          <w:szCs w:val="18"/>
          <w:lang w:val="fr-FR"/>
        </w:rPr>
        <w:t xml:space="preserve"> à </w:t>
      </w:r>
      <w:bookmarkStart w:id="5" w:name="_Hlk15900833"/>
      <w:r w:rsidR="00A66240" w:rsidRPr="00A66240">
        <w:rPr>
          <w:b/>
          <w:szCs w:val="18"/>
          <w:lang w:val="fr-FR"/>
        </w:rPr>
        <w:t>l</w:t>
      </w:r>
      <w:r w:rsidR="00D54EED">
        <w:rPr>
          <w:b/>
          <w:szCs w:val="18"/>
          <w:lang w:val="fr-FR"/>
        </w:rPr>
        <w:t>’</w:t>
      </w:r>
      <w:r w:rsidR="00A66240" w:rsidRPr="00A66240">
        <w:rPr>
          <w:b/>
          <w:szCs w:val="18"/>
          <w:lang w:val="fr-FR"/>
        </w:rPr>
        <w:t>annexe 4 de l</w:t>
      </w:r>
      <w:r w:rsidR="00D54EED">
        <w:rPr>
          <w:b/>
          <w:szCs w:val="18"/>
          <w:lang w:val="fr-FR"/>
        </w:rPr>
        <w:t>’</w:t>
      </w:r>
      <w:r w:rsidR="00A66240" w:rsidRPr="00A66240">
        <w:rPr>
          <w:b/>
          <w:szCs w:val="18"/>
          <w:lang w:val="fr-FR"/>
        </w:rPr>
        <w:t>Accord de 1958</w:t>
      </w:r>
      <w:bookmarkEnd w:id="5"/>
      <w:r w:rsidR="007C0898">
        <w:rPr>
          <w:b/>
          <w:szCs w:val="18"/>
          <w:lang w:val="fr-FR"/>
        </w:rPr>
        <w:t>.</w:t>
      </w:r>
      <w:r w:rsidR="00A66240" w:rsidRPr="00A66240">
        <w:rPr>
          <w:b/>
          <w:szCs w:val="18"/>
          <w:lang w:val="fr-FR"/>
        </w:rPr>
        <w:t> </w:t>
      </w:r>
      <w:r w:rsidRPr="00A66240">
        <w:rPr>
          <w:szCs w:val="18"/>
        </w:rPr>
        <w:t>».</w:t>
      </w:r>
    </w:p>
    <w:p w14:paraId="7C5FBDF1" w14:textId="77777777" w:rsidR="00A66240" w:rsidRPr="00A66240" w:rsidRDefault="00A66240" w:rsidP="00A66240">
      <w:pPr>
        <w:pStyle w:val="HChG"/>
      </w:pPr>
      <w:r w:rsidRPr="00F16B23">
        <w:rPr>
          <w:lang w:val="fr-FR"/>
        </w:rPr>
        <w:tab/>
        <w:t>II.</w:t>
      </w:r>
      <w:r w:rsidRPr="00F16B23">
        <w:rPr>
          <w:lang w:val="fr-FR"/>
        </w:rPr>
        <w:tab/>
        <w:t>Justification</w:t>
      </w:r>
    </w:p>
    <w:p w14:paraId="0006B719" w14:textId="77777777" w:rsidR="00A66240" w:rsidRPr="00F16B23" w:rsidRDefault="00A66240" w:rsidP="00A66240">
      <w:pPr>
        <w:pStyle w:val="SingleTxtG"/>
        <w:rPr>
          <w:lang w:val="fr-FR"/>
        </w:rPr>
      </w:pPr>
      <w:r w:rsidRPr="00F16B23">
        <w:rPr>
          <w:lang w:val="fr-FR"/>
        </w:rPr>
        <w:t>1.</w:t>
      </w:r>
      <w:r w:rsidRPr="00F16B23">
        <w:rPr>
          <w:lang w:val="fr-FR"/>
        </w:rPr>
        <w:tab/>
        <w:t>Afin d</w:t>
      </w:r>
      <w:r w:rsidR="00D54EED">
        <w:rPr>
          <w:lang w:val="fr-FR"/>
        </w:rPr>
        <w:t>’</w:t>
      </w:r>
      <w:r w:rsidRPr="00F16B23">
        <w:rPr>
          <w:lang w:val="fr-FR"/>
        </w:rPr>
        <w:t>harmoniser les dispositions du Règlement ONU n</w:t>
      </w:r>
      <w:r w:rsidRPr="00F16B23">
        <w:rPr>
          <w:vertAlign w:val="superscript"/>
          <w:lang w:val="fr-FR"/>
        </w:rPr>
        <w:t>o</w:t>
      </w:r>
      <w:r w:rsidRPr="00F16B23">
        <w:rPr>
          <w:lang w:val="fr-FR"/>
        </w:rPr>
        <w:t> 90 relatives aux numéros et aux marques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avec celles de l</w:t>
      </w:r>
      <w:r w:rsidR="00D54EED">
        <w:rPr>
          <w:lang w:val="fr-FR"/>
        </w:rPr>
        <w:t>’</w:t>
      </w:r>
      <w:r w:rsidRPr="00F16B23">
        <w:rPr>
          <w:lang w:val="fr-FR"/>
        </w:rPr>
        <w:t>annexe 4 de la Révision 3 de l</w:t>
      </w:r>
      <w:r w:rsidR="00D54EED">
        <w:rPr>
          <w:lang w:val="fr-FR"/>
        </w:rPr>
        <w:t>’</w:t>
      </w:r>
      <w:r w:rsidRPr="00F16B23">
        <w:rPr>
          <w:lang w:val="fr-FR"/>
        </w:rPr>
        <w:t>Accord de</w:t>
      </w:r>
      <w:r w:rsidR="00D27C2A">
        <w:rPr>
          <w:lang w:val="fr-FR"/>
        </w:rPr>
        <w:t xml:space="preserve"> </w:t>
      </w:r>
      <w:r w:rsidRPr="00F16B23">
        <w:rPr>
          <w:lang w:val="fr-FR"/>
        </w:rPr>
        <w:t>1958, il est proposé de juxtaposer le numéro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délivré conformément aux dispositions actuelles du Règlement ONU n</w:t>
      </w:r>
      <w:r w:rsidRPr="00F16B23">
        <w:rPr>
          <w:vertAlign w:val="superscript"/>
          <w:lang w:val="fr-FR"/>
        </w:rPr>
        <w:t>o</w:t>
      </w:r>
      <w:r w:rsidRPr="00F16B23">
        <w:rPr>
          <w:lang w:val="fr-FR"/>
        </w:rPr>
        <w:t> 90 et l</w:t>
      </w:r>
      <w:r w:rsidR="00D54EED">
        <w:rPr>
          <w:lang w:val="fr-FR"/>
        </w:rPr>
        <w:t>’</w:t>
      </w:r>
      <w:r w:rsidRPr="00F16B23">
        <w:rPr>
          <w:lang w:val="fr-FR"/>
        </w:rPr>
        <w:t>autre numéro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ayant la structure prévue à l</w:t>
      </w:r>
      <w:r w:rsidR="00D54EED">
        <w:rPr>
          <w:lang w:val="fr-FR"/>
        </w:rPr>
        <w:t>’</w:t>
      </w:r>
      <w:r w:rsidRPr="00F16B23">
        <w:rPr>
          <w:lang w:val="fr-FR"/>
        </w:rPr>
        <w:t>annexe 4, et de les indiquer tous les deux dans la fiche de communication (annexes 1A et 1B du Règlement ONU n</w:t>
      </w:r>
      <w:r w:rsidRPr="00F16B23">
        <w:rPr>
          <w:vertAlign w:val="superscript"/>
          <w:lang w:val="fr-FR"/>
        </w:rPr>
        <w:t>o</w:t>
      </w:r>
      <w:r w:rsidRPr="00F16B23">
        <w:rPr>
          <w:lang w:val="fr-FR"/>
        </w:rPr>
        <w:t xml:space="preserve"> 90). Pour distinguer ces deux numéros, le numéro </w:t>
      </w:r>
      <w:r w:rsidRPr="0018423D">
        <w:rPr>
          <w:lang w:val="fr-FR"/>
        </w:rPr>
        <w:t>d</w:t>
      </w:r>
      <w:r w:rsidR="00D54EED">
        <w:rPr>
          <w:lang w:val="fr-FR"/>
        </w:rPr>
        <w:t>’</w:t>
      </w:r>
      <w:r w:rsidRPr="0018423D">
        <w:rPr>
          <w:lang w:val="fr-FR"/>
        </w:rPr>
        <w:t xml:space="preserve">homologation </w:t>
      </w:r>
      <w:r w:rsidRPr="00F16B23">
        <w:rPr>
          <w:lang w:val="fr-FR"/>
        </w:rPr>
        <w:t>actuel est renommé « code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 ».</w:t>
      </w:r>
    </w:p>
    <w:p w14:paraId="1CAAE6F7" w14:textId="77777777" w:rsidR="00A66240" w:rsidRPr="00F16B23" w:rsidRDefault="00A66240" w:rsidP="00A66240">
      <w:pPr>
        <w:pStyle w:val="SingleTxtG"/>
        <w:rPr>
          <w:lang w:val="fr-FR"/>
        </w:rPr>
      </w:pPr>
      <w:r w:rsidRPr="00F16B23">
        <w:rPr>
          <w:lang w:val="fr-FR"/>
        </w:rPr>
        <w:t>2.</w:t>
      </w:r>
      <w:r w:rsidRPr="00F16B23">
        <w:rPr>
          <w:lang w:val="fr-FR"/>
        </w:rPr>
        <w:tab/>
        <w:t>Les deux numéros devraient être uniques, de façon à éviter toute répétition ou incohérence par rapport aux numéros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homologation.</w:t>
      </w:r>
    </w:p>
    <w:p w14:paraId="636B6400" w14:textId="77777777" w:rsidR="007D2AF0" w:rsidRDefault="00A66240" w:rsidP="00D27C2A">
      <w:pPr>
        <w:pStyle w:val="SingleTxtG"/>
        <w:keepNext/>
        <w:keepLines/>
        <w:rPr>
          <w:lang w:val="fr-FR"/>
        </w:rPr>
      </w:pPr>
      <w:r w:rsidRPr="00F16B23">
        <w:rPr>
          <w:lang w:val="fr-FR"/>
        </w:rPr>
        <w:lastRenderedPageBreak/>
        <w:t>3.</w:t>
      </w:r>
      <w:r w:rsidRPr="00F16B23">
        <w:rPr>
          <w:lang w:val="fr-FR"/>
        </w:rPr>
        <w:tab/>
        <w:t>Les définitions des expressions « numéro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 » et « code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 » </w:t>
      </w:r>
      <w:r>
        <w:rPr>
          <w:lang w:val="fr-FR"/>
        </w:rPr>
        <w:t>doivent être</w:t>
      </w:r>
      <w:r w:rsidRPr="00F16B23">
        <w:rPr>
          <w:lang w:val="fr-FR"/>
        </w:rPr>
        <w:t xml:space="preserve"> ajoutées pour </w:t>
      </w:r>
      <w:r>
        <w:rPr>
          <w:lang w:val="fr-FR"/>
        </w:rPr>
        <w:t>qu</w:t>
      </w:r>
      <w:r w:rsidR="00D54EED">
        <w:rPr>
          <w:lang w:val="fr-FR"/>
        </w:rPr>
        <w:t>’</w:t>
      </w:r>
      <w:r>
        <w:rPr>
          <w:lang w:val="fr-FR"/>
        </w:rPr>
        <w:t>il soit bien clair</w:t>
      </w:r>
      <w:r w:rsidRPr="00F16B23">
        <w:rPr>
          <w:lang w:val="fr-FR"/>
        </w:rPr>
        <w:t xml:space="preserve"> que le code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 est </w:t>
      </w:r>
      <w:r>
        <w:rPr>
          <w:lang w:val="fr-FR"/>
        </w:rPr>
        <w:t>attribué</w:t>
      </w:r>
      <w:r w:rsidRPr="00F16B23">
        <w:rPr>
          <w:lang w:val="fr-FR"/>
        </w:rPr>
        <w:t xml:space="preserve"> à l</w:t>
      </w:r>
      <w:r w:rsidR="00D54EED">
        <w:rPr>
          <w:lang w:val="fr-FR"/>
        </w:rPr>
        <w:t>’</w:t>
      </w:r>
      <w:r w:rsidRPr="00F16B23">
        <w:rPr>
          <w:lang w:val="fr-FR"/>
        </w:rPr>
        <w:t>issue d</w:t>
      </w:r>
      <w:r>
        <w:rPr>
          <w:lang w:val="fr-FR"/>
        </w:rPr>
        <w:t xml:space="preserve">e la procédure </w:t>
      </w:r>
      <w:r w:rsidRPr="00F16B23">
        <w:rPr>
          <w:lang w:val="fr-FR"/>
        </w:rPr>
        <w:t>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prévu</w:t>
      </w:r>
      <w:r>
        <w:rPr>
          <w:lang w:val="fr-FR"/>
        </w:rPr>
        <w:t>e</w:t>
      </w:r>
      <w:r w:rsidRPr="00F16B23">
        <w:rPr>
          <w:lang w:val="fr-FR"/>
        </w:rPr>
        <w:t xml:space="preserve"> dans le Règlement ONU </w:t>
      </w:r>
      <w:r w:rsidR="00D27C2A" w:rsidRPr="00D27C2A">
        <w:rPr>
          <w:rFonts w:eastAsia="MS Mincho"/>
          <w:szCs w:val="22"/>
          <w:lang w:val="fr-FR"/>
        </w:rPr>
        <w:t>n</w:t>
      </w:r>
      <w:r w:rsidR="00D27C2A" w:rsidRPr="00D27C2A">
        <w:rPr>
          <w:rFonts w:eastAsia="MS Mincho"/>
          <w:szCs w:val="22"/>
          <w:vertAlign w:val="superscript"/>
          <w:lang w:val="fr-FR"/>
        </w:rPr>
        <w:t>o</w:t>
      </w:r>
      <w:r w:rsidR="00D27C2A">
        <w:rPr>
          <w:lang w:val="fr-FR"/>
        </w:rPr>
        <w:t> </w:t>
      </w:r>
      <w:r w:rsidRPr="00F16B23">
        <w:rPr>
          <w:lang w:val="fr-FR"/>
        </w:rPr>
        <w:t>90 et qu</w:t>
      </w:r>
      <w:r w:rsidR="00D54EED">
        <w:rPr>
          <w:lang w:val="fr-FR"/>
        </w:rPr>
        <w:t>’</w:t>
      </w:r>
      <w:r w:rsidRPr="00F16B23">
        <w:rPr>
          <w:lang w:val="fr-FR"/>
        </w:rPr>
        <w:t>un numéro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 est affecté à un </w:t>
      </w:r>
      <w:r>
        <w:rPr>
          <w:lang w:val="fr-FR"/>
        </w:rPr>
        <w:t>code</w:t>
      </w:r>
      <w:r w:rsidRPr="00F16B23">
        <w:rPr>
          <w:lang w:val="fr-FR"/>
        </w:rPr>
        <w:t xml:space="preserve"> d</w:t>
      </w:r>
      <w:r w:rsidR="00D54EED">
        <w:rPr>
          <w:lang w:val="fr-FR"/>
        </w:rPr>
        <w:t>’</w:t>
      </w:r>
      <w:r w:rsidRPr="00F16B23">
        <w:rPr>
          <w:lang w:val="fr-FR"/>
        </w:rPr>
        <w:t xml:space="preserve">homologation donné. </w:t>
      </w:r>
      <w:r>
        <w:rPr>
          <w:lang w:val="fr-FR"/>
        </w:rPr>
        <w:t>Il en est aussi tenu compte au</w:t>
      </w:r>
      <w:r w:rsidRPr="00F16B23">
        <w:rPr>
          <w:lang w:val="fr-FR"/>
        </w:rPr>
        <w:t xml:space="preserve"> paragraphe 4.2 tel que modifié.</w:t>
      </w:r>
    </w:p>
    <w:p w14:paraId="29E84C69" w14:textId="77777777" w:rsidR="00AD2949" w:rsidRDefault="00AD2949" w:rsidP="00A66240">
      <w:pPr>
        <w:pStyle w:val="SingleTxtG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09"/>
      </w:tblGrid>
      <w:tr w:rsidR="00AD2949" w:rsidRPr="00AD2949" w14:paraId="295AEB88" w14:textId="77777777" w:rsidTr="00367D0B">
        <w:tc>
          <w:tcPr>
            <w:tcW w:w="3261" w:type="dxa"/>
            <w:shd w:val="clear" w:color="auto" w:fill="auto"/>
          </w:tcPr>
          <w:p w14:paraId="4FC82E03" w14:textId="77777777" w:rsidR="00AD2949" w:rsidRPr="00AD2949" w:rsidRDefault="00AD2949" w:rsidP="003D2986">
            <w:pPr>
              <w:spacing w:before="40" w:after="120"/>
              <w:ind w:right="113"/>
            </w:pPr>
            <w:r w:rsidRPr="00F16B23">
              <w:rPr>
                <w:lang w:val="fr-FR"/>
              </w:rPr>
              <w:t>Numéro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>homologation actuel</w:t>
            </w:r>
            <w:r w:rsidRPr="00F16B23">
              <w:rPr>
                <w:lang w:val="fr-FR"/>
              </w:rPr>
              <w:br/>
              <w:t>(Code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>homologation)</w:t>
            </w:r>
          </w:p>
        </w:tc>
        <w:tc>
          <w:tcPr>
            <w:tcW w:w="4109" w:type="dxa"/>
            <w:shd w:val="clear" w:color="auto" w:fill="auto"/>
          </w:tcPr>
          <w:p w14:paraId="4D9A0913" w14:textId="4E9D6F8D" w:rsidR="00AD2949" w:rsidRPr="00AD2949" w:rsidRDefault="00AD2949" w:rsidP="00A62C5C">
            <w:pPr>
              <w:spacing w:before="40" w:after="120"/>
            </w:pPr>
            <w:r w:rsidRPr="00F16B23">
              <w:rPr>
                <w:lang w:val="fr-FR"/>
              </w:rPr>
              <w:t>Numéro d</w:t>
            </w:r>
            <w:r w:rsidR="00D54EED">
              <w:rPr>
                <w:lang w:val="fr-FR"/>
              </w:rPr>
              <w:t>’</w:t>
            </w:r>
            <w:r w:rsidRPr="00F16B23">
              <w:rPr>
                <w:lang w:val="fr-FR"/>
              </w:rPr>
              <w:t xml:space="preserve">homologation </w:t>
            </w:r>
            <w:r w:rsidRPr="00F16B23">
              <w:rPr>
                <w:iCs/>
                <w:lang w:val="fr-FR"/>
              </w:rPr>
              <w:t xml:space="preserve">accordé conformément </w:t>
            </w:r>
            <w:r w:rsidR="00EC565C">
              <w:rPr>
                <w:iCs/>
                <w:lang w:val="fr-FR"/>
              </w:rPr>
              <w:br/>
            </w:r>
            <w:bookmarkStart w:id="6" w:name="_GoBack"/>
            <w:bookmarkEnd w:id="6"/>
            <w:r w:rsidRPr="00F16B23">
              <w:rPr>
                <w:iCs/>
                <w:lang w:val="fr-FR"/>
              </w:rPr>
              <w:t>à l</w:t>
            </w:r>
            <w:r w:rsidR="00D54EED">
              <w:rPr>
                <w:iCs/>
                <w:lang w:val="fr-FR"/>
              </w:rPr>
              <w:t>’</w:t>
            </w:r>
            <w:r w:rsidRPr="00F16B23">
              <w:rPr>
                <w:iCs/>
                <w:lang w:val="fr-FR"/>
              </w:rPr>
              <w:t>annexe 4</w:t>
            </w:r>
          </w:p>
        </w:tc>
      </w:tr>
      <w:tr w:rsidR="00AD2949" w:rsidRPr="007B0713" w14:paraId="36837143" w14:textId="77777777" w:rsidTr="00367D0B">
        <w:tc>
          <w:tcPr>
            <w:tcW w:w="3261" w:type="dxa"/>
            <w:shd w:val="clear" w:color="auto" w:fill="auto"/>
          </w:tcPr>
          <w:p w14:paraId="200A7AC7" w14:textId="77777777" w:rsidR="00AD2949" w:rsidRPr="007B0713" w:rsidRDefault="00AD2949" w:rsidP="003D2986">
            <w:pPr>
              <w:spacing w:before="40" w:after="120"/>
              <w:ind w:right="113"/>
            </w:pPr>
            <w:r w:rsidRPr="007B0713">
              <w:t>02 C 0359 7248</w:t>
            </w:r>
            <w:r w:rsidRPr="007B0713">
              <w:rPr>
                <w:lang w:val="en-US"/>
              </w:rPr>
              <w:t xml:space="preserve"> </w:t>
            </w:r>
            <w:r w:rsidRPr="007B0713">
              <w:rPr>
                <w:lang w:val="en-US"/>
              </w:rPr>
              <w:tab/>
            </w:r>
            <w:r w:rsidRPr="007B0713">
              <w:rPr>
                <w:lang w:val="en-US"/>
              </w:rPr>
              <w:tab/>
              <w:t xml:space="preserve">= </w:t>
            </w:r>
          </w:p>
        </w:tc>
        <w:tc>
          <w:tcPr>
            <w:tcW w:w="4109" w:type="dxa"/>
            <w:shd w:val="clear" w:color="auto" w:fill="auto"/>
          </w:tcPr>
          <w:p w14:paraId="4D14EAE0" w14:textId="77777777" w:rsidR="00AD2949" w:rsidRPr="007B0713" w:rsidRDefault="00AD2949" w:rsidP="003D2986">
            <w:pPr>
              <w:spacing w:before="40" w:after="120"/>
              <w:ind w:right="113"/>
            </w:pPr>
            <w:r w:rsidRPr="007B0713">
              <w:t>E2*90R02/03*0004*00</w:t>
            </w:r>
          </w:p>
        </w:tc>
      </w:tr>
    </w:tbl>
    <w:p w14:paraId="6B9CE1AB" w14:textId="77777777" w:rsidR="00AD2949" w:rsidRPr="00F16B23" w:rsidRDefault="00AD2949" w:rsidP="00AD2949">
      <w:pPr>
        <w:pStyle w:val="SingleTxtG"/>
        <w:spacing w:before="120"/>
        <w:rPr>
          <w:lang w:val="fr-FR"/>
        </w:rPr>
      </w:pPr>
      <w:r w:rsidRPr="00F16B23">
        <w:rPr>
          <w:lang w:val="fr-FR"/>
        </w:rPr>
        <w:t>(Le disque de frein (C) type 0359, variante 7248 porte le numéro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 0004 dans la version originale, conformément au Règlement ONU n</w:t>
      </w:r>
      <w:r w:rsidRPr="00F16B23">
        <w:rPr>
          <w:vertAlign w:val="superscript"/>
          <w:lang w:val="fr-FR"/>
        </w:rPr>
        <w:t>o</w:t>
      </w:r>
      <w:r w:rsidRPr="00F16B23">
        <w:rPr>
          <w:lang w:val="fr-FR"/>
        </w:rPr>
        <w:t> 90-02, complément 3).</w:t>
      </w:r>
    </w:p>
    <w:p w14:paraId="7C8A3E26" w14:textId="77777777" w:rsidR="00AD2949" w:rsidRPr="00F16B23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4.</w:t>
      </w:r>
      <w:r w:rsidRPr="00F16B23">
        <w:rPr>
          <w:rFonts w:eastAsia="SimSun"/>
          <w:lang w:val="fr-FR"/>
        </w:rPr>
        <w:tab/>
        <w:t xml:space="preserve">Dans les </w:t>
      </w:r>
      <w:r>
        <w:rPr>
          <w:rFonts w:eastAsia="SimSun"/>
          <w:lang w:val="fr-FR"/>
        </w:rPr>
        <w:t xml:space="preserve">nouvelles </w:t>
      </w:r>
      <w:r w:rsidRPr="00F16B23">
        <w:rPr>
          <w:rFonts w:eastAsia="SimSun"/>
          <w:lang w:val="fr-FR"/>
        </w:rPr>
        <w:t>fiches de communication (annexes 1A et 1B), l</w:t>
      </w:r>
      <w:r>
        <w:rPr>
          <w:rFonts w:eastAsia="SimSun"/>
          <w:lang w:val="fr-FR"/>
        </w:rPr>
        <w:t>e</w:t>
      </w:r>
      <w:r w:rsidRPr="00F16B23">
        <w:rPr>
          <w:rFonts w:eastAsia="SimSun"/>
          <w:lang w:val="fr-FR"/>
        </w:rPr>
        <w:t xml:space="preserve"> code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 xml:space="preserve">homologation </w:t>
      </w:r>
      <w:r>
        <w:rPr>
          <w:rFonts w:eastAsia="SimSun"/>
          <w:lang w:val="fr-FR"/>
        </w:rPr>
        <w:t>(</w:t>
      </w:r>
      <w:r w:rsidRPr="003C1E3E">
        <w:rPr>
          <w:rFonts w:eastAsia="SimSun"/>
          <w:lang w:val="fr-FR"/>
        </w:rPr>
        <w:t xml:space="preserve">ancien </w:t>
      </w:r>
      <w:r w:rsidR="00D27C2A">
        <w:rPr>
          <w:rFonts w:eastAsia="SimSun"/>
          <w:lang w:val="fr-FR"/>
        </w:rPr>
        <w:t>« </w:t>
      </w:r>
      <w:r w:rsidRPr="003C1E3E">
        <w:rPr>
          <w:rFonts w:eastAsia="SimSun"/>
          <w:lang w:val="fr-FR"/>
        </w:rPr>
        <w:t>numéro d</w:t>
      </w:r>
      <w:r w:rsidR="00D54EED">
        <w:rPr>
          <w:rFonts w:eastAsia="SimSun"/>
          <w:lang w:val="fr-FR"/>
        </w:rPr>
        <w:t>’</w:t>
      </w:r>
      <w:r w:rsidRPr="003C1E3E">
        <w:rPr>
          <w:rFonts w:eastAsia="SimSun"/>
          <w:lang w:val="fr-FR"/>
        </w:rPr>
        <w:t>homologation</w:t>
      </w:r>
      <w:r w:rsidR="00D27C2A">
        <w:rPr>
          <w:rFonts w:eastAsia="SimSun"/>
          <w:lang w:val="fr-FR"/>
        </w:rPr>
        <w:t> »</w:t>
      </w:r>
      <w:r>
        <w:rPr>
          <w:rFonts w:eastAsia="SimSun"/>
          <w:lang w:val="fr-FR"/>
        </w:rPr>
        <w:t>) reste au même endroit pour</w:t>
      </w:r>
      <w:r w:rsidRPr="00F16B23">
        <w:rPr>
          <w:rFonts w:eastAsia="SimSun"/>
          <w:lang w:val="fr-FR"/>
        </w:rPr>
        <w:t xml:space="preserve"> que la </w:t>
      </w:r>
      <w:r>
        <w:rPr>
          <w:rFonts w:eastAsia="SimSun"/>
          <w:lang w:val="fr-FR"/>
        </w:rPr>
        <w:t>fiche</w:t>
      </w:r>
      <w:r w:rsidRPr="00F16B23">
        <w:rPr>
          <w:rFonts w:eastAsia="SimSun"/>
          <w:lang w:val="fr-FR"/>
        </w:rPr>
        <w:t xml:space="preserve"> conserve </w:t>
      </w:r>
      <w:r>
        <w:rPr>
          <w:rFonts w:eastAsia="SimSun"/>
          <w:lang w:val="fr-FR"/>
        </w:rPr>
        <w:t>un aspect</w:t>
      </w:r>
      <w:r w:rsidRPr="00F16B23">
        <w:rPr>
          <w:rFonts w:eastAsia="SimSun"/>
          <w:lang w:val="fr-FR"/>
        </w:rPr>
        <w:t xml:space="preserve"> </w:t>
      </w:r>
      <w:r>
        <w:rPr>
          <w:rFonts w:eastAsia="SimSun"/>
          <w:lang w:val="fr-FR"/>
        </w:rPr>
        <w:t>familier aux</w:t>
      </w:r>
      <w:r w:rsidRPr="00F16B23">
        <w:rPr>
          <w:rFonts w:eastAsia="SimSun"/>
          <w:lang w:val="fr-FR"/>
        </w:rPr>
        <w:t xml:space="preserve"> autorités. </w:t>
      </w:r>
      <w:r>
        <w:rPr>
          <w:rFonts w:eastAsia="SimSun"/>
          <w:lang w:val="fr-FR"/>
        </w:rPr>
        <w:t>Le numéro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homologation</w:t>
      </w:r>
      <w:r>
        <w:rPr>
          <w:rFonts w:eastAsia="SimSun"/>
          <w:lang w:val="fr-FR"/>
        </w:rPr>
        <w:t xml:space="preserve"> actuel est </w:t>
      </w:r>
      <w:r w:rsidRPr="00F16B23">
        <w:rPr>
          <w:rFonts w:eastAsia="SimSun"/>
          <w:lang w:val="fr-FR"/>
        </w:rPr>
        <w:t>sur la même ligne, sur le côté droit de la page</w:t>
      </w:r>
      <w:r>
        <w:rPr>
          <w:rFonts w:eastAsia="SimSun"/>
          <w:lang w:val="fr-FR"/>
        </w:rPr>
        <w:t>, là où figurait le numéro de l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extension</w:t>
      </w:r>
      <w:r>
        <w:rPr>
          <w:rFonts w:eastAsia="SimSun"/>
          <w:lang w:val="fr-FR"/>
        </w:rPr>
        <w:t xml:space="preserve">, qui à présent complète le </w:t>
      </w:r>
      <w:r w:rsidRPr="00F16B23">
        <w:rPr>
          <w:rFonts w:eastAsia="SimSun"/>
          <w:lang w:val="fr-FR"/>
        </w:rPr>
        <w:t>numéro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homologation</w:t>
      </w:r>
      <w:r>
        <w:rPr>
          <w:rFonts w:eastAsia="SimSun"/>
          <w:lang w:val="fr-FR"/>
        </w:rPr>
        <w:t>, conformément</w:t>
      </w:r>
      <w:r w:rsidRPr="00F16B23">
        <w:rPr>
          <w:rFonts w:eastAsia="SimSun"/>
          <w:lang w:val="fr-FR"/>
        </w:rPr>
        <w:t xml:space="preserve"> à l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annexe</w:t>
      </w:r>
      <w:r w:rsidR="00114800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>4 de l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Accord de 1958.</w:t>
      </w:r>
    </w:p>
    <w:p w14:paraId="5E7F40B2" w14:textId="77777777" w:rsidR="00AD2949" w:rsidRPr="00F16B23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5.</w:t>
      </w:r>
      <w:r w:rsidRPr="00F16B23">
        <w:rPr>
          <w:rFonts w:eastAsia="SimSun"/>
          <w:lang w:val="fr-FR"/>
        </w:rPr>
        <w:tab/>
      </w:r>
      <w:r w:rsidRPr="00F16B23">
        <w:rPr>
          <w:lang w:val="fr-FR"/>
        </w:rPr>
        <w:t xml:space="preserve">Les nouvelles notes de bas de page 3 et 4 sont ajoutées </w:t>
      </w:r>
      <w:r w:rsidRPr="00AC04F6">
        <w:rPr>
          <w:lang w:val="fr-FR"/>
        </w:rPr>
        <w:t xml:space="preserve">dans les annexes 1A et 1B </w:t>
      </w:r>
      <w:r w:rsidRPr="00F16B23">
        <w:rPr>
          <w:lang w:val="fr-FR"/>
        </w:rPr>
        <w:t>dans un souci de clarté</w:t>
      </w:r>
      <w:r w:rsidRPr="00F16B23">
        <w:rPr>
          <w:rFonts w:eastAsia="SimSun"/>
          <w:lang w:val="fr-FR"/>
        </w:rPr>
        <w:t>.</w:t>
      </w:r>
    </w:p>
    <w:p w14:paraId="52E1E778" w14:textId="77777777" w:rsidR="00AD2949" w:rsidRPr="00F16B23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6.</w:t>
      </w:r>
      <w:r w:rsidRPr="00F16B23">
        <w:rPr>
          <w:rFonts w:eastAsia="SimSun"/>
          <w:lang w:val="fr-FR"/>
        </w:rPr>
        <w:tab/>
      </w:r>
      <w:r w:rsidRPr="00F16B23">
        <w:rPr>
          <w:lang w:val="fr-FR"/>
        </w:rPr>
        <w:t>La présente proposition ne concerne pas les dispositions actuelles du Règlement ONU n</w:t>
      </w:r>
      <w:r w:rsidRPr="00F16B23">
        <w:rPr>
          <w:vertAlign w:val="superscript"/>
          <w:lang w:val="fr-FR"/>
        </w:rPr>
        <w:t>o</w:t>
      </w:r>
      <w:r w:rsidRPr="00F16B23">
        <w:rPr>
          <w:lang w:val="fr-FR"/>
        </w:rPr>
        <w:t> 90 relatives à l</w:t>
      </w:r>
      <w:r w:rsidR="00D54EED">
        <w:rPr>
          <w:lang w:val="fr-FR"/>
        </w:rPr>
        <w:t>’</w:t>
      </w:r>
      <w:r w:rsidRPr="00F16B23">
        <w:rPr>
          <w:lang w:val="fr-FR"/>
        </w:rPr>
        <w:t>application des marques d</w:t>
      </w:r>
      <w:r w:rsidR="00D54EED">
        <w:rPr>
          <w:lang w:val="fr-FR"/>
        </w:rPr>
        <w:t>’</w:t>
      </w:r>
      <w:r w:rsidRPr="00F16B23">
        <w:rPr>
          <w:lang w:val="fr-FR"/>
        </w:rPr>
        <w:t>homologation</w:t>
      </w:r>
      <w:r w:rsidRPr="00F16B23">
        <w:rPr>
          <w:rFonts w:eastAsia="SimSun"/>
          <w:lang w:val="fr-FR"/>
        </w:rPr>
        <w:t>.</w:t>
      </w:r>
    </w:p>
    <w:p w14:paraId="3F79DBA2" w14:textId="77777777" w:rsidR="00AD2949" w:rsidRPr="00F16B23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7.</w:t>
      </w:r>
      <w:r w:rsidRPr="00F16B23">
        <w:rPr>
          <w:rFonts w:eastAsia="SimSun"/>
          <w:lang w:val="fr-FR"/>
        </w:rPr>
        <w:tab/>
      </w:r>
      <w:r>
        <w:rPr>
          <w:rFonts w:eastAsia="SimSun"/>
          <w:lang w:val="fr-FR"/>
        </w:rPr>
        <w:t>Les</w:t>
      </w:r>
      <w:r w:rsidRPr="00F16B23">
        <w:rPr>
          <w:rFonts w:eastAsia="SimSun"/>
          <w:lang w:val="fr-FR"/>
        </w:rPr>
        <w:t xml:space="preserve"> dispositions transitoires </w:t>
      </w:r>
      <w:r>
        <w:rPr>
          <w:rFonts w:eastAsia="SimSun"/>
          <w:lang w:val="fr-FR"/>
        </w:rPr>
        <w:t xml:space="preserve">des </w:t>
      </w:r>
      <w:r w:rsidRPr="00F16B23">
        <w:rPr>
          <w:rFonts w:eastAsia="SimSun"/>
          <w:lang w:val="fr-FR"/>
        </w:rPr>
        <w:t xml:space="preserve">paragraphes 12.4 et 12.5 </w:t>
      </w:r>
      <w:r>
        <w:rPr>
          <w:rFonts w:eastAsia="SimSun"/>
          <w:lang w:val="fr-FR"/>
        </w:rPr>
        <w:t>ont été ajoutées en vertu des</w:t>
      </w:r>
      <w:r w:rsidRPr="00F16B23">
        <w:rPr>
          <w:rFonts w:eastAsia="SimSun"/>
          <w:lang w:val="fr-FR"/>
        </w:rPr>
        <w:t xml:space="preserve"> paragraphes</w:t>
      </w:r>
      <w:r>
        <w:rPr>
          <w:rFonts w:eastAsia="SimSun"/>
          <w:lang w:val="fr-FR"/>
        </w:rPr>
        <w:t xml:space="preserve"> </w:t>
      </w:r>
      <w:r w:rsidRPr="00F16B23">
        <w:rPr>
          <w:rFonts w:eastAsia="SimSun"/>
          <w:lang w:val="fr-FR"/>
        </w:rPr>
        <w:t>43 et</w:t>
      </w:r>
      <w:r>
        <w:rPr>
          <w:rFonts w:eastAsia="SimSun"/>
          <w:lang w:val="fr-FR"/>
        </w:rPr>
        <w:t xml:space="preserve"> </w:t>
      </w:r>
      <w:r w:rsidRPr="00F16B23">
        <w:rPr>
          <w:rFonts w:eastAsia="SimSun"/>
          <w:lang w:val="fr-FR"/>
        </w:rPr>
        <w:t xml:space="preserve">44 des </w:t>
      </w:r>
      <w:r w:rsidRPr="00F16B23">
        <w:rPr>
          <w:lang w:val="fr-FR"/>
        </w:rPr>
        <w:t>Directives générales concernant l</w:t>
      </w:r>
      <w:r w:rsidR="00D54EED">
        <w:rPr>
          <w:lang w:val="fr-FR"/>
        </w:rPr>
        <w:t>’</w:t>
      </w:r>
      <w:r w:rsidRPr="00F16B23">
        <w:rPr>
          <w:lang w:val="fr-FR"/>
        </w:rPr>
        <w:t>élaboration des Règlements</w:t>
      </w:r>
      <w:r w:rsidR="00F31AE5">
        <w:rPr>
          <w:lang w:val="fr-FR"/>
        </w:rPr>
        <w:t xml:space="preserve"> </w:t>
      </w:r>
      <w:r w:rsidRPr="00F16B23">
        <w:rPr>
          <w:lang w:val="fr-FR"/>
        </w:rPr>
        <w:t>ONU et les dispositions transitoires qu</w:t>
      </w:r>
      <w:r w:rsidR="00D54EED">
        <w:rPr>
          <w:lang w:val="fr-FR"/>
        </w:rPr>
        <w:t>’</w:t>
      </w:r>
      <w:r w:rsidRPr="00F16B23">
        <w:rPr>
          <w:lang w:val="fr-FR"/>
        </w:rPr>
        <w:t>ils contiennent</w:t>
      </w:r>
      <w:r w:rsidRPr="00F16B23">
        <w:rPr>
          <w:rFonts w:eastAsia="SimSun"/>
          <w:lang w:val="fr-FR"/>
        </w:rPr>
        <w:t xml:space="preserve"> (</w:t>
      </w:r>
      <w:r w:rsidRPr="00F16B23">
        <w:rPr>
          <w:lang w:val="fr-FR"/>
        </w:rPr>
        <w:t>ECE/TRANS/WP.29/1044/Rev.2)</w:t>
      </w:r>
      <w:r w:rsidRPr="00F16B23">
        <w:rPr>
          <w:rFonts w:eastAsia="SimSun"/>
          <w:lang w:val="fr-FR"/>
        </w:rPr>
        <w:t xml:space="preserve">. En outre, </w:t>
      </w:r>
      <w:r>
        <w:rPr>
          <w:rFonts w:eastAsia="SimSun"/>
          <w:lang w:val="fr-FR"/>
        </w:rPr>
        <w:t>un</w:t>
      </w:r>
      <w:r w:rsidRPr="00F16B23">
        <w:rPr>
          <w:rFonts w:eastAsia="SimSun"/>
          <w:lang w:val="fr-FR"/>
        </w:rPr>
        <w:t xml:space="preserve"> paragraphe</w:t>
      </w:r>
      <w:r w:rsidR="004943C5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>12.6 est ajouté afin qu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 xml:space="preserve">il soit possible de délivrer </w:t>
      </w:r>
      <w:r>
        <w:rPr>
          <w:rFonts w:eastAsia="SimSun"/>
          <w:lang w:val="fr-FR"/>
        </w:rPr>
        <w:t xml:space="preserve">une </w:t>
      </w:r>
      <w:r w:rsidRPr="00F16B23">
        <w:rPr>
          <w:rFonts w:eastAsia="SimSun"/>
          <w:lang w:val="fr-FR"/>
        </w:rPr>
        <w:t>extension</w:t>
      </w:r>
      <w:r>
        <w:rPr>
          <w:rFonts w:eastAsia="SimSun"/>
          <w:lang w:val="fr-FR"/>
        </w:rPr>
        <w:t xml:space="preserve"> à </w:t>
      </w:r>
      <w:r w:rsidRPr="00F16B23">
        <w:rPr>
          <w:rFonts w:eastAsia="SimSun"/>
          <w:lang w:val="fr-FR"/>
        </w:rPr>
        <w:t xml:space="preserve">une homologation existante sans </w:t>
      </w:r>
      <w:r>
        <w:rPr>
          <w:rFonts w:eastAsia="SimSun"/>
          <w:lang w:val="fr-FR"/>
        </w:rPr>
        <w:t>prendre en compte</w:t>
      </w:r>
      <w:r w:rsidRPr="00F16B23">
        <w:rPr>
          <w:rFonts w:eastAsia="SimSun"/>
          <w:lang w:val="fr-FR"/>
        </w:rPr>
        <w:t xml:space="preserve"> les dispositions du </w:t>
      </w:r>
      <w:r w:rsidRPr="00AC04F6">
        <w:rPr>
          <w:rFonts w:eastAsia="SimSun"/>
          <w:lang w:val="fr-FR"/>
        </w:rPr>
        <w:t>nouveau complément</w:t>
      </w:r>
      <w:r w:rsidRPr="00F16B23">
        <w:rPr>
          <w:rFonts w:eastAsia="SimSun"/>
          <w:lang w:val="fr-FR"/>
        </w:rPr>
        <w:t>.</w:t>
      </w:r>
    </w:p>
    <w:p w14:paraId="40EBA50D" w14:textId="77777777" w:rsidR="00AD2949" w:rsidRPr="00F16B23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8.</w:t>
      </w:r>
      <w:r w:rsidRPr="00F16B23">
        <w:rPr>
          <w:rFonts w:eastAsia="SimSun"/>
          <w:lang w:val="fr-FR"/>
        </w:rPr>
        <w:tab/>
        <w:t xml:space="preserve">Le mot </w:t>
      </w:r>
      <w:r w:rsidR="004943C5">
        <w:rPr>
          <w:rFonts w:eastAsia="SimSun"/>
          <w:lang w:val="fr-FR"/>
        </w:rPr>
        <w:t>« </w:t>
      </w:r>
      <w:r w:rsidRPr="00F16B23">
        <w:rPr>
          <w:rFonts w:eastAsia="SimSun"/>
          <w:lang w:val="fr-FR"/>
        </w:rPr>
        <w:t>type</w:t>
      </w:r>
      <w:r w:rsidR="004943C5">
        <w:rPr>
          <w:rFonts w:eastAsia="SimSun"/>
          <w:lang w:val="fr-FR"/>
        </w:rPr>
        <w:t> »</w:t>
      </w:r>
      <w:r w:rsidRPr="00F16B23">
        <w:rPr>
          <w:rFonts w:eastAsia="SimSun"/>
          <w:lang w:val="fr-FR"/>
        </w:rPr>
        <w:t xml:space="preserve"> est souvent utilisé dans le Règlement visé mais diverses significations lui sont attachées et la seule définition s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y rapportant figure au paragraphe</w:t>
      </w:r>
      <w:r w:rsidR="00D54EED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>2.3.6, relatif au disque/tambour de frein. La formul</w:t>
      </w:r>
      <w:r>
        <w:rPr>
          <w:rFonts w:eastAsia="SimSun"/>
          <w:lang w:val="fr-FR"/>
        </w:rPr>
        <w:t>ation</w:t>
      </w:r>
      <w:r w:rsidRPr="00F16B23">
        <w:rPr>
          <w:rFonts w:eastAsia="SimSun"/>
          <w:lang w:val="fr-FR"/>
        </w:rPr>
        <w:t xml:space="preserve"> « numéro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 xml:space="preserve">identification du matériau de </w:t>
      </w:r>
      <w:r>
        <w:rPr>
          <w:rFonts w:eastAsia="SimSun"/>
          <w:lang w:val="fr-FR"/>
        </w:rPr>
        <w:t xml:space="preserve">la </w:t>
      </w:r>
      <w:r w:rsidRPr="00F16B23">
        <w:rPr>
          <w:rFonts w:eastAsia="SimSun"/>
          <w:lang w:val="fr-FR"/>
        </w:rPr>
        <w:t>garniture de frein », utile dans le contexte des garniture</w:t>
      </w:r>
      <w:r>
        <w:rPr>
          <w:rFonts w:eastAsia="SimSun"/>
          <w:lang w:val="fr-FR"/>
        </w:rPr>
        <w:t>s</w:t>
      </w:r>
      <w:r w:rsidRPr="00F16B23">
        <w:rPr>
          <w:rFonts w:eastAsia="SimSun"/>
          <w:lang w:val="fr-FR"/>
        </w:rPr>
        <w:t xml:space="preserve"> de frein</w:t>
      </w:r>
      <w:r>
        <w:rPr>
          <w:rFonts w:eastAsia="SimSun"/>
          <w:lang w:val="fr-FR"/>
        </w:rPr>
        <w:t xml:space="preserve"> de rechange</w:t>
      </w:r>
      <w:r w:rsidRPr="00F16B23">
        <w:rPr>
          <w:rFonts w:eastAsia="SimSun"/>
          <w:lang w:val="fr-FR"/>
        </w:rPr>
        <w:t>, a donc été introduite et définie (par.</w:t>
      </w:r>
      <w:r w:rsidR="004943C5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>2.3.14).</w:t>
      </w:r>
    </w:p>
    <w:p w14:paraId="2B27BD57" w14:textId="77777777" w:rsidR="00AD2949" w:rsidRDefault="00AD2949" w:rsidP="00AD2949">
      <w:pPr>
        <w:pStyle w:val="SingleTxtG"/>
        <w:rPr>
          <w:rFonts w:eastAsia="SimSun"/>
          <w:lang w:val="fr-FR"/>
        </w:rPr>
      </w:pPr>
      <w:r w:rsidRPr="00F16B23">
        <w:rPr>
          <w:rFonts w:eastAsia="SimSun"/>
          <w:lang w:val="fr-FR"/>
        </w:rPr>
        <w:t>9.</w:t>
      </w:r>
      <w:r w:rsidRPr="00F16B23">
        <w:rPr>
          <w:rFonts w:eastAsia="SimSun"/>
          <w:lang w:val="fr-FR"/>
        </w:rPr>
        <w:tab/>
        <w:t>L</w:t>
      </w:r>
      <w:r>
        <w:rPr>
          <w:rFonts w:eastAsia="SimSun"/>
          <w:lang w:val="fr-FR"/>
        </w:rPr>
        <w:t xml:space="preserve">a présente </w:t>
      </w:r>
      <w:r w:rsidRPr="00F16B23">
        <w:rPr>
          <w:rFonts w:eastAsia="SimSun"/>
          <w:lang w:val="fr-FR"/>
        </w:rPr>
        <w:t>propos</w:t>
      </w:r>
      <w:r>
        <w:rPr>
          <w:rFonts w:eastAsia="SimSun"/>
          <w:lang w:val="fr-FR"/>
        </w:rPr>
        <w:t>ition</w:t>
      </w:r>
      <w:r w:rsidRPr="00F16B23">
        <w:rPr>
          <w:rFonts w:eastAsia="SimSun"/>
          <w:lang w:val="fr-FR"/>
        </w:rPr>
        <w:t xml:space="preserve"> supposant </w:t>
      </w:r>
      <w:r>
        <w:rPr>
          <w:rFonts w:eastAsia="SimSun"/>
          <w:lang w:val="fr-FR"/>
        </w:rPr>
        <w:t>l</w:t>
      </w:r>
      <w:r w:rsidR="00D54EED">
        <w:rPr>
          <w:rFonts w:eastAsia="SimSun"/>
          <w:lang w:val="fr-FR"/>
        </w:rPr>
        <w:t>’</w:t>
      </w:r>
      <w:r>
        <w:rPr>
          <w:rFonts w:eastAsia="SimSun"/>
          <w:lang w:val="fr-FR"/>
        </w:rPr>
        <w:t>attribution d</w:t>
      </w:r>
      <w:r w:rsidRPr="00F16B23">
        <w:rPr>
          <w:rFonts w:eastAsia="SimSun"/>
          <w:lang w:val="fr-FR"/>
        </w:rPr>
        <w:t>e deux numéros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 xml:space="preserve">homologation de formats différents </w:t>
      </w:r>
      <w:r>
        <w:rPr>
          <w:rFonts w:eastAsia="SimSun"/>
          <w:lang w:val="fr-FR"/>
        </w:rPr>
        <w:t>pour</w:t>
      </w:r>
      <w:r w:rsidRPr="00F16B23">
        <w:rPr>
          <w:rFonts w:eastAsia="SimSun"/>
          <w:lang w:val="fr-FR"/>
        </w:rPr>
        <w:t xml:space="preserve"> un même produit, le remplacement de</w:t>
      </w:r>
      <w:r>
        <w:rPr>
          <w:rFonts w:eastAsia="SimSun"/>
          <w:lang w:val="fr-FR"/>
        </w:rPr>
        <w:t xml:space="preserve"> la</w:t>
      </w:r>
      <w:r w:rsidRPr="00F16B23">
        <w:rPr>
          <w:rFonts w:eastAsia="SimSun"/>
          <w:lang w:val="fr-FR"/>
        </w:rPr>
        <w:t xml:space="preserve"> marque d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homologation définie au paragraphe</w:t>
      </w:r>
      <w:r w:rsidR="00D54EED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 xml:space="preserve">4 (Homologation) par </w:t>
      </w:r>
      <w:r>
        <w:rPr>
          <w:rFonts w:eastAsia="SimSun"/>
          <w:lang w:val="fr-FR"/>
        </w:rPr>
        <w:t xml:space="preserve">un </w:t>
      </w:r>
      <w:r w:rsidRPr="00F16B23">
        <w:rPr>
          <w:rFonts w:eastAsia="SimSun"/>
          <w:lang w:val="fr-FR"/>
        </w:rPr>
        <w:t>identifiant unique (UI) décrit à l</w:t>
      </w:r>
      <w:r w:rsidR="00D54EED">
        <w:rPr>
          <w:rFonts w:eastAsia="SimSun"/>
          <w:lang w:val="fr-FR"/>
        </w:rPr>
        <w:t>’a</w:t>
      </w:r>
      <w:r w:rsidRPr="00F16B23">
        <w:rPr>
          <w:rFonts w:eastAsia="SimSun"/>
          <w:lang w:val="fr-FR"/>
        </w:rPr>
        <w:t>nnexe</w:t>
      </w:r>
      <w:r w:rsidR="00D54EED">
        <w:rPr>
          <w:rFonts w:eastAsia="SimSun"/>
          <w:lang w:val="fr-FR"/>
        </w:rPr>
        <w:t> </w:t>
      </w:r>
      <w:r w:rsidRPr="00F16B23">
        <w:rPr>
          <w:rFonts w:eastAsia="SimSun"/>
          <w:lang w:val="fr-FR"/>
        </w:rPr>
        <w:t>5 de l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Accord de 1958 n</w:t>
      </w:r>
      <w:r w:rsidR="00D54EED">
        <w:rPr>
          <w:rFonts w:eastAsia="SimSun"/>
          <w:lang w:val="fr-FR"/>
        </w:rPr>
        <w:t>’</w:t>
      </w:r>
      <w:r w:rsidRPr="00F16B23">
        <w:rPr>
          <w:rFonts w:eastAsia="SimSun"/>
          <w:lang w:val="fr-FR"/>
        </w:rPr>
        <w:t>est pas autorisé dans le Règlement ONU visé</w:t>
      </w:r>
      <w:r>
        <w:rPr>
          <w:rFonts w:eastAsia="SimSun"/>
          <w:lang w:val="fr-FR"/>
        </w:rPr>
        <w:t xml:space="preserve"> pour éviter toute confusion</w:t>
      </w:r>
      <w:r w:rsidRPr="00F16B23">
        <w:rPr>
          <w:rFonts w:eastAsia="SimSun"/>
          <w:lang w:val="fr-FR"/>
        </w:rPr>
        <w:t>.</w:t>
      </w:r>
    </w:p>
    <w:p w14:paraId="2E976F60" w14:textId="77777777" w:rsidR="00D54EED" w:rsidRPr="00D54EED" w:rsidRDefault="00D54EED" w:rsidP="00D54E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4EED" w:rsidRPr="00D54EED" w:rsidSect="007D53F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D326" w14:textId="77777777" w:rsidR="003D2986" w:rsidRDefault="003D2986" w:rsidP="00F95C08">
      <w:pPr>
        <w:spacing w:line="240" w:lineRule="auto"/>
      </w:pPr>
    </w:p>
  </w:endnote>
  <w:endnote w:type="continuationSeparator" w:id="0">
    <w:p w14:paraId="27196CF7" w14:textId="77777777" w:rsidR="003D2986" w:rsidRPr="00AC3823" w:rsidRDefault="003D2986" w:rsidP="00AC3823">
      <w:pPr>
        <w:pStyle w:val="Pieddepage"/>
      </w:pPr>
    </w:p>
  </w:endnote>
  <w:endnote w:type="continuationNotice" w:id="1">
    <w:p w14:paraId="6E8C0A09" w14:textId="77777777" w:rsidR="003D2986" w:rsidRDefault="003D29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0322" w14:textId="77777777" w:rsidR="003D2986" w:rsidRPr="007D53FE" w:rsidRDefault="003D2986" w:rsidP="007D53FE">
    <w:pPr>
      <w:pStyle w:val="Pieddepage"/>
      <w:tabs>
        <w:tab w:val="right" w:pos="9638"/>
      </w:tabs>
    </w:pPr>
    <w:r w:rsidRPr="007D53FE">
      <w:rPr>
        <w:b/>
        <w:sz w:val="18"/>
      </w:rPr>
      <w:fldChar w:fldCharType="begin"/>
    </w:r>
    <w:r w:rsidRPr="007D53FE">
      <w:rPr>
        <w:b/>
        <w:sz w:val="18"/>
      </w:rPr>
      <w:instrText xml:space="preserve"> PAGE  \* MERGEFORMAT </w:instrText>
    </w:r>
    <w:r w:rsidRPr="007D53FE">
      <w:rPr>
        <w:b/>
        <w:sz w:val="18"/>
      </w:rPr>
      <w:fldChar w:fldCharType="separate"/>
    </w:r>
    <w:r w:rsidRPr="007D53FE">
      <w:rPr>
        <w:b/>
        <w:noProof/>
        <w:sz w:val="18"/>
      </w:rPr>
      <w:t>2</w:t>
    </w:r>
    <w:r w:rsidRPr="007D53FE">
      <w:rPr>
        <w:b/>
        <w:sz w:val="18"/>
      </w:rPr>
      <w:fldChar w:fldCharType="end"/>
    </w:r>
    <w:r>
      <w:rPr>
        <w:b/>
        <w:sz w:val="18"/>
      </w:rPr>
      <w:tab/>
    </w:r>
    <w:r>
      <w:t>GE.19-11735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0B7" w14:textId="77777777" w:rsidR="003D2986" w:rsidRPr="007D53FE" w:rsidRDefault="003D2986" w:rsidP="007D53FE">
    <w:pPr>
      <w:pStyle w:val="Pieddepage"/>
      <w:tabs>
        <w:tab w:val="right" w:pos="9638"/>
      </w:tabs>
      <w:rPr>
        <w:b/>
        <w:sz w:val="18"/>
      </w:rPr>
    </w:pPr>
    <w:r>
      <w:t>GE.19-11735</w:t>
    </w:r>
    <w:r>
      <w:tab/>
    </w:r>
    <w:r w:rsidRPr="007D53FE">
      <w:rPr>
        <w:b/>
        <w:sz w:val="18"/>
      </w:rPr>
      <w:fldChar w:fldCharType="begin"/>
    </w:r>
    <w:r w:rsidRPr="007D53FE">
      <w:rPr>
        <w:b/>
        <w:sz w:val="18"/>
      </w:rPr>
      <w:instrText xml:space="preserve"> PAGE  \* MERGEFORMAT </w:instrText>
    </w:r>
    <w:r w:rsidRPr="007D53FE">
      <w:rPr>
        <w:b/>
        <w:sz w:val="18"/>
      </w:rPr>
      <w:fldChar w:fldCharType="separate"/>
    </w:r>
    <w:r w:rsidRPr="007D53FE">
      <w:rPr>
        <w:b/>
        <w:noProof/>
        <w:sz w:val="18"/>
      </w:rPr>
      <w:t>3</w:t>
    </w:r>
    <w:r w:rsidRPr="007D53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BD52" w14:textId="77777777" w:rsidR="003D2986" w:rsidRPr="007D53FE" w:rsidRDefault="003D2986" w:rsidP="007D53FE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737BAAD" wp14:editId="100159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19-11735  (F)    050819    050819</w:t>
    </w:r>
    <w:r>
      <w:rPr>
        <w:sz w:val="20"/>
      </w:rPr>
      <w:br/>
    </w:r>
    <w:r w:rsidRPr="007D53FE">
      <w:rPr>
        <w:rFonts w:ascii="C39T30Lfz" w:hAnsi="C39T30Lfz"/>
        <w:sz w:val="56"/>
      </w:rPr>
      <w:t></w:t>
    </w:r>
    <w:r w:rsidRPr="007D53FE">
      <w:rPr>
        <w:rFonts w:ascii="C39T30Lfz" w:hAnsi="C39T30Lfz"/>
        <w:sz w:val="56"/>
      </w:rPr>
      <w:t></w:t>
    </w:r>
    <w:r w:rsidRPr="007D53FE">
      <w:rPr>
        <w:rFonts w:ascii="C39T30Lfz" w:hAnsi="C39T30Lfz"/>
        <w:sz w:val="56"/>
      </w:rPr>
      <w:t></w:t>
    </w:r>
    <w:r w:rsidRPr="007D53FE">
      <w:rPr>
        <w:rFonts w:ascii="C39T30Lfz" w:hAnsi="C39T30Lfz"/>
        <w:sz w:val="56"/>
      </w:rPr>
      <w:t></w:t>
    </w:r>
    <w:r w:rsidRPr="007D53FE">
      <w:rPr>
        <w:rFonts w:ascii="C39T30Lfz" w:hAnsi="C39T30Lfz"/>
        <w:sz w:val="56"/>
      </w:rPr>
      <w:t></w:t>
    </w:r>
    <w:r w:rsidRPr="007D53FE">
      <w:rPr>
        <w:rFonts w:ascii="C39T30Lfz" w:hAnsi="C39T30Lfz"/>
        <w:sz w:val="56"/>
      </w:rPr>
      <w:t></w:t>
    </w:r>
    <w:r w:rsidRPr="007D53FE">
      <w:rPr>
        <w:rFonts w:ascii="C39T30Lfz" w:hAnsi="C39T30Lfz"/>
        <w:sz w:val="56"/>
      </w:rPr>
      <w:t></w:t>
    </w:r>
    <w:r w:rsidRPr="007D53FE">
      <w:rPr>
        <w:rFonts w:ascii="C39T30Lfz" w:hAnsi="C39T30Lfz"/>
        <w:sz w:val="56"/>
      </w:rPr>
      <w:t></w:t>
    </w:r>
    <w:r w:rsidRPr="007D53F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D6A80F" wp14:editId="2BFA15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1C58" w14:textId="77777777" w:rsidR="003D2986" w:rsidRPr="00AC3823" w:rsidRDefault="003D29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DAA9FB" w14:textId="77777777" w:rsidR="003D2986" w:rsidRPr="00AC3823" w:rsidRDefault="003D298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EEE400" w14:textId="77777777" w:rsidR="003D2986" w:rsidRPr="00AC3823" w:rsidRDefault="003D2986">
      <w:pPr>
        <w:spacing w:line="240" w:lineRule="auto"/>
        <w:rPr>
          <w:sz w:val="2"/>
          <w:szCs w:val="2"/>
        </w:rPr>
      </w:pPr>
    </w:p>
  </w:footnote>
  <w:footnote w:id="2">
    <w:p w14:paraId="34213979" w14:textId="77777777" w:rsidR="003D2986" w:rsidRPr="00916243" w:rsidRDefault="003D2986" w:rsidP="004A34CF">
      <w:pPr>
        <w:pStyle w:val="Notedebasdepage"/>
        <w:spacing w:line="276" w:lineRule="auto"/>
        <w:rPr>
          <w:sz w:val="24"/>
          <w:szCs w:val="24"/>
          <w:lang w:val="fr-FR"/>
        </w:rPr>
      </w:pPr>
      <w:r w:rsidRPr="00A47C14">
        <w:rPr>
          <w:rStyle w:val="Appelnotedebasdep"/>
          <w:sz w:val="20"/>
          <w:vertAlign w:val="baseline"/>
          <w:lang w:val="fr-FR"/>
        </w:rPr>
        <w:tab/>
        <w:t>*</w:t>
      </w:r>
      <w:r w:rsidRPr="00A47C14">
        <w:rPr>
          <w:rStyle w:val="Appelnotedebasdep"/>
          <w:sz w:val="20"/>
          <w:vertAlign w:val="baseline"/>
          <w:lang w:val="fr-FR"/>
        </w:rPr>
        <w:tab/>
      </w:r>
      <w:r w:rsidRPr="00A47C14">
        <w:rPr>
          <w:szCs w:val="18"/>
          <w:lang w:val="fr-FR"/>
        </w:rPr>
        <w:t xml:space="preserve">Ancien </w:t>
      </w:r>
      <w:r w:rsidRPr="00A47C14">
        <w:rPr>
          <w:b/>
          <w:szCs w:val="18"/>
          <w:lang w:val="fr-FR"/>
        </w:rPr>
        <w:t>Groupe de travail en matière de roulement et de freinage (GRRF)</w:t>
      </w:r>
      <w:r w:rsidRPr="00A47C14">
        <w:rPr>
          <w:szCs w:val="18"/>
          <w:lang w:val="fr-FR"/>
        </w:rPr>
        <w:t>.</w:t>
      </w:r>
    </w:p>
  </w:footnote>
  <w:footnote w:id="3">
    <w:p w14:paraId="79A69ECF" w14:textId="77777777" w:rsidR="003D2986" w:rsidRPr="00916243" w:rsidRDefault="003D2986" w:rsidP="00882DA4">
      <w:pPr>
        <w:pStyle w:val="Notedebasdepage"/>
        <w:rPr>
          <w:lang w:val="fr-FR"/>
        </w:rPr>
      </w:pPr>
      <w:r w:rsidRPr="00882DA4">
        <w:rPr>
          <w:rStyle w:val="Appelnotedebasdep"/>
          <w:sz w:val="20"/>
          <w:vertAlign w:val="baseline"/>
          <w:lang w:val="fr-FR"/>
        </w:rPr>
        <w:tab/>
        <w:t>**</w:t>
      </w:r>
      <w:r w:rsidRPr="00916243">
        <w:rPr>
          <w:lang w:val="fr-FR"/>
        </w:rPr>
        <w:tab/>
      </w:r>
      <w:r w:rsidRPr="00882DA4">
        <w:rPr>
          <w:spacing w:val="-2"/>
          <w:lang w:val="fr-FR"/>
        </w:rPr>
        <w:t>Conformément au programme de travail du Comité des transports intérieurs pour la période 2018</w:t>
      </w:r>
      <w:r w:rsidRPr="00882DA4">
        <w:rPr>
          <w:spacing w:val="-2"/>
          <w:lang w:val="fr-FR"/>
        </w:rPr>
        <w:noBreakHyphen/>
        <w:t>2019</w:t>
      </w:r>
      <w:r w:rsidRPr="00916243">
        <w:rPr>
          <w:lang w:val="fr-FR"/>
        </w:rPr>
        <w:t xml:space="preserve"> (ECE/TRANS/274, par.</w:t>
      </w:r>
      <w:r w:rsidR="00C450D8">
        <w:rPr>
          <w:lang w:val="fr-FR"/>
        </w:rPr>
        <w:t> </w:t>
      </w:r>
      <w:r w:rsidRPr="00916243">
        <w:rPr>
          <w:lang w:val="fr-FR"/>
        </w:rPr>
        <w:t>123 et ECE/TRANS/2018/21/Add.1, module 3), le Forum mondial a pour mission d</w:t>
      </w:r>
      <w:r w:rsidR="00C450D8">
        <w:rPr>
          <w:lang w:val="fr-FR"/>
        </w:rPr>
        <w:t>’</w:t>
      </w:r>
      <w:r w:rsidRPr="00916243">
        <w:rPr>
          <w:lang w:val="fr-FR"/>
        </w:rPr>
        <w:t>élaborer, d</w:t>
      </w:r>
      <w:r w:rsidR="00C450D8">
        <w:rPr>
          <w:lang w:val="fr-FR"/>
        </w:rPr>
        <w:t>’</w:t>
      </w:r>
      <w:r w:rsidRPr="00916243">
        <w:rPr>
          <w:lang w:val="fr-FR"/>
        </w:rPr>
        <w:t>harmoniser et de mettre à jour les Règlements ONU en vue d</w:t>
      </w:r>
      <w:r w:rsidR="00C450D8">
        <w:rPr>
          <w:lang w:val="fr-FR"/>
        </w:rPr>
        <w:t>’</w:t>
      </w:r>
      <w:r w:rsidRPr="00916243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27E1" w14:textId="56563E9D" w:rsidR="003D2986" w:rsidRPr="007D53FE" w:rsidRDefault="003D2986">
    <w:pPr>
      <w:pStyle w:val="En-tte"/>
    </w:pPr>
    <w:fldSimple w:instr=" TITLE  \* MERGEFORMAT ">
      <w:r w:rsidR="00A94149">
        <w:t>ECE/TRANS/WP.29/GRVA/2019/25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8EBE" w14:textId="164723DC" w:rsidR="003D2986" w:rsidRPr="007D53FE" w:rsidRDefault="003D2986" w:rsidP="007D53FE">
    <w:pPr>
      <w:pStyle w:val="En-tte"/>
      <w:jc w:val="right"/>
    </w:pPr>
    <w:fldSimple w:instr=" TITLE  \* MERGEFORMAT ">
      <w:r w:rsidR="00A94149">
        <w:t>ECE/TRANS/WP.29/GRVA/2019/25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75C1"/>
    <w:rsid w:val="00017F94"/>
    <w:rsid w:val="00023842"/>
    <w:rsid w:val="000334F9"/>
    <w:rsid w:val="000365A9"/>
    <w:rsid w:val="0004568C"/>
    <w:rsid w:val="00045FEB"/>
    <w:rsid w:val="0007796D"/>
    <w:rsid w:val="000B7790"/>
    <w:rsid w:val="0010429E"/>
    <w:rsid w:val="00106C5C"/>
    <w:rsid w:val="00111F2F"/>
    <w:rsid w:val="00114800"/>
    <w:rsid w:val="0014365E"/>
    <w:rsid w:val="00143C66"/>
    <w:rsid w:val="0015003B"/>
    <w:rsid w:val="00176178"/>
    <w:rsid w:val="00195A33"/>
    <w:rsid w:val="001D564A"/>
    <w:rsid w:val="001E14FE"/>
    <w:rsid w:val="001F525A"/>
    <w:rsid w:val="00201A1F"/>
    <w:rsid w:val="00223272"/>
    <w:rsid w:val="0024779E"/>
    <w:rsid w:val="00257168"/>
    <w:rsid w:val="002744B8"/>
    <w:rsid w:val="002832AC"/>
    <w:rsid w:val="002D7C93"/>
    <w:rsid w:val="002D7D0C"/>
    <w:rsid w:val="00305801"/>
    <w:rsid w:val="00330124"/>
    <w:rsid w:val="003352F5"/>
    <w:rsid w:val="00367D0B"/>
    <w:rsid w:val="003916DE"/>
    <w:rsid w:val="00394BB0"/>
    <w:rsid w:val="003D2986"/>
    <w:rsid w:val="003E0EF0"/>
    <w:rsid w:val="00401482"/>
    <w:rsid w:val="004215B6"/>
    <w:rsid w:val="00421996"/>
    <w:rsid w:val="00441C3B"/>
    <w:rsid w:val="00446FE5"/>
    <w:rsid w:val="00452396"/>
    <w:rsid w:val="00472B44"/>
    <w:rsid w:val="004837D8"/>
    <w:rsid w:val="004943C5"/>
    <w:rsid w:val="004A34CF"/>
    <w:rsid w:val="004E2EED"/>
    <w:rsid w:val="004E468C"/>
    <w:rsid w:val="004F2A68"/>
    <w:rsid w:val="005505B7"/>
    <w:rsid w:val="0056470F"/>
    <w:rsid w:val="00573BE5"/>
    <w:rsid w:val="005757FC"/>
    <w:rsid w:val="00586ED3"/>
    <w:rsid w:val="00596AA9"/>
    <w:rsid w:val="005B2B5E"/>
    <w:rsid w:val="005F0C13"/>
    <w:rsid w:val="00605E32"/>
    <w:rsid w:val="00643012"/>
    <w:rsid w:val="00650926"/>
    <w:rsid w:val="006A3D80"/>
    <w:rsid w:val="0071601D"/>
    <w:rsid w:val="007539FE"/>
    <w:rsid w:val="00786AC6"/>
    <w:rsid w:val="007A62E6"/>
    <w:rsid w:val="007C0898"/>
    <w:rsid w:val="007D2AF0"/>
    <w:rsid w:val="007D53FE"/>
    <w:rsid w:val="007F20FA"/>
    <w:rsid w:val="0080684C"/>
    <w:rsid w:val="00811062"/>
    <w:rsid w:val="00817A55"/>
    <w:rsid w:val="00871C75"/>
    <w:rsid w:val="008776DC"/>
    <w:rsid w:val="00882DA4"/>
    <w:rsid w:val="00893DC2"/>
    <w:rsid w:val="008D5D40"/>
    <w:rsid w:val="008E5421"/>
    <w:rsid w:val="008F12BD"/>
    <w:rsid w:val="00913F4A"/>
    <w:rsid w:val="009446C0"/>
    <w:rsid w:val="009705C8"/>
    <w:rsid w:val="0097473C"/>
    <w:rsid w:val="00983273"/>
    <w:rsid w:val="00997632"/>
    <w:rsid w:val="009A5384"/>
    <w:rsid w:val="009C1CF4"/>
    <w:rsid w:val="009D49D0"/>
    <w:rsid w:val="009F4BE0"/>
    <w:rsid w:val="009F6B74"/>
    <w:rsid w:val="00A3029F"/>
    <w:rsid w:val="00A30353"/>
    <w:rsid w:val="00A47C14"/>
    <w:rsid w:val="00A62C5C"/>
    <w:rsid w:val="00A66240"/>
    <w:rsid w:val="00A94149"/>
    <w:rsid w:val="00AC3823"/>
    <w:rsid w:val="00AD2949"/>
    <w:rsid w:val="00AE0ABB"/>
    <w:rsid w:val="00AE323C"/>
    <w:rsid w:val="00AF0CB5"/>
    <w:rsid w:val="00B00181"/>
    <w:rsid w:val="00B00B0D"/>
    <w:rsid w:val="00B0246F"/>
    <w:rsid w:val="00B206AF"/>
    <w:rsid w:val="00B20CF6"/>
    <w:rsid w:val="00B45F2E"/>
    <w:rsid w:val="00B61C5F"/>
    <w:rsid w:val="00B765F7"/>
    <w:rsid w:val="00B805FE"/>
    <w:rsid w:val="00B93B7D"/>
    <w:rsid w:val="00BA0CA9"/>
    <w:rsid w:val="00BC75C1"/>
    <w:rsid w:val="00C02897"/>
    <w:rsid w:val="00C450D8"/>
    <w:rsid w:val="00C806F4"/>
    <w:rsid w:val="00C97039"/>
    <w:rsid w:val="00CF0F4B"/>
    <w:rsid w:val="00D06760"/>
    <w:rsid w:val="00D1510B"/>
    <w:rsid w:val="00D27C2A"/>
    <w:rsid w:val="00D3439C"/>
    <w:rsid w:val="00D54EED"/>
    <w:rsid w:val="00DB1831"/>
    <w:rsid w:val="00DB2F55"/>
    <w:rsid w:val="00DD3BFD"/>
    <w:rsid w:val="00DF6678"/>
    <w:rsid w:val="00E0299A"/>
    <w:rsid w:val="00E049AD"/>
    <w:rsid w:val="00E12970"/>
    <w:rsid w:val="00E31B9F"/>
    <w:rsid w:val="00E81CB2"/>
    <w:rsid w:val="00E85C74"/>
    <w:rsid w:val="00E90646"/>
    <w:rsid w:val="00EA6547"/>
    <w:rsid w:val="00EC0A64"/>
    <w:rsid w:val="00EC565C"/>
    <w:rsid w:val="00EF2E22"/>
    <w:rsid w:val="00F31AE5"/>
    <w:rsid w:val="00F35BAF"/>
    <w:rsid w:val="00F660DF"/>
    <w:rsid w:val="00F93AB6"/>
    <w:rsid w:val="00F94664"/>
    <w:rsid w:val="00F9573C"/>
    <w:rsid w:val="00F95C08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751CD"/>
  <w15:docId w15:val="{CEE62D9C-D58C-4050-9211-E8BB6BF0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47C1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47C1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SingleTxtGR">
    <w:name w:val="_ Single Txt_GR"/>
    <w:basedOn w:val="Normal"/>
    <w:link w:val="SingleTxtGR0"/>
    <w:rsid w:val="00B024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spacing w:val="4"/>
      <w:w w:val="103"/>
      <w:kern w:val="14"/>
      <w:lang w:val="ru-RU"/>
    </w:rPr>
  </w:style>
  <w:style w:type="character" w:customStyle="1" w:styleId="SingleTxtGR0">
    <w:name w:val="_ Single Txt_GR Знак"/>
    <w:basedOn w:val="Policepardfaut"/>
    <w:link w:val="SingleTxtGR"/>
    <w:rsid w:val="00B0246F"/>
    <w:rPr>
      <w:rFonts w:ascii="Times New Roman" w:hAnsi="Times New Roman" w:cs="Times New Roman"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6</Pages>
  <Words>1495</Words>
  <Characters>10472</Characters>
  <Application>Microsoft Office Word</Application>
  <DocSecurity>0</DocSecurity>
  <Lines>872</Lines>
  <Paragraphs>478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ECE/TRANS/WP.29/GRVA/2019/25</vt:lpstr>
    </vt:vector>
  </TitlesOfParts>
  <Company>DCM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ECE/TRANS/WP.29/GRVA/2019/25</dc:title>
  <dc:subject/>
  <dc:creator>Corinne ROBERT</dc:creator>
  <cp:keywords/>
  <cp:lastModifiedBy>Corinne Robert</cp:lastModifiedBy>
  <cp:revision>2</cp:revision>
  <cp:lastPrinted>2019-08-05T13:23:00Z</cp:lastPrinted>
  <dcterms:created xsi:type="dcterms:W3CDTF">2019-08-05T13:25:00Z</dcterms:created>
  <dcterms:modified xsi:type="dcterms:W3CDTF">2019-08-05T13:25:00Z</dcterms:modified>
</cp:coreProperties>
</file>