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D5142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D51427" w:rsidP="00D51427">
            <w:pPr>
              <w:jc w:val="right"/>
            </w:pPr>
            <w:r w:rsidRPr="00D51427">
              <w:rPr>
                <w:sz w:val="40"/>
              </w:rPr>
              <w:t>ECE</w:t>
            </w:r>
            <w:r>
              <w:t>/TRANS/WP.29/GRVA/2019/7</w:t>
            </w:r>
          </w:p>
        </w:tc>
      </w:tr>
      <w:tr w:rsidR="002D5AAC" w:rsidRPr="00D5142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D5142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D51427" w:rsidRDefault="00D51427" w:rsidP="00D5142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November 2018</w:t>
            </w:r>
          </w:p>
          <w:p w:rsidR="00D51427" w:rsidRDefault="00D51427" w:rsidP="00D5142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D51427" w:rsidRPr="008D53B6" w:rsidRDefault="00D51427" w:rsidP="00D5142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D51427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D51427" w:rsidRPr="009C6B91" w:rsidRDefault="00D51427" w:rsidP="00D51427">
      <w:pPr>
        <w:spacing w:before="120"/>
        <w:jc w:val="both"/>
        <w:rPr>
          <w:sz w:val="28"/>
          <w:szCs w:val="28"/>
        </w:rPr>
      </w:pPr>
      <w:r w:rsidRPr="009C6B91">
        <w:rPr>
          <w:sz w:val="28"/>
          <w:szCs w:val="28"/>
        </w:rPr>
        <w:t>Комитет по внутреннему транспорту</w:t>
      </w:r>
    </w:p>
    <w:p w:rsidR="00D51427" w:rsidRPr="009C6B91" w:rsidRDefault="00D51427" w:rsidP="00D51427">
      <w:pPr>
        <w:spacing w:before="120"/>
        <w:rPr>
          <w:b/>
          <w:sz w:val="24"/>
          <w:szCs w:val="24"/>
        </w:rPr>
      </w:pPr>
      <w:r w:rsidRPr="009C6B91">
        <w:rPr>
          <w:b/>
          <w:bCs/>
          <w:sz w:val="24"/>
          <w:szCs w:val="24"/>
        </w:rPr>
        <w:t>Всемирный форум для согласования правил</w:t>
      </w:r>
      <w:r w:rsidRPr="009C6B91">
        <w:rPr>
          <w:b/>
          <w:bCs/>
          <w:sz w:val="24"/>
          <w:szCs w:val="24"/>
        </w:rPr>
        <w:br/>
        <w:t>в области транспортных средств</w:t>
      </w:r>
    </w:p>
    <w:p w:rsidR="00D51427" w:rsidRPr="009C6B91" w:rsidRDefault="00D51427" w:rsidP="00D51427">
      <w:pPr>
        <w:spacing w:before="120"/>
        <w:rPr>
          <w:b/>
        </w:rPr>
      </w:pPr>
      <w:r w:rsidRPr="009C6B91">
        <w:rPr>
          <w:b/>
          <w:bCs/>
        </w:rPr>
        <w:t>Рабочая группа по автоматизированным/автономным</w:t>
      </w:r>
      <w:r w:rsidRPr="009C6B91">
        <w:rPr>
          <w:b/>
          <w:bCs/>
        </w:rPr>
        <w:br/>
        <w:t>и подключенным транспортным средствам</w:t>
      </w:r>
      <w:r w:rsidRPr="00D51427">
        <w:rPr>
          <w:rStyle w:val="FootnoteReference"/>
          <w:sz w:val="20"/>
          <w:szCs w:val="20"/>
          <w:vertAlign w:val="baseline"/>
        </w:rPr>
        <w:footnoteReference w:customMarkFollows="1" w:id="1"/>
        <w:t>*</w:t>
      </w:r>
    </w:p>
    <w:p w:rsidR="00D51427" w:rsidRPr="009C6B91" w:rsidRDefault="00D51427" w:rsidP="00D51427">
      <w:pPr>
        <w:spacing w:before="120"/>
        <w:jc w:val="both"/>
        <w:rPr>
          <w:b/>
        </w:rPr>
      </w:pPr>
      <w:r w:rsidRPr="009C6B91">
        <w:rPr>
          <w:b/>
        </w:rPr>
        <w:t xml:space="preserve">Вторая </w:t>
      </w:r>
      <w:r w:rsidRPr="009C6B91">
        <w:rPr>
          <w:b/>
          <w:bCs/>
        </w:rPr>
        <w:t>сессия</w:t>
      </w:r>
    </w:p>
    <w:p w:rsidR="00D51427" w:rsidRPr="009C6B91" w:rsidRDefault="00D51427" w:rsidP="00D51427">
      <w:pPr>
        <w:jc w:val="both"/>
      </w:pPr>
      <w:r w:rsidRPr="009C6B91">
        <w:t>Женева, 28 января</w:t>
      </w:r>
      <w:r>
        <w:rPr>
          <w:lang w:val="en-US"/>
        </w:rPr>
        <w:t xml:space="preserve"> </w:t>
      </w:r>
      <w:r w:rsidRPr="009C6B91">
        <w:t>–</w:t>
      </w:r>
      <w:r>
        <w:rPr>
          <w:lang w:val="en-US"/>
        </w:rPr>
        <w:t xml:space="preserve"> </w:t>
      </w:r>
      <w:r w:rsidRPr="009C6B91">
        <w:t>1 февраля 2019 года</w:t>
      </w:r>
    </w:p>
    <w:p w:rsidR="00D51427" w:rsidRPr="009C6B91" w:rsidRDefault="00D51427" w:rsidP="00D51427">
      <w:pPr>
        <w:jc w:val="both"/>
      </w:pPr>
      <w:r w:rsidRPr="009C6B91">
        <w:t xml:space="preserve">Пункт 8 b) предварительной повестки дня </w:t>
      </w:r>
    </w:p>
    <w:p w:rsidR="00D51427" w:rsidRPr="009C6B91" w:rsidRDefault="00D51427" w:rsidP="00D51427">
      <w:pPr>
        <w:pStyle w:val="SingleTxtG"/>
        <w:ind w:left="0"/>
        <w:rPr>
          <w:b/>
        </w:rPr>
      </w:pPr>
      <w:r w:rsidRPr="009C6B91">
        <w:rPr>
          <w:b/>
        </w:rPr>
        <w:t>Тормозные системы мотоциклов: Правила № 78 ООН</w:t>
      </w:r>
    </w:p>
    <w:p w:rsidR="00D51427" w:rsidRPr="009C6B91" w:rsidRDefault="00D51427" w:rsidP="00D51427">
      <w:pPr>
        <w:pStyle w:val="HChG"/>
      </w:pPr>
      <w:r w:rsidRPr="009C6B91">
        <w:tab/>
      </w:r>
      <w:r w:rsidRPr="009C6B91">
        <w:tab/>
        <w:t>Предложение по поправкам к поправкам серии 04 к</w:t>
      </w:r>
      <w:r>
        <w:rPr>
          <w:lang w:val="en-US"/>
        </w:rPr>
        <w:t> </w:t>
      </w:r>
      <w:r w:rsidRPr="009C6B91">
        <w:t>Правилам № 78 (тормозные системы мотоциклов)</w:t>
      </w:r>
    </w:p>
    <w:p w:rsidR="00D51427" w:rsidRPr="009C6B91" w:rsidRDefault="00D51427" w:rsidP="00D51427">
      <w:pPr>
        <w:pStyle w:val="H1G"/>
      </w:pPr>
      <w:r w:rsidRPr="009C6B91">
        <w:tab/>
      </w:r>
      <w:r w:rsidRPr="009C6B91">
        <w:tab/>
        <w:t>Представлено экспертом от Международной ассоциации заводов – изготовителей мотоциклов</w:t>
      </w:r>
      <w:r w:rsidRPr="00D51427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p w:rsidR="00D51427" w:rsidRPr="009C6B91" w:rsidRDefault="00D51427" w:rsidP="00D51427">
      <w:pPr>
        <w:pStyle w:val="SingleTxtG"/>
      </w:pPr>
      <w:r w:rsidRPr="009C6B91">
        <w:tab/>
      </w:r>
      <w:r>
        <w:tab/>
      </w:r>
      <w:r w:rsidRPr="009C6B91">
        <w:t>Воспроизведенный ниже текст был подготовлен экспертами от Международной ассоциации заводов – изготовителей мотоциклов (МАЗМ) с целью внесения поправок в Правила № 78 ООН для введения положений о включении стоп-сигналов и в других условиях, помимо применения рабочего тормоза, например также при рекуперативном торможении. Изменения к действующему тексту Правил выделены жирным шрифтом в случае новых положений или зачеркиванием в случае исключенных элементов.</w:t>
      </w:r>
    </w:p>
    <w:p w:rsidR="00D51427" w:rsidRPr="009C6B91" w:rsidRDefault="00D51427" w:rsidP="00D51427">
      <w:pPr>
        <w:pStyle w:val="SingleTxtG"/>
      </w:pPr>
      <w:r w:rsidRPr="0009652D">
        <w:rPr>
          <w:rFonts w:eastAsia="MS Mincho"/>
        </w:rPr>
        <w:br w:type="page"/>
      </w:r>
    </w:p>
    <w:p w:rsidR="00D51427" w:rsidRPr="009C6B91" w:rsidRDefault="00D51427" w:rsidP="00D51427">
      <w:pPr>
        <w:pStyle w:val="HChG"/>
        <w:rPr>
          <w:rFonts w:eastAsia="MS Mincho"/>
        </w:rPr>
      </w:pPr>
      <w:r>
        <w:rPr>
          <w:rFonts w:eastAsia="MS Mincho"/>
        </w:rPr>
        <w:lastRenderedPageBreak/>
        <w:tab/>
      </w:r>
      <w:r w:rsidRPr="009C6B91">
        <w:rPr>
          <w:rFonts w:eastAsia="MS Mincho"/>
        </w:rPr>
        <w:t>I.</w:t>
      </w:r>
      <w:r w:rsidRPr="009C6B91">
        <w:rPr>
          <w:rFonts w:eastAsia="MS Mincho"/>
        </w:rPr>
        <w:tab/>
      </w:r>
      <w:r w:rsidRPr="009C6B91">
        <w:t>Предложение</w:t>
      </w:r>
    </w:p>
    <w:p w:rsidR="00D51427" w:rsidRPr="009C6B91" w:rsidRDefault="00D51427" w:rsidP="00D51427">
      <w:pPr>
        <w:pStyle w:val="SingleTxtG"/>
      </w:pPr>
      <w:r w:rsidRPr="009C6B91">
        <w:rPr>
          <w:i/>
          <w:iCs/>
        </w:rPr>
        <w:t>Включить новый пункт 2.31</w:t>
      </w:r>
      <w:r w:rsidRPr="009C6B91">
        <w:rPr>
          <w:iCs/>
        </w:rPr>
        <w:t xml:space="preserve"> следующего содержания</w:t>
      </w:r>
      <w:r w:rsidRPr="009C6B91">
        <w:t>:</w:t>
      </w:r>
    </w:p>
    <w:p w:rsidR="00D51427" w:rsidRPr="009C6B91" w:rsidRDefault="00D51427" w:rsidP="00D51427">
      <w:pPr>
        <w:spacing w:after="120"/>
        <w:ind w:left="2268" w:right="1134" w:hanging="1134"/>
        <w:jc w:val="both"/>
        <w:rPr>
          <w:b/>
        </w:rPr>
      </w:pPr>
      <w:r>
        <w:t>«</w:t>
      </w:r>
      <w:r w:rsidRPr="009C6B91">
        <w:rPr>
          <w:b/>
        </w:rPr>
        <w:t xml:space="preserve">2.31 </w:t>
      </w:r>
      <w:r w:rsidRPr="009C6B91">
        <w:rPr>
          <w:b/>
        </w:rPr>
        <w:tab/>
      </w:r>
      <w:r>
        <w:rPr>
          <w:b/>
        </w:rPr>
        <w:t>"</w:t>
      </w:r>
      <w:r w:rsidRPr="009C6B91">
        <w:rPr>
          <w:b/>
          <w:i/>
        </w:rPr>
        <w:t>Сигнал торможения</w:t>
      </w:r>
      <w:r>
        <w:rPr>
          <w:b/>
        </w:rPr>
        <w:t>"</w:t>
      </w:r>
      <w:r w:rsidRPr="009C6B91">
        <w:rPr>
          <w:b/>
        </w:rPr>
        <w:t xml:space="preserve"> означает логический сигнал, указывающий тот момент, когда требуется или допускается включение стоп-сигнала, как это предусмотрено в пункте 5.1.17 настоящих Правил</w:t>
      </w:r>
      <w:r w:rsidRPr="00D51427">
        <w:t>»</w:t>
      </w:r>
      <w:r w:rsidRPr="009C6B91">
        <w:t>.</w:t>
      </w:r>
    </w:p>
    <w:p w:rsidR="00D51427" w:rsidRPr="009C6B91" w:rsidRDefault="00D51427" w:rsidP="00D51427">
      <w:pPr>
        <w:pStyle w:val="SingleTxtG"/>
      </w:pPr>
      <w:r w:rsidRPr="009C6B91">
        <w:rPr>
          <w:i/>
          <w:iCs/>
        </w:rPr>
        <w:t>Включить новый пункт 2.32</w:t>
      </w:r>
      <w:r w:rsidRPr="009C6B91">
        <w:rPr>
          <w:iCs/>
        </w:rPr>
        <w:t xml:space="preserve"> следующего содержания</w:t>
      </w:r>
      <w:r w:rsidRPr="009C6B91">
        <w:t>:</w:t>
      </w:r>
    </w:p>
    <w:p w:rsidR="00D51427" w:rsidRPr="009C6B91" w:rsidRDefault="00D51427" w:rsidP="00D51427">
      <w:pPr>
        <w:tabs>
          <w:tab w:val="left" w:pos="8505"/>
        </w:tabs>
        <w:spacing w:after="120"/>
        <w:ind w:left="2268" w:right="1134" w:hanging="1134"/>
        <w:jc w:val="both"/>
      </w:pPr>
      <w:r>
        <w:t>«</w:t>
      </w:r>
      <w:r w:rsidRPr="009C6B91">
        <w:rPr>
          <w:b/>
        </w:rPr>
        <w:t>2.32</w:t>
      </w:r>
      <w:r w:rsidRPr="009C6B91">
        <w:rPr>
          <w:b/>
        </w:rPr>
        <w:tab/>
      </w:r>
      <w:r>
        <w:rPr>
          <w:b/>
        </w:rPr>
        <w:t>"</w:t>
      </w:r>
      <w:r w:rsidRPr="009C6B91">
        <w:rPr>
          <w:b/>
          <w:i/>
        </w:rPr>
        <w:t>Система электрического рекуперативного торможения</w:t>
      </w:r>
      <w:r>
        <w:rPr>
          <w:b/>
        </w:rPr>
        <w:t>"</w:t>
      </w:r>
      <w:r w:rsidRPr="009C6B91">
        <w:rPr>
          <w:b/>
        </w:rPr>
        <w:t xml:space="preserve"> означает систему торможения, которая в ходе замедления позволяет преобразовывать кинетическую энергию транспортного средства в электрическую и не является частью системы рабочего тормоза</w:t>
      </w:r>
      <w:r>
        <w:t>»</w:t>
      </w:r>
      <w:r w:rsidRPr="009C6B91">
        <w:t>.</w:t>
      </w:r>
    </w:p>
    <w:p w:rsidR="00D51427" w:rsidRPr="009C6B91" w:rsidRDefault="00D51427" w:rsidP="00D51427">
      <w:pPr>
        <w:pStyle w:val="SingleTxtG"/>
        <w:rPr>
          <w:i/>
          <w:iCs/>
        </w:rPr>
      </w:pPr>
      <w:r w:rsidRPr="009C6B91">
        <w:rPr>
          <w:i/>
        </w:rPr>
        <w:t>Включить новый пункт 5.1.17 и подпункты к нему</w:t>
      </w:r>
      <w:r w:rsidRPr="009C6B91">
        <w:t xml:space="preserve"> следующего содержания</w:t>
      </w:r>
    </w:p>
    <w:p w:rsidR="00D51427" w:rsidRPr="009C6B91" w:rsidRDefault="00D51427" w:rsidP="00D51427">
      <w:pPr>
        <w:spacing w:after="120"/>
        <w:ind w:left="2268" w:right="1134" w:hanging="1134"/>
        <w:jc w:val="both"/>
        <w:rPr>
          <w:b/>
        </w:rPr>
      </w:pPr>
      <w:r>
        <w:t>«</w:t>
      </w:r>
      <w:r w:rsidRPr="009C6B91">
        <w:rPr>
          <w:b/>
        </w:rPr>
        <w:t>5.1.17</w:t>
      </w:r>
      <w:r w:rsidRPr="009C6B91">
        <w:rPr>
          <w:b/>
        </w:rPr>
        <w:tab/>
        <w:t>Подача и деактивация сигнала торможения для включения стоп-сигнала(ов), как они определены в Правилах № 53 ООН, осуществляются лишь при следующих условиях:</w:t>
      </w:r>
    </w:p>
    <w:p w:rsidR="00D51427" w:rsidRPr="009C6B91" w:rsidRDefault="00D51427" w:rsidP="00D51427">
      <w:pPr>
        <w:spacing w:after="120"/>
        <w:ind w:left="2268" w:right="1134" w:hanging="1134"/>
        <w:jc w:val="both"/>
        <w:rPr>
          <w:b/>
        </w:rPr>
      </w:pPr>
      <w:r w:rsidRPr="009C6B91">
        <w:rPr>
          <w:b/>
        </w:rPr>
        <w:t>5.1.17.1</w:t>
      </w:r>
      <w:r w:rsidRPr="009C6B91">
        <w:rPr>
          <w:b/>
        </w:rPr>
        <w:tab/>
        <w:t>любое приведение в действие рабочего тормоза водителем инициирует сигнал торможения, используемый для включения стоп-сигналов;</w:t>
      </w:r>
    </w:p>
    <w:p w:rsidR="00D51427" w:rsidRPr="009C6B91" w:rsidRDefault="00D51427" w:rsidP="00D51427">
      <w:pPr>
        <w:spacing w:after="240"/>
        <w:ind w:left="2257" w:right="1134" w:hanging="1123"/>
        <w:jc w:val="both"/>
        <w:rPr>
          <w:b/>
        </w:rPr>
      </w:pPr>
      <w:r w:rsidRPr="009C6B91">
        <w:rPr>
          <w:b/>
        </w:rPr>
        <w:t>5.1.17.2</w:t>
      </w:r>
      <w:r w:rsidRPr="009C6B91">
        <w:rPr>
          <w:b/>
        </w:rPr>
        <w:tab/>
        <w:t>кроме того, в случае транспортных средств, приводимых в движение исключительно с помощью электрической тяги и оснащенных системами электрического рекуперативного торможения, определенными в пункте 2.32 настоящих Правил, которые создают тормозное усилие при отпускании устройства управления акселератором, сигнал торможения инициируется также в соответствии со следующими предписаниями:</w:t>
      </w:r>
    </w:p>
    <w:tbl>
      <w:tblPr>
        <w:tblW w:w="6390" w:type="dxa"/>
        <w:tblInd w:w="21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1"/>
        <w:gridCol w:w="3299"/>
      </w:tblGrid>
      <w:tr w:rsidR="00D51427" w:rsidRPr="009C6B91" w:rsidTr="00226D47">
        <w:tc>
          <w:tcPr>
            <w:tcW w:w="309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51427" w:rsidRPr="009C6B91" w:rsidRDefault="00D51427" w:rsidP="00226D47">
            <w:pPr>
              <w:spacing w:before="80" w:after="80" w:line="200" w:lineRule="exact"/>
              <w:ind w:left="176" w:right="113"/>
              <w:rPr>
                <w:b/>
                <w:i/>
                <w:sz w:val="16"/>
                <w:szCs w:val="16"/>
              </w:rPr>
            </w:pPr>
            <w:r w:rsidRPr="009C6B91">
              <w:rPr>
                <w:b/>
                <w:bCs/>
                <w:i/>
                <w:sz w:val="16"/>
                <w:szCs w:val="16"/>
              </w:rPr>
              <w:t>Замедление транспортного средства</w:t>
            </w:r>
          </w:p>
        </w:tc>
        <w:tc>
          <w:tcPr>
            <w:tcW w:w="329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51427" w:rsidRPr="009C6B91" w:rsidRDefault="00D51427" w:rsidP="00226D47">
            <w:pPr>
              <w:spacing w:before="80" w:after="80" w:line="200" w:lineRule="exact"/>
              <w:ind w:left="291" w:right="113"/>
              <w:rPr>
                <w:b/>
                <w:i/>
                <w:sz w:val="16"/>
              </w:rPr>
            </w:pPr>
            <w:r w:rsidRPr="009C6B91">
              <w:rPr>
                <w:b/>
                <w:bCs/>
                <w:i/>
                <w:sz w:val="16"/>
                <w:szCs w:val="16"/>
              </w:rPr>
              <w:t>Подача сигнала</w:t>
            </w:r>
          </w:p>
        </w:tc>
      </w:tr>
      <w:tr w:rsidR="00D51427" w:rsidRPr="009C6B91" w:rsidTr="00226D47">
        <w:tc>
          <w:tcPr>
            <w:tcW w:w="3091" w:type="dxa"/>
            <w:tcBorders>
              <w:bottom w:val="single" w:sz="2" w:space="0" w:color="auto"/>
            </w:tcBorders>
            <w:shd w:val="clear" w:color="auto" w:fill="auto"/>
          </w:tcPr>
          <w:p w:rsidR="00D51427" w:rsidRPr="009C6B91" w:rsidRDefault="00D51427" w:rsidP="00D51427">
            <w:pPr>
              <w:spacing w:before="40" w:after="120"/>
              <w:ind w:left="176" w:right="113"/>
              <w:rPr>
                <w:b/>
                <w:bCs/>
              </w:rPr>
            </w:pPr>
            <w:r w:rsidRPr="009C6B91">
              <w:rPr>
                <w:b/>
                <w:bCs/>
              </w:rPr>
              <w:t>≤0,7 м/с²</w:t>
            </w:r>
          </w:p>
        </w:tc>
        <w:tc>
          <w:tcPr>
            <w:tcW w:w="3299" w:type="dxa"/>
            <w:tcBorders>
              <w:bottom w:val="single" w:sz="2" w:space="0" w:color="auto"/>
            </w:tcBorders>
            <w:shd w:val="clear" w:color="auto" w:fill="auto"/>
          </w:tcPr>
          <w:p w:rsidR="00D51427" w:rsidRPr="009C6B91" w:rsidRDefault="00D51427" w:rsidP="00226D47">
            <w:pPr>
              <w:spacing w:before="40" w:after="120"/>
              <w:ind w:left="291" w:right="113"/>
              <w:rPr>
                <w:b/>
                <w:bCs/>
              </w:rPr>
            </w:pPr>
            <w:r w:rsidRPr="009C6B91">
              <w:rPr>
                <w:b/>
              </w:rPr>
              <w:t>Сигнал</w:t>
            </w:r>
            <w:r w:rsidRPr="009C6B91">
              <w:rPr>
                <w:b/>
                <w:lang w:val="en-US"/>
              </w:rPr>
              <w:t xml:space="preserve"> </w:t>
            </w:r>
            <w:r w:rsidRPr="009C6B91">
              <w:rPr>
                <w:b/>
              </w:rPr>
              <w:t>не</w:t>
            </w:r>
            <w:r w:rsidRPr="009C6B91">
              <w:rPr>
                <w:b/>
                <w:lang w:val="en-US"/>
              </w:rPr>
              <w:t xml:space="preserve"> </w:t>
            </w:r>
            <w:r w:rsidRPr="009C6B91">
              <w:rPr>
                <w:b/>
              </w:rPr>
              <w:t>инициируется</w:t>
            </w:r>
          </w:p>
        </w:tc>
      </w:tr>
      <w:tr w:rsidR="00D51427" w:rsidRPr="009C6B91" w:rsidTr="00226D47">
        <w:tc>
          <w:tcPr>
            <w:tcW w:w="3091" w:type="dxa"/>
            <w:tcBorders>
              <w:bottom w:val="single" w:sz="2" w:space="0" w:color="auto"/>
            </w:tcBorders>
            <w:shd w:val="clear" w:color="auto" w:fill="auto"/>
          </w:tcPr>
          <w:p w:rsidR="00D51427" w:rsidRPr="009C6B91" w:rsidRDefault="00D51427" w:rsidP="00D51427">
            <w:pPr>
              <w:spacing w:before="40" w:after="120"/>
              <w:ind w:left="176" w:right="113"/>
              <w:rPr>
                <w:b/>
              </w:rPr>
            </w:pPr>
            <w:r w:rsidRPr="009C6B91">
              <w:rPr>
                <w:b/>
                <w:bCs/>
              </w:rPr>
              <w:t>&gt;0,7 м/с² и ≤1,3 м/с²</w:t>
            </w:r>
          </w:p>
        </w:tc>
        <w:tc>
          <w:tcPr>
            <w:tcW w:w="3299" w:type="dxa"/>
            <w:tcBorders>
              <w:bottom w:val="single" w:sz="2" w:space="0" w:color="auto"/>
            </w:tcBorders>
            <w:shd w:val="clear" w:color="auto" w:fill="auto"/>
          </w:tcPr>
          <w:p w:rsidR="00D51427" w:rsidRPr="009C6B91" w:rsidRDefault="00D51427" w:rsidP="00226D47">
            <w:pPr>
              <w:spacing w:before="40" w:after="120"/>
              <w:ind w:left="291" w:right="113"/>
              <w:rPr>
                <w:b/>
              </w:rPr>
            </w:pPr>
            <w:r w:rsidRPr="009C6B91">
              <w:rPr>
                <w:b/>
              </w:rPr>
              <w:t>Сигнал может подаваться</w:t>
            </w:r>
          </w:p>
        </w:tc>
      </w:tr>
      <w:tr w:rsidR="00D51427" w:rsidRPr="009C6B91" w:rsidTr="00226D47">
        <w:tc>
          <w:tcPr>
            <w:tcW w:w="3091" w:type="dxa"/>
            <w:tcBorders>
              <w:bottom w:val="single" w:sz="12" w:space="0" w:color="auto"/>
            </w:tcBorders>
            <w:shd w:val="clear" w:color="auto" w:fill="auto"/>
          </w:tcPr>
          <w:p w:rsidR="00D51427" w:rsidRPr="009C6B91" w:rsidRDefault="00D51427" w:rsidP="00D51427">
            <w:pPr>
              <w:spacing w:before="40" w:after="120"/>
              <w:ind w:left="176" w:right="113"/>
              <w:rPr>
                <w:b/>
              </w:rPr>
            </w:pPr>
            <w:r w:rsidRPr="009C6B91">
              <w:rPr>
                <w:b/>
                <w:bCs/>
              </w:rPr>
              <w:t>&gt;1,3 м/с²</w:t>
            </w:r>
          </w:p>
        </w:tc>
        <w:tc>
          <w:tcPr>
            <w:tcW w:w="3299" w:type="dxa"/>
            <w:tcBorders>
              <w:bottom w:val="single" w:sz="12" w:space="0" w:color="auto"/>
            </w:tcBorders>
            <w:shd w:val="clear" w:color="auto" w:fill="auto"/>
          </w:tcPr>
          <w:p w:rsidR="00D51427" w:rsidRPr="009C6B91" w:rsidRDefault="00D51427" w:rsidP="00226D47">
            <w:pPr>
              <w:spacing w:before="40" w:after="120"/>
              <w:ind w:left="291" w:right="113"/>
              <w:rPr>
                <w:b/>
              </w:rPr>
            </w:pPr>
            <w:r w:rsidRPr="009C6B91">
              <w:rPr>
                <w:b/>
              </w:rPr>
              <w:t>Сигнал должен подаваться</w:t>
            </w:r>
          </w:p>
        </w:tc>
      </w:tr>
    </w:tbl>
    <w:p w:rsidR="00D51427" w:rsidRPr="00D51427" w:rsidRDefault="00D51427" w:rsidP="00D51427">
      <w:pPr>
        <w:pStyle w:val="bulletpoint"/>
        <w:numPr>
          <w:ilvl w:val="0"/>
          <w:numId w:val="0"/>
        </w:numPr>
        <w:snapToGrid w:val="0"/>
        <w:spacing w:after="120"/>
        <w:ind w:left="1134" w:right="1134"/>
        <w:jc w:val="right"/>
        <w:rPr>
          <w:sz w:val="20"/>
          <w:szCs w:val="20"/>
          <w:lang w:val="ru-RU"/>
        </w:rPr>
      </w:pPr>
      <w:r w:rsidRPr="00D51427">
        <w:rPr>
          <w:sz w:val="20"/>
          <w:szCs w:val="20"/>
          <w:lang w:val="ru-RU"/>
        </w:rPr>
        <w:t>»</w:t>
      </w:r>
      <w:r>
        <w:rPr>
          <w:sz w:val="20"/>
          <w:szCs w:val="20"/>
          <w:lang w:val="ru-RU"/>
        </w:rPr>
        <w:t>.</w:t>
      </w:r>
    </w:p>
    <w:p w:rsidR="00D51427" w:rsidRPr="009C6B91" w:rsidRDefault="00D51427" w:rsidP="00D51427">
      <w:pPr>
        <w:pStyle w:val="HChG"/>
        <w:rPr>
          <w:rFonts w:eastAsia="MS Mincho"/>
        </w:rPr>
      </w:pPr>
      <w:r>
        <w:rPr>
          <w:rFonts w:eastAsia="MS Mincho"/>
        </w:rPr>
        <w:tab/>
      </w:r>
      <w:r w:rsidRPr="009C6B91">
        <w:rPr>
          <w:rFonts w:eastAsia="MS Mincho"/>
        </w:rPr>
        <w:t>II.</w:t>
      </w:r>
      <w:r w:rsidRPr="009C6B91">
        <w:rPr>
          <w:rFonts w:eastAsia="MS Mincho"/>
        </w:rPr>
        <w:tab/>
      </w:r>
      <w:r w:rsidRPr="009C6B91">
        <w:t>Обоснование</w:t>
      </w:r>
    </w:p>
    <w:p w:rsidR="00D51427" w:rsidRPr="009C6B91" w:rsidRDefault="00D51427" w:rsidP="00D51427">
      <w:pPr>
        <w:pStyle w:val="SingleTxtG"/>
      </w:pPr>
      <w:r w:rsidRPr="009C6B91">
        <w:t>1.</w:t>
      </w:r>
      <w:r w:rsidRPr="009C6B91">
        <w:tab/>
        <w:t xml:space="preserve">Вышеизложенное предложение представляет собой улучшенный вариант представленного в феврале 2018 года документа </w:t>
      </w:r>
      <w:r w:rsidRPr="009C6B91">
        <w:rPr>
          <w:lang w:val="en-GB"/>
        </w:rPr>
        <w:t>GRRF</w:t>
      </w:r>
      <w:r w:rsidRPr="009C6B91">
        <w:t>-86-35, но уже с учетом высказанных замечаний.</w:t>
      </w:r>
    </w:p>
    <w:p w:rsidR="00D51427" w:rsidRPr="009C6B91" w:rsidRDefault="00D51427" w:rsidP="00D51427">
      <w:pPr>
        <w:pStyle w:val="SingleTxtG"/>
      </w:pPr>
      <w:r w:rsidRPr="009C6B91">
        <w:t>2.</w:t>
      </w:r>
      <w:r w:rsidRPr="009C6B91">
        <w:tab/>
        <w:t>Данное предложение направлено на внесение в Правила № 78 ООН положений о включении стоп-сигналов и при других условиях, помимо приведения в действие рабочего тормоза, например также при рекуперативном торможении.</w:t>
      </w:r>
    </w:p>
    <w:p w:rsidR="00D51427" w:rsidRPr="009C6B91" w:rsidRDefault="00D51427" w:rsidP="00D51427">
      <w:pPr>
        <w:pStyle w:val="SingleTxtG"/>
      </w:pPr>
      <w:r w:rsidRPr="009C6B91">
        <w:t>3.</w:t>
      </w:r>
      <w:r w:rsidRPr="009C6B91">
        <w:tab/>
        <w:t xml:space="preserve">В настоящее время Правилами № 53 ООН допускается включение стоп-сигнала только при приведении в действие тормоза. Как уже отмечалось в рамках Рабочей группы по вопросам освещения и световой сигнализации (GRE) (см. документ </w:t>
      </w:r>
      <w:r w:rsidRPr="009C6B91">
        <w:rPr>
          <w:lang w:val="en-GB"/>
        </w:rPr>
        <w:t>ECE</w:t>
      </w:r>
      <w:r w:rsidRPr="009C6B91">
        <w:t>/</w:t>
      </w:r>
      <w:r w:rsidRPr="009C6B91">
        <w:rPr>
          <w:lang w:val="en-GB"/>
        </w:rPr>
        <w:t>TRANS</w:t>
      </w:r>
      <w:r w:rsidRPr="009C6B91">
        <w:t>/</w:t>
      </w:r>
      <w:r w:rsidRPr="009C6B91">
        <w:rPr>
          <w:lang w:val="en-GB"/>
        </w:rPr>
        <w:t>WP</w:t>
      </w:r>
      <w:r w:rsidRPr="009C6B91">
        <w:t>29/</w:t>
      </w:r>
      <w:r w:rsidRPr="009C6B91">
        <w:rPr>
          <w:lang w:val="en-GB"/>
        </w:rPr>
        <w:t>GRE</w:t>
      </w:r>
      <w:r w:rsidRPr="009C6B91">
        <w:t>/2018/25), МАЗМ предлагает предусмотреть возможность включения стоп-сигналов и при других условиях, помимо приведения в действие рабочего тормоза, например также при рекуперативном торможении. Как указано в докладе о работе семьдесят четвертой сессии GRE (см. документ ECE/TRANS/WP29/</w:t>
      </w:r>
      <w:r>
        <w:t xml:space="preserve"> </w:t>
      </w:r>
      <w:r w:rsidRPr="009C6B91">
        <w:t xml:space="preserve">GRE/74, пункт 30), </w:t>
      </w:r>
      <w:r>
        <w:t>«</w:t>
      </w:r>
      <w:r w:rsidRPr="009C6B91">
        <w:t>это предложение может повлечь за собой необходимость изменения Правил № 78 ООН, относящихся к ведению GRRF</w:t>
      </w:r>
      <w:r>
        <w:t>»</w:t>
      </w:r>
      <w:r w:rsidRPr="009C6B91">
        <w:t>. Тем не менее предложение такого рода было одобрено Рабочей группой GRE.</w:t>
      </w:r>
    </w:p>
    <w:p w:rsidR="00D51427" w:rsidRPr="009C6B91" w:rsidRDefault="00D51427" w:rsidP="00D51427">
      <w:pPr>
        <w:pStyle w:val="SingleTxtG"/>
      </w:pPr>
      <w:r w:rsidRPr="009C6B91">
        <w:lastRenderedPageBreak/>
        <w:t>4.</w:t>
      </w:r>
      <w:r w:rsidRPr="009C6B91">
        <w:tab/>
        <w:t>Таким образом, МАЗМ подготовила соответствующее предложение по Правилам № 78 ООН, которое и представляется в настоящем документе.</w:t>
      </w:r>
    </w:p>
    <w:p w:rsidR="00D51427" w:rsidRPr="009C6B91" w:rsidRDefault="00D51427" w:rsidP="00D51427">
      <w:pPr>
        <w:pStyle w:val="SingleTxtG"/>
      </w:pPr>
      <w:r w:rsidRPr="009C6B91">
        <w:t>5.</w:t>
      </w:r>
      <w:r w:rsidRPr="009C6B91">
        <w:tab/>
        <w:t xml:space="preserve">Поправки к содержащимся в Правилах № 53 ООН предписаниям об </w:t>
      </w:r>
      <w:r w:rsidRPr="009C6B91">
        <w:rPr>
          <w:u w:val="single"/>
        </w:rPr>
        <w:t>установке</w:t>
      </w:r>
      <w:r w:rsidRPr="009C6B91">
        <w:t xml:space="preserve"> стоп-сигналов обусловливают необходимость внесения предложенных выше изменений в критерии </w:t>
      </w:r>
      <w:r w:rsidRPr="009C6B91">
        <w:rPr>
          <w:u w:val="single"/>
        </w:rPr>
        <w:t>активации</w:t>
      </w:r>
      <w:r w:rsidRPr="009C6B91">
        <w:t xml:space="preserve"> стоп-сигналов в Правилах № 78 ООН.</w:t>
      </w:r>
    </w:p>
    <w:p w:rsidR="00E12C5F" w:rsidRDefault="00D51427" w:rsidP="00D51427">
      <w:pPr>
        <w:pStyle w:val="SingleTxtG"/>
      </w:pPr>
      <w:r w:rsidRPr="009C6B91">
        <w:t>6.</w:t>
      </w:r>
      <w:r w:rsidRPr="009C6B91">
        <w:tab/>
        <w:t>Критерии замедления, перечисленные в пункте 5.1.17.2, позаимствованы из предписаний пункта 5.2.22.4 Правил № 13-Н ООН в порядке обеспечения согласованности в плане включения стоп-сигналов всеми участниками дорожного движения.</w:t>
      </w:r>
    </w:p>
    <w:p w:rsidR="00D51427" w:rsidRPr="00D51427" w:rsidRDefault="00D51427" w:rsidP="00D51427">
      <w:pPr>
        <w:pStyle w:val="bulletpoint"/>
        <w:numPr>
          <w:ilvl w:val="0"/>
          <w:numId w:val="0"/>
        </w:numPr>
        <w:snapToGrid w:val="0"/>
        <w:spacing w:before="240"/>
        <w:ind w:left="1134" w:right="1134"/>
        <w:jc w:val="center"/>
        <w:rPr>
          <w:u w:val="single"/>
        </w:rPr>
      </w:pPr>
      <w:r>
        <w:rPr>
          <w:sz w:val="20"/>
          <w:szCs w:val="20"/>
          <w:u w:val="single"/>
          <w:lang w:val="ru-RU"/>
        </w:rPr>
        <w:tab/>
      </w:r>
      <w:r>
        <w:rPr>
          <w:sz w:val="20"/>
          <w:szCs w:val="20"/>
          <w:u w:val="single"/>
          <w:lang w:val="ru-RU"/>
        </w:rPr>
        <w:tab/>
      </w:r>
      <w:r>
        <w:rPr>
          <w:sz w:val="20"/>
          <w:szCs w:val="20"/>
          <w:u w:val="single"/>
          <w:lang w:val="ru-RU"/>
        </w:rPr>
        <w:tab/>
      </w:r>
    </w:p>
    <w:sectPr w:rsidR="00D51427" w:rsidRPr="00D51427" w:rsidSect="00D5142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E78" w:rsidRPr="00A312BC" w:rsidRDefault="00496E78" w:rsidP="00A312BC"/>
  </w:endnote>
  <w:endnote w:type="continuationSeparator" w:id="0">
    <w:p w:rsidR="00496E78" w:rsidRPr="00A312BC" w:rsidRDefault="00496E7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427" w:rsidRPr="00D51427" w:rsidRDefault="00D51427">
    <w:pPr>
      <w:pStyle w:val="Footer"/>
    </w:pPr>
    <w:r w:rsidRPr="00D51427">
      <w:rPr>
        <w:b/>
        <w:sz w:val="18"/>
      </w:rPr>
      <w:fldChar w:fldCharType="begin"/>
    </w:r>
    <w:r w:rsidRPr="00D51427">
      <w:rPr>
        <w:b/>
        <w:sz w:val="18"/>
      </w:rPr>
      <w:instrText xml:space="preserve"> PAGE  \* MERGEFORMAT </w:instrText>
    </w:r>
    <w:r w:rsidRPr="00D51427">
      <w:rPr>
        <w:b/>
        <w:sz w:val="18"/>
      </w:rPr>
      <w:fldChar w:fldCharType="separate"/>
    </w:r>
    <w:r w:rsidR="00FE587F">
      <w:rPr>
        <w:b/>
        <w:noProof/>
        <w:sz w:val="18"/>
      </w:rPr>
      <w:t>2</w:t>
    </w:r>
    <w:r w:rsidRPr="00D51427">
      <w:rPr>
        <w:b/>
        <w:sz w:val="18"/>
      </w:rPr>
      <w:fldChar w:fldCharType="end"/>
    </w:r>
    <w:r>
      <w:rPr>
        <w:b/>
        <w:sz w:val="18"/>
      </w:rPr>
      <w:tab/>
    </w:r>
    <w:r>
      <w:t>GE.18-19715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427" w:rsidRPr="00D51427" w:rsidRDefault="00D51427" w:rsidP="00D51427">
    <w:pPr>
      <w:pStyle w:val="Footer"/>
      <w:tabs>
        <w:tab w:val="clear" w:pos="9639"/>
        <w:tab w:val="right" w:pos="9638"/>
      </w:tabs>
      <w:rPr>
        <w:b/>
        <w:sz w:val="18"/>
      </w:rPr>
    </w:pPr>
    <w:r>
      <w:t>GE.18-19715</w:t>
    </w:r>
    <w:r>
      <w:tab/>
    </w:r>
    <w:r w:rsidRPr="00D51427">
      <w:rPr>
        <w:b/>
        <w:sz w:val="18"/>
      </w:rPr>
      <w:fldChar w:fldCharType="begin"/>
    </w:r>
    <w:r w:rsidRPr="00D51427">
      <w:rPr>
        <w:b/>
        <w:sz w:val="18"/>
      </w:rPr>
      <w:instrText xml:space="preserve"> PAGE  \* MERGEFORMAT </w:instrText>
    </w:r>
    <w:r w:rsidRPr="00D51427">
      <w:rPr>
        <w:b/>
        <w:sz w:val="18"/>
      </w:rPr>
      <w:fldChar w:fldCharType="separate"/>
    </w:r>
    <w:r w:rsidR="00FE587F">
      <w:rPr>
        <w:b/>
        <w:noProof/>
        <w:sz w:val="18"/>
      </w:rPr>
      <w:t>3</w:t>
    </w:r>
    <w:r w:rsidRPr="00D5142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D51427" w:rsidRDefault="00D51427" w:rsidP="00D51427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18-19715  (R)</w:t>
    </w:r>
    <w:r w:rsidR="00840BB6">
      <w:rPr>
        <w:lang w:val="en-US"/>
      </w:rPr>
      <w:t xml:space="preserve">  221118   221118</w:t>
    </w:r>
    <w:r>
      <w:br/>
    </w:r>
    <w:r w:rsidRPr="00D51427">
      <w:rPr>
        <w:rFonts w:ascii="C39T30Lfz" w:hAnsi="C39T30Lfz"/>
        <w:kern w:val="14"/>
        <w:sz w:val="56"/>
      </w:rPr>
      <w:t></w:t>
    </w:r>
    <w:r w:rsidRPr="00D51427">
      <w:rPr>
        <w:rFonts w:ascii="C39T30Lfz" w:hAnsi="C39T30Lfz"/>
        <w:kern w:val="14"/>
        <w:sz w:val="56"/>
      </w:rPr>
      <w:t></w:t>
    </w:r>
    <w:r w:rsidRPr="00D51427">
      <w:rPr>
        <w:rFonts w:ascii="C39T30Lfz" w:hAnsi="C39T30Lfz"/>
        <w:kern w:val="14"/>
        <w:sz w:val="56"/>
      </w:rPr>
      <w:t></w:t>
    </w:r>
    <w:r w:rsidRPr="00D51427">
      <w:rPr>
        <w:rFonts w:ascii="C39T30Lfz" w:hAnsi="C39T30Lfz"/>
        <w:kern w:val="14"/>
        <w:sz w:val="56"/>
      </w:rPr>
      <w:t></w:t>
    </w:r>
    <w:r w:rsidRPr="00D51427">
      <w:rPr>
        <w:rFonts w:ascii="C39T30Lfz" w:hAnsi="C39T30Lfz"/>
        <w:kern w:val="14"/>
        <w:sz w:val="56"/>
      </w:rPr>
      <w:t></w:t>
    </w:r>
    <w:r w:rsidRPr="00D51427">
      <w:rPr>
        <w:rFonts w:ascii="C39T30Lfz" w:hAnsi="C39T30Lfz"/>
        <w:kern w:val="14"/>
        <w:sz w:val="56"/>
      </w:rPr>
      <w:t></w:t>
    </w:r>
    <w:r w:rsidRPr="00D51427">
      <w:rPr>
        <w:rFonts w:ascii="C39T30Lfz" w:hAnsi="C39T30Lfz"/>
        <w:kern w:val="14"/>
        <w:sz w:val="56"/>
      </w:rPr>
      <w:t></w:t>
    </w:r>
    <w:r w:rsidRPr="00D51427">
      <w:rPr>
        <w:rFonts w:ascii="C39T30Lfz" w:hAnsi="C39T30Lfz"/>
        <w:kern w:val="14"/>
        <w:sz w:val="56"/>
      </w:rPr>
      <w:t></w:t>
    </w:r>
    <w:r w:rsidRPr="00D51427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VA/2019/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VA/2019/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E78" w:rsidRPr="001075E9" w:rsidRDefault="00496E7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96E78" w:rsidRDefault="00496E7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D51427" w:rsidRPr="00995A28" w:rsidRDefault="00D51427" w:rsidP="00D51427">
      <w:pPr>
        <w:pStyle w:val="FootnoteText"/>
      </w:pPr>
      <w:r w:rsidRPr="00995A28">
        <w:rPr>
          <w:rStyle w:val="FootnoteReference"/>
        </w:rPr>
        <w:tab/>
      </w:r>
      <w:r w:rsidRPr="00D51427">
        <w:rPr>
          <w:rStyle w:val="FootnoteReference"/>
          <w:sz w:val="20"/>
          <w:vertAlign w:val="baseline"/>
        </w:rPr>
        <w:t>*</w:t>
      </w:r>
      <w:r w:rsidRPr="00995A28">
        <w:rPr>
          <w:rStyle w:val="FootnoteReference"/>
          <w:sz w:val="20"/>
        </w:rPr>
        <w:tab/>
      </w:r>
      <w:r w:rsidRPr="00995A28">
        <w:t xml:space="preserve">Прежнее название: </w:t>
      </w:r>
      <w:r w:rsidRPr="00995A28">
        <w:rPr>
          <w:b/>
          <w:bCs/>
        </w:rPr>
        <w:t>Рабочая группа по вопросам торможения и ходовой части (</w:t>
      </w:r>
      <w:r w:rsidRPr="004E120D">
        <w:rPr>
          <w:b/>
          <w:bCs/>
        </w:rPr>
        <w:t>GRRF</w:t>
      </w:r>
      <w:r w:rsidRPr="00995A28">
        <w:rPr>
          <w:b/>
          <w:bCs/>
        </w:rPr>
        <w:t>)</w:t>
      </w:r>
      <w:r w:rsidRPr="00995A28">
        <w:t>.</w:t>
      </w:r>
    </w:p>
  </w:footnote>
  <w:footnote w:id="2">
    <w:p w:rsidR="00D51427" w:rsidRPr="00EA475E" w:rsidRDefault="00D51427" w:rsidP="00D51427">
      <w:pPr>
        <w:pStyle w:val="FootnoteText"/>
      </w:pPr>
      <w:r w:rsidRPr="00995A28">
        <w:rPr>
          <w:rStyle w:val="FootnoteReference"/>
        </w:rPr>
        <w:tab/>
      </w:r>
      <w:r w:rsidRPr="00D51427">
        <w:rPr>
          <w:rStyle w:val="FootnoteReference"/>
          <w:sz w:val="20"/>
          <w:vertAlign w:val="baseline"/>
        </w:rPr>
        <w:t>**</w:t>
      </w:r>
      <w:r w:rsidRPr="00DF2A47">
        <w:tab/>
        <w:t>В соответствии с программой работы Комитета по внутреннему транспорту на 2018–2019 годы (</w:t>
      </w:r>
      <w:r>
        <w:t>ECE</w:t>
      </w:r>
      <w:r w:rsidRPr="00DF2A47">
        <w:t>/</w:t>
      </w:r>
      <w:r>
        <w:t>TRANS</w:t>
      </w:r>
      <w:r w:rsidRPr="00DF2A47">
        <w:t xml:space="preserve">/274, пункт 123, и </w:t>
      </w:r>
      <w:r>
        <w:rPr>
          <w:szCs w:val="18"/>
          <w:lang w:val="en-US"/>
        </w:rPr>
        <w:t>ECE</w:t>
      </w:r>
      <w:r w:rsidRPr="00DF2A47">
        <w:rPr>
          <w:szCs w:val="18"/>
        </w:rPr>
        <w:t>/</w:t>
      </w:r>
      <w:r>
        <w:rPr>
          <w:szCs w:val="18"/>
          <w:lang w:val="en-US"/>
        </w:rPr>
        <w:t>TRANS</w:t>
      </w:r>
      <w:r w:rsidRPr="00DF2A47">
        <w:rPr>
          <w:szCs w:val="18"/>
        </w:rPr>
        <w:t>/2018/21/</w:t>
      </w:r>
      <w:r>
        <w:rPr>
          <w:szCs w:val="18"/>
          <w:lang w:val="en-US"/>
        </w:rPr>
        <w:t>Add</w:t>
      </w:r>
      <w:r w:rsidRPr="00DF2A47">
        <w:rPr>
          <w:szCs w:val="18"/>
        </w:rPr>
        <w:t>.1</w:t>
      </w:r>
      <w:r w:rsidRPr="00DF2A47">
        <w:t xml:space="preserve">, направление деятельности 3) Всемирный форум будет разрабатывать, согласовывать и обновлять правила ООН в целях улучшения характеристик транспортных средств. </w:t>
      </w:r>
      <w: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427" w:rsidRPr="00D51427" w:rsidRDefault="00FE587F">
    <w:pPr>
      <w:pStyle w:val="Header"/>
    </w:pPr>
    <w:fldSimple w:instr=" TITLE  \* MERGEFORMAT ">
      <w:r>
        <w:t>ECE/TRANS/WP.29/GRVA/2019/7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427" w:rsidRPr="00D51427" w:rsidRDefault="00FE587F" w:rsidP="00D51427">
    <w:pPr>
      <w:pStyle w:val="Header"/>
      <w:jc w:val="right"/>
    </w:pPr>
    <w:fldSimple w:instr=" TITLE  \* MERGEFORMAT ">
      <w:r>
        <w:t>ECE/TRANS/WP.29/GRVA/2019/7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A545D7C"/>
    <w:multiLevelType w:val="hybridMultilevel"/>
    <w:tmpl w:val="54CA200E"/>
    <w:lvl w:ilvl="0" w:tplc="12B4FDB8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19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4"/>
  </w:num>
  <w:num w:numId="18">
    <w:abstractNumId w:val="16"/>
  </w:num>
  <w:num w:numId="19">
    <w:abstractNumId w:val="17"/>
  </w:num>
  <w:num w:numId="20">
    <w:abstractNumId w:val="14"/>
  </w:num>
  <w:num w:numId="21">
    <w:abstractNumId w:val="16"/>
  </w:num>
  <w:num w:numId="22">
    <w:abstractNumId w:val="1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3">
    <w:abstractNumId w:val="11"/>
  </w:num>
  <w:num w:numId="24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E7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45A77"/>
    <w:rsid w:val="00180183"/>
    <w:rsid w:val="0018024D"/>
    <w:rsid w:val="0018649F"/>
    <w:rsid w:val="00196389"/>
    <w:rsid w:val="001B3EF6"/>
    <w:rsid w:val="001C7A89"/>
    <w:rsid w:val="00207B40"/>
    <w:rsid w:val="00255343"/>
    <w:rsid w:val="0027151D"/>
    <w:rsid w:val="002A2EFC"/>
    <w:rsid w:val="002A393F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0B4F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F7E72"/>
    <w:rsid w:val="00407B78"/>
    <w:rsid w:val="00424203"/>
    <w:rsid w:val="00452493"/>
    <w:rsid w:val="00453318"/>
    <w:rsid w:val="00454AF2"/>
    <w:rsid w:val="00454E07"/>
    <w:rsid w:val="00472C5C"/>
    <w:rsid w:val="00496E78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40BB6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10B2"/>
    <w:rsid w:val="00B62458"/>
    <w:rsid w:val="00B945C7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1427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  <w:rsid w:val="00FE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05BD950-E754-4598-9319-C3CA3188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D51427"/>
    <w:rPr>
      <w:lang w:val="ru-RU" w:eastAsia="en-US"/>
    </w:rPr>
  </w:style>
  <w:style w:type="paragraph" w:customStyle="1" w:styleId="Level1">
    <w:name w:val="Level 1"/>
    <w:basedOn w:val="Normal"/>
    <w:rsid w:val="00D51427"/>
    <w:pPr>
      <w:widowControl w:val="0"/>
      <w:numPr>
        <w:numId w:val="22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eastAsiaTheme="minorEastAsia" w:hAnsi="Courier New" w:cs="Times New Roman"/>
      <w:szCs w:val="20"/>
      <w:lang w:val="en-US" w:eastAsia="it-IT"/>
    </w:rPr>
  </w:style>
  <w:style w:type="character" w:customStyle="1" w:styleId="HChGChar">
    <w:name w:val="_ H _Ch_G Char"/>
    <w:link w:val="HChG"/>
    <w:rsid w:val="00D51427"/>
    <w:rPr>
      <w:b/>
      <w:sz w:val="28"/>
      <w:lang w:val="ru-RU" w:eastAsia="ru-RU"/>
    </w:rPr>
  </w:style>
  <w:style w:type="paragraph" w:customStyle="1" w:styleId="bulletpoint">
    <w:name w:val="bullet point"/>
    <w:basedOn w:val="ListParagraph"/>
    <w:link w:val="bulletpointChar"/>
    <w:qFormat/>
    <w:rsid w:val="00D51427"/>
    <w:pPr>
      <w:numPr>
        <w:numId w:val="23"/>
      </w:numPr>
      <w:suppressAutoHyphens w:val="0"/>
      <w:spacing w:line="240" w:lineRule="auto"/>
      <w:contextualSpacing w:val="0"/>
      <w:jc w:val="both"/>
    </w:pPr>
    <w:rPr>
      <w:rFonts w:eastAsia="MS Mincho" w:cs="Times New Roman"/>
      <w:sz w:val="24"/>
      <w:szCs w:val="24"/>
      <w:lang w:val="en-US" w:eastAsia="ja-JP"/>
    </w:rPr>
  </w:style>
  <w:style w:type="character" w:customStyle="1" w:styleId="bulletpointChar">
    <w:name w:val="bullet point Char"/>
    <w:link w:val="bulletpoint"/>
    <w:rsid w:val="00D51427"/>
    <w:rPr>
      <w:rFonts w:eastAsia="MS Mincho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rsid w:val="00D51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ECE/TRANS/WP.29/GRVA/2019/7</vt:lpstr>
      <vt:lpstr>ECE/TRANS/WP.29/GRVA/2019/7</vt:lpstr>
      <vt:lpstr>A/</vt:lpstr>
    </vt:vector>
  </TitlesOfParts>
  <Company>DCM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ECE/TRANS/WP.29/GRVA/2019/7</dc:title>
  <dc:subject/>
  <dc:creator>Svetlana PROKOUDINA</dc:creator>
  <cp:keywords/>
  <cp:lastModifiedBy>Benedicte Boudol</cp:lastModifiedBy>
  <cp:revision>2</cp:revision>
  <cp:lastPrinted>2018-11-22T13:38:00Z</cp:lastPrinted>
  <dcterms:created xsi:type="dcterms:W3CDTF">2018-12-10T09:06:00Z</dcterms:created>
  <dcterms:modified xsi:type="dcterms:W3CDTF">2018-12-10T09:06:00Z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