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E9" w:rsidRPr="008F6099" w:rsidRDefault="00D211E9" w:rsidP="00D211E9">
      <w:pPr>
        <w:pStyle w:val="HChG"/>
        <w:rPr>
          <w:lang w:val="en-US"/>
        </w:rPr>
      </w:pPr>
      <w:r>
        <w:tab/>
      </w:r>
      <w:r>
        <w:tab/>
      </w:r>
      <w:r w:rsidR="00D45C1C" w:rsidRPr="00987619">
        <w:t xml:space="preserve">Proposal for </w:t>
      </w:r>
      <w:r w:rsidR="00D45C1C" w:rsidRPr="00987619">
        <w:rPr>
          <w:bCs/>
        </w:rPr>
        <w:t xml:space="preserve">the 10 series of amendments to UN Regulation No. 17 </w:t>
      </w:r>
      <w:r w:rsidR="00D45C1C" w:rsidRPr="00987619">
        <w:t>(Strength of seats)</w:t>
      </w:r>
    </w:p>
    <w:p w:rsidR="00D211E9" w:rsidRPr="00166E9C" w:rsidRDefault="00136304" w:rsidP="00D211E9">
      <w:pPr>
        <w:pStyle w:val="SingleTxtG"/>
        <w:ind w:firstLine="567"/>
        <w:rPr>
          <w:lang w:val="en-US"/>
        </w:rPr>
      </w:pPr>
      <w:r w:rsidRPr="00FD746E">
        <w:rPr>
          <w:snapToGrid w:val="0"/>
        </w:rPr>
        <w:t>The text reproduced b</w:t>
      </w:r>
      <w:r>
        <w:rPr>
          <w:snapToGrid w:val="0"/>
        </w:rPr>
        <w:t xml:space="preserve">elow was prepared by the expert from </w:t>
      </w:r>
      <w:r w:rsidR="00E0531A">
        <w:rPr>
          <w:iCs/>
        </w:rPr>
        <w:t>CLEPA</w:t>
      </w:r>
      <w:r w:rsidR="000D2A2C">
        <w:rPr>
          <w:iCs/>
        </w:rPr>
        <w:t xml:space="preserve"> </w:t>
      </w:r>
      <w:r>
        <w:t xml:space="preserve">aimed </w:t>
      </w:r>
      <w:r w:rsidR="000D2A2C">
        <w:t xml:space="preserve">to </w:t>
      </w:r>
      <w:r w:rsidR="00A226B1">
        <w:t xml:space="preserve">amend the proposal </w:t>
      </w:r>
      <w:r w:rsidR="00095FAD">
        <w:t xml:space="preserve">of </w:t>
      </w:r>
      <w:r w:rsidR="00D45C1C">
        <w:t xml:space="preserve">10 series of amendments to UN Regulation No. 17 from Japan ECE/TRANS/WP.29/GRSP/2019/27. </w:t>
      </w:r>
      <w:r w:rsidR="00656065">
        <w:t>This</w:t>
      </w:r>
      <w:r w:rsidR="00B37C56">
        <w:t xml:space="preserve"> document </w:t>
      </w:r>
      <w:r w:rsidR="00A226B1">
        <w:t>updat</w:t>
      </w:r>
      <w:r w:rsidR="00656065">
        <w:t>es</w:t>
      </w:r>
      <w:r w:rsidR="00A226B1">
        <w:t xml:space="preserve"> formal document ECE/TRANS/WP.29/GRSP/2019/</w:t>
      </w:r>
      <w:r w:rsidR="00D45C1C">
        <w:t>9</w:t>
      </w:r>
      <w:r w:rsidR="00A226B1">
        <w:t xml:space="preserve"> from </w:t>
      </w:r>
      <w:proofErr w:type="spellStart"/>
      <w:r w:rsidR="00A226B1">
        <w:t>Clepa</w:t>
      </w:r>
      <w:proofErr w:type="spellEnd"/>
      <w:r w:rsidR="00656065">
        <w:t xml:space="preserve">. </w:t>
      </w:r>
      <w:r>
        <w:t xml:space="preserve">The modifications to the text of the UN Regulation </w:t>
      </w:r>
      <w:r w:rsidRPr="00B102FE">
        <w:t xml:space="preserve">are marked in bold </w:t>
      </w:r>
      <w:r>
        <w:t xml:space="preserve">for new </w:t>
      </w:r>
      <w:r w:rsidRPr="00B102FE">
        <w:t xml:space="preserve">or strikethrough </w:t>
      </w:r>
      <w:r>
        <w:t>for deleted characters</w:t>
      </w:r>
      <w:r w:rsidR="00D211E9" w:rsidRPr="00B102FE">
        <w:t>.</w:t>
      </w:r>
    </w:p>
    <w:p w:rsidR="00136304" w:rsidRPr="00790191" w:rsidRDefault="00136304" w:rsidP="00790191">
      <w:pPr>
        <w:pStyle w:val="HChG"/>
        <w:rPr>
          <w:bCs/>
        </w:rPr>
      </w:pPr>
      <w:r w:rsidRPr="00790191">
        <w:rPr>
          <w:bCs/>
        </w:rPr>
        <w:tab/>
        <w:t>I.</w:t>
      </w:r>
      <w:r w:rsidRPr="00790191">
        <w:rPr>
          <w:bCs/>
        </w:rPr>
        <w:tab/>
        <w:t>Proposal</w:t>
      </w:r>
    </w:p>
    <w:p w:rsidR="00436C88" w:rsidRPr="00D45C1C" w:rsidRDefault="00436C88" w:rsidP="00436C88">
      <w:pPr>
        <w:pStyle w:val="SingleTxtG"/>
        <w:rPr>
          <w:iCs/>
          <w:color w:val="000000"/>
        </w:rPr>
      </w:pPr>
      <w:r w:rsidRPr="00D45C1C">
        <w:rPr>
          <w:i/>
          <w:color w:val="000000"/>
        </w:rPr>
        <w:t xml:space="preserve">Paragraph </w:t>
      </w:r>
      <w:r>
        <w:rPr>
          <w:i/>
          <w:color w:val="000000"/>
        </w:rPr>
        <w:t>2.29</w:t>
      </w:r>
      <w:r w:rsidRPr="00D45C1C">
        <w:rPr>
          <w:iCs/>
          <w:color w:val="000000"/>
        </w:rPr>
        <w:t>., amend to read:</w:t>
      </w:r>
    </w:p>
    <w:p w:rsidR="00436C88" w:rsidRPr="00EC589B" w:rsidRDefault="00436C88" w:rsidP="00436C88">
      <w:pPr>
        <w:pStyle w:val="SingleTxtG"/>
        <w:ind w:left="2268" w:hanging="1134"/>
        <w:rPr>
          <w:rStyle w:val="shorttext"/>
          <w:rFonts w:eastAsia="Meiryo UI"/>
          <w:bCs/>
        </w:rPr>
      </w:pPr>
      <w:bookmarkStart w:id="0" w:name="_Hlk26813954"/>
      <w:r w:rsidRPr="00436C88">
        <w:t>2.29.</w:t>
      </w:r>
      <w:r w:rsidRPr="00EC589B">
        <w:rPr>
          <w:bCs/>
        </w:rPr>
        <w:tab/>
      </w:r>
      <w:r w:rsidRPr="00436C88">
        <w:rPr>
          <w:bCs/>
        </w:rPr>
        <w:t>"</w:t>
      </w:r>
      <w:r w:rsidRPr="00436C88">
        <w:rPr>
          <w:bCs/>
          <w:i/>
          <w:iCs/>
        </w:rPr>
        <w:t>Side bolster</w:t>
      </w:r>
      <w:r w:rsidRPr="00436C88">
        <w:rPr>
          <w:bCs/>
        </w:rPr>
        <w:t xml:space="preserve">" </w:t>
      </w:r>
      <w:r w:rsidRPr="00436C88">
        <w:rPr>
          <w:rFonts w:eastAsia="Meiryo UI"/>
          <w:bCs/>
        </w:rPr>
        <w:t>means</w:t>
      </w:r>
      <w:r w:rsidRPr="00436C88">
        <w:rPr>
          <w:rStyle w:val="shorttext"/>
          <w:rFonts w:eastAsia="Meiryo UI"/>
          <w:bCs/>
        </w:rPr>
        <w:t xml:space="preserve"> </w:t>
      </w:r>
      <w:r w:rsidRPr="005B5E52">
        <w:rPr>
          <w:rStyle w:val="shorttext"/>
          <w:rFonts w:eastAsia="Meiryo UI"/>
          <w:bCs/>
          <w:strike/>
        </w:rPr>
        <w:t>adjustable</w:t>
      </w:r>
      <w:r w:rsidRPr="00436C88">
        <w:rPr>
          <w:rStyle w:val="shorttext"/>
          <w:rFonts w:eastAsia="Meiryo UI"/>
          <w:bCs/>
        </w:rPr>
        <w:t xml:space="preserve"> seat elements on the sides of the seat cushion and / or of the seat back to allow lateral retention of the occupant.</w:t>
      </w:r>
    </w:p>
    <w:bookmarkEnd w:id="0"/>
    <w:p w:rsidR="00D45C1C" w:rsidRPr="00D45C1C" w:rsidRDefault="00D45C1C" w:rsidP="00D45C1C">
      <w:pPr>
        <w:pStyle w:val="SingleTxtG"/>
        <w:rPr>
          <w:iCs/>
          <w:color w:val="000000"/>
        </w:rPr>
      </w:pPr>
      <w:r w:rsidRPr="00D45C1C">
        <w:rPr>
          <w:i/>
          <w:color w:val="000000"/>
        </w:rPr>
        <w:t>Paragraph 5.2.7</w:t>
      </w:r>
      <w:r w:rsidRPr="00D45C1C">
        <w:rPr>
          <w:iCs/>
          <w:color w:val="000000"/>
        </w:rPr>
        <w:t>., amend to read:</w:t>
      </w:r>
    </w:p>
    <w:p w:rsidR="00D45C1C" w:rsidRPr="00D45C1C" w:rsidRDefault="00D45C1C" w:rsidP="00D45C1C">
      <w:pPr>
        <w:suppressAutoHyphens w:val="0"/>
        <w:spacing w:after="120"/>
        <w:ind w:left="2268" w:right="1134" w:hanging="1134"/>
        <w:jc w:val="both"/>
        <w:rPr>
          <w:snapToGrid w:val="0"/>
          <w:color w:val="000000"/>
        </w:rPr>
      </w:pPr>
      <w:r w:rsidRPr="00D45C1C">
        <w:rPr>
          <w:snapToGrid w:val="0"/>
          <w:color w:val="000000"/>
        </w:rPr>
        <w:t>"5.2.7.</w:t>
      </w:r>
      <w:r w:rsidRPr="00D45C1C">
        <w:rPr>
          <w:snapToGrid w:val="0"/>
          <w:color w:val="000000"/>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D45C1C" w:rsidRPr="00D45C1C" w:rsidRDefault="00D45C1C" w:rsidP="00D45C1C">
      <w:pPr>
        <w:suppressAutoHyphens w:val="0"/>
        <w:spacing w:after="120"/>
        <w:ind w:left="2268" w:right="1134" w:hanging="1134"/>
        <w:jc w:val="both"/>
        <w:rPr>
          <w:snapToGrid w:val="0"/>
          <w:color w:val="000000"/>
        </w:rPr>
      </w:pPr>
      <w:r w:rsidRPr="00D45C1C">
        <w:rPr>
          <w:snapToGrid w:val="0"/>
          <w:color w:val="000000"/>
        </w:rPr>
        <w:tab/>
        <w:t>Any other displacement systems, as well as adjustment systems and their locking systems are not required to be in working order.</w:t>
      </w:r>
    </w:p>
    <w:p w:rsidR="00D45C1C" w:rsidRPr="00D45C1C" w:rsidRDefault="00D45C1C" w:rsidP="00D45C1C">
      <w:pPr>
        <w:suppressAutoHyphens w:val="0"/>
        <w:spacing w:after="120"/>
        <w:ind w:left="2268" w:right="1134" w:hanging="1134"/>
        <w:jc w:val="both"/>
        <w:rPr>
          <w:snapToGrid w:val="0"/>
          <w:color w:val="000000"/>
        </w:rPr>
      </w:pPr>
      <w:r w:rsidRPr="00D45C1C">
        <w:rPr>
          <w:snapToGrid w:val="0"/>
          <w:color w:val="000000"/>
        </w:rPr>
        <w:tab/>
        <w:t xml:space="preserve">In the case of seats provided with head restraints, the strength of the seat-back and of its locking devices is deemed to meet the requirements set out in paragraph 6.2. when, after testing in accordance with paragraph </w:t>
      </w:r>
      <w:r w:rsidRPr="00D45C1C">
        <w:rPr>
          <w:bCs/>
          <w:snapToGrid w:val="0"/>
          <w:color w:val="000000"/>
        </w:rPr>
        <w:t>Annex 5</w:t>
      </w:r>
      <w:r w:rsidRPr="00D45C1C">
        <w:rPr>
          <w:snapToGrid w:val="0"/>
          <w:color w:val="000000"/>
        </w:rPr>
        <w:t xml:space="preserve"> below, no breakage of the seat or seat</w:t>
      </w:r>
      <w:r w:rsidRPr="00D45C1C">
        <w:rPr>
          <w:snapToGrid w:val="0"/>
          <w:color w:val="000000"/>
        </w:rPr>
        <w:noBreakHyphen/>
        <w:t xml:space="preserve">back has occurred: otherwise, it shall be shown that the seat </w:t>
      </w:r>
      <w:proofErr w:type="gramStart"/>
      <w:r w:rsidRPr="00D45C1C">
        <w:rPr>
          <w:snapToGrid w:val="0"/>
          <w:color w:val="000000"/>
        </w:rPr>
        <w:t>is capable of meeting</w:t>
      </w:r>
      <w:proofErr w:type="gramEnd"/>
      <w:r w:rsidRPr="00D45C1C">
        <w:rPr>
          <w:snapToGrid w:val="0"/>
          <w:color w:val="000000"/>
        </w:rPr>
        <w:t xml:space="preserve"> the test requirements set out in paragraph 6.2. below.</w:t>
      </w:r>
    </w:p>
    <w:p w:rsidR="00D45C1C" w:rsidRPr="00D45C1C" w:rsidRDefault="00D45C1C" w:rsidP="00D45C1C">
      <w:pPr>
        <w:suppressAutoHyphens w:val="0"/>
        <w:spacing w:after="120"/>
        <w:ind w:left="2268" w:right="1134" w:hanging="1134"/>
        <w:jc w:val="both"/>
        <w:rPr>
          <w:bCs/>
          <w:snapToGrid w:val="0"/>
          <w:color w:val="000000"/>
        </w:rPr>
      </w:pPr>
      <w:r w:rsidRPr="00D45C1C">
        <w:rPr>
          <w:snapToGrid w:val="0"/>
          <w:color w:val="000000"/>
        </w:rPr>
        <w:tab/>
      </w:r>
      <w:bookmarkStart w:id="1" w:name="OLE_LINK1"/>
      <w:r w:rsidRPr="00D45C1C">
        <w:rPr>
          <w:snapToGrid w:val="0"/>
          <w:color w:val="000000"/>
        </w:rPr>
        <w:t xml:space="preserve">In the case of seats (benches) with more places to sit than head restraints </w:t>
      </w:r>
      <w:r w:rsidRPr="00D45C1C">
        <w:rPr>
          <w:bCs/>
          <w:snapToGrid w:val="0"/>
          <w:color w:val="000000"/>
        </w:rPr>
        <w:t xml:space="preserve">and in case the manufacturer chooses not to apply 53 </w:t>
      </w:r>
      <w:proofErr w:type="spellStart"/>
      <w:r w:rsidRPr="00D45C1C">
        <w:rPr>
          <w:bCs/>
          <w:snapToGrid w:val="0"/>
          <w:color w:val="000000"/>
        </w:rPr>
        <w:t>daNm</w:t>
      </w:r>
      <w:proofErr w:type="spellEnd"/>
      <w:r w:rsidRPr="00D45C1C">
        <w:rPr>
          <w:bCs/>
          <w:snapToGrid w:val="0"/>
          <w:color w:val="000000"/>
        </w:rPr>
        <w:t xml:space="preserve"> during the test of paragraph</w:t>
      </w:r>
      <w:r w:rsidRPr="00D45C1C">
        <w:rPr>
          <w:bCs/>
          <w:strike/>
          <w:snapToGrid w:val="0"/>
          <w:color w:val="000000"/>
        </w:rPr>
        <w:t xml:space="preserve"> </w:t>
      </w:r>
      <w:r w:rsidR="002D021C" w:rsidRPr="002D021C">
        <w:rPr>
          <w:b/>
          <w:strike/>
          <w:snapToGrid w:val="0"/>
          <w:color w:val="000000"/>
        </w:rPr>
        <w:t>2.4</w:t>
      </w:r>
      <w:r w:rsidRPr="00D45C1C">
        <w:rPr>
          <w:bCs/>
          <w:strike/>
          <w:snapToGrid w:val="0"/>
          <w:color w:val="000000"/>
        </w:rPr>
        <w:t xml:space="preserve"> </w:t>
      </w:r>
      <w:r w:rsidRPr="00D45C1C">
        <w:rPr>
          <w:b/>
          <w:snapToGrid w:val="0"/>
          <w:color w:val="000000"/>
        </w:rPr>
        <w:t xml:space="preserve">3.1. </w:t>
      </w:r>
      <w:r w:rsidRPr="00D45C1C">
        <w:rPr>
          <w:bCs/>
          <w:snapToGrid w:val="0"/>
          <w:color w:val="000000"/>
        </w:rPr>
        <w:t>of Annex 5, the seat back strength test of para. 6.2</w:t>
      </w:r>
      <w:r w:rsidRPr="00D45C1C">
        <w:rPr>
          <w:b/>
          <w:snapToGrid w:val="0"/>
          <w:color w:val="000000"/>
        </w:rPr>
        <w:t xml:space="preserve"> </w:t>
      </w:r>
      <w:proofErr w:type="gramStart"/>
      <w:r w:rsidRPr="00D45C1C">
        <w:rPr>
          <w:bCs/>
          <w:snapToGrid w:val="0"/>
          <w:color w:val="000000"/>
        </w:rPr>
        <w:t>has to</w:t>
      </w:r>
      <w:proofErr w:type="gramEnd"/>
      <w:r w:rsidRPr="00D45C1C">
        <w:rPr>
          <w:bCs/>
          <w:snapToGrid w:val="0"/>
          <w:color w:val="000000"/>
        </w:rPr>
        <w:t xml:space="preserve"> be performed in addition to the test of para. </w:t>
      </w:r>
      <w:r w:rsidR="002D021C" w:rsidRPr="002D021C">
        <w:rPr>
          <w:b/>
          <w:strike/>
          <w:snapToGrid w:val="0"/>
          <w:color w:val="000000"/>
        </w:rPr>
        <w:t>2.4.</w:t>
      </w:r>
      <w:r w:rsidRPr="00D45C1C">
        <w:rPr>
          <w:b/>
          <w:strike/>
          <w:snapToGrid w:val="0"/>
          <w:color w:val="000000"/>
        </w:rPr>
        <w:t xml:space="preserve"> </w:t>
      </w:r>
      <w:r w:rsidRPr="00D45C1C">
        <w:rPr>
          <w:b/>
          <w:snapToGrid w:val="0"/>
          <w:color w:val="000000"/>
        </w:rPr>
        <w:t xml:space="preserve">3.1. </w:t>
      </w:r>
      <w:r w:rsidRPr="00D45C1C">
        <w:rPr>
          <w:bCs/>
          <w:snapToGrid w:val="0"/>
          <w:color w:val="000000"/>
        </w:rPr>
        <w:t>of Annex 5."</w:t>
      </w:r>
      <w:bookmarkEnd w:id="1"/>
    </w:p>
    <w:p w:rsidR="00D45C1C" w:rsidRPr="00D45C1C" w:rsidRDefault="00D45C1C" w:rsidP="00D45C1C">
      <w:pPr>
        <w:pStyle w:val="SingleTxtG"/>
        <w:rPr>
          <w:color w:val="000000"/>
        </w:rPr>
      </w:pPr>
      <w:r w:rsidRPr="00D45C1C">
        <w:rPr>
          <w:i/>
          <w:color w:val="000000"/>
        </w:rPr>
        <w:t>Paragraph 5.6.4., amend to read:</w:t>
      </w:r>
    </w:p>
    <w:p w:rsidR="00D45C1C" w:rsidRPr="00D45C1C" w:rsidRDefault="00D45C1C" w:rsidP="00D45C1C">
      <w:pPr>
        <w:pStyle w:val="SingleTxtG"/>
        <w:ind w:left="2259" w:hanging="1125"/>
        <w:rPr>
          <w:bCs/>
          <w:color w:val="000000"/>
          <w:lang w:eastAsia="zh-CN"/>
        </w:rPr>
      </w:pPr>
      <w:r w:rsidRPr="00D45C1C">
        <w:rPr>
          <w:bCs/>
          <w:color w:val="000000"/>
          <w:lang w:eastAsia="zh-CN"/>
        </w:rPr>
        <w:t>"5.6.4.</w:t>
      </w:r>
      <w:r w:rsidRPr="00D45C1C">
        <w:rPr>
          <w:bCs/>
          <w:color w:val="000000"/>
          <w:lang w:eastAsia="zh-CN"/>
        </w:rPr>
        <w:tab/>
        <w:t>Gaps within head restraint</w:t>
      </w:r>
    </w:p>
    <w:p w:rsidR="00D45C1C" w:rsidRPr="00D45C1C" w:rsidRDefault="00D45C1C" w:rsidP="00D45C1C">
      <w:pPr>
        <w:pStyle w:val="SingleTxtG"/>
        <w:ind w:left="2259" w:hanging="1125"/>
        <w:rPr>
          <w:bCs/>
          <w:color w:val="000000"/>
          <w:lang w:eastAsia="zh-CN"/>
        </w:rPr>
      </w:pPr>
      <w:r w:rsidRPr="00D45C1C">
        <w:rPr>
          <w:bCs/>
          <w:color w:val="000000"/>
          <w:lang w:eastAsia="zh-CN"/>
        </w:rPr>
        <w:tab/>
        <w:t>If a head restraint has any gap greater than 60 mm, when measured in accordance with Annex 8, the maximum rearward displacement of the head form shall be less than 102 mm when the head restraint is tested at that gap in accordance with Annex 5.</w:t>
      </w:r>
    </w:p>
    <w:p w:rsidR="00D45C1C" w:rsidRPr="00D45C1C" w:rsidRDefault="00D45C1C" w:rsidP="00D45C1C">
      <w:pPr>
        <w:pStyle w:val="SingleTxtG"/>
        <w:ind w:left="2259" w:hanging="1125"/>
        <w:rPr>
          <w:b/>
          <w:color w:val="000000"/>
          <w:lang w:eastAsia="zh-CN"/>
        </w:rPr>
      </w:pPr>
      <w:r w:rsidRPr="00D45C1C">
        <w:rPr>
          <w:bCs/>
          <w:color w:val="000000"/>
          <w:lang w:eastAsia="zh-CN"/>
        </w:rPr>
        <w:tab/>
      </w:r>
      <w:r w:rsidRPr="00D45C1C">
        <w:rPr>
          <w:b/>
          <w:color w:val="000000"/>
          <w:lang w:eastAsia="zh-CN"/>
        </w:rPr>
        <w:t>In the case of head restraints integral with the seat‑back, the area to be considered is:</w:t>
      </w:r>
    </w:p>
    <w:p w:rsidR="00D45C1C" w:rsidRPr="00D45C1C" w:rsidRDefault="00D45C1C" w:rsidP="00D45C1C">
      <w:pPr>
        <w:pStyle w:val="SingleTxtG"/>
        <w:ind w:left="2259"/>
        <w:rPr>
          <w:bCs/>
          <w:color w:val="000000"/>
          <w:lang w:eastAsia="zh-CN"/>
        </w:rPr>
      </w:pPr>
      <w:r w:rsidRPr="00D45C1C">
        <w:rPr>
          <w:b/>
          <w:color w:val="000000"/>
          <w:lang w:eastAsia="zh-CN"/>
        </w:rPr>
        <w:t>Above a plane perpendicular to the reference line at 540 mm from the R</w:t>
      </w:r>
      <w:r w:rsidR="000926FA">
        <w:rPr>
          <w:b/>
          <w:color w:val="000000"/>
          <w:lang w:eastAsia="zh-CN"/>
        </w:rPr>
        <w:t>-</w:t>
      </w:r>
      <w:r w:rsidRPr="00D45C1C">
        <w:rPr>
          <w:b/>
          <w:color w:val="000000"/>
          <w:lang w:eastAsia="zh-CN"/>
        </w:rPr>
        <w:t>point and between two vertical longitudinal planes passing at 85 mm on either side of the reference line</w:t>
      </w:r>
      <w:r w:rsidRPr="00D45C1C">
        <w:rPr>
          <w:bCs/>
          <w:color w:val="000000"/>
          <w:lang w:eastAsia="zh-CN"/>
        </w:rPr>
        <w:t>."</w:t>
      </w:r>
    </w:p>
    <w:p w:rsidR="0050107E" w:rsidRDefault="0050107E" w:rsidP="00436C88">
      <w:pPr>
        <w:pStyle w:val="SingleTxtG"/>
        <w:rPr>
          <w:i/>
          <w:color w:val="000000"/>
        </w:rPr>
      </w:pPr>
    </w:p>
    <w:p w:rsidR="00436C88" w:rsidRPr="00436C88" w:rsidRDefault="00436C88" w:rsidP="00436C88">
      <w:pPr>
        <w:pStyle w:val="SingleTxtG"/>
        <w:rPr>
          <w:color w:val="000000"/>
        </w:rPr>
      </w:pPr>
      <w:r w:rsidRPr="00D45C1C">
        <w:rPr>
          <w:i/>
          <w:color w:val="000000"/>
        </w:rPr>
        <w:lastRenderedPageBreak/>
        <w:t>Paragraph 5.8.</w:t>
      </w:r>
      <w:r w:rsidR="0050107E">
        <w:rPr>
          <w:i/>
          <w:color w:val="000000"/>
        </w:rPr>
        <w:t>3</w:t>
      </w:r>
      <w:r w:rsidRPr="00D45C1C">
        <w:rPr>
          <w:i/>
          <w:color w:val="000000"/>
        </w:rPr>
        <w:t>., amend to read:</w:t>
      </w:r>
    </w:p>
    <w:p w:rsidR="0050107E" w:rsidRPr="0050107E" w:rsidRDefault="00E145B8" w:rsidP="0050107E">
      <w:pPr>
        <w:pStyle w:val="SingleTxtG"/>
        <w:ind w:left="2259" w:hanging="1125"/>
        <w:rPr>
          <w:bCs/>
        </w:rPr>
      </w:pPr>
      <w:r>
        <w:rPr>
          <w:bCs/>
          <w:lang w:eastAsia="zh-CN"/>
        </w:rPr>
        <w:t xml:space="preserve">5.8.3. </w:t>
      </w:r>
      <w:r w:rsidR="0050107E">
        <w:rPr>
          <w:bCs/>
          <w:lang w:eastAsia="zh-CN"/>
        </w:rPr>
        <w:tab/>
      </w:r>
      <w:r w:rsidR="0050107E" w:rsidRPr="0050107E">
        <w:rPr>
          <w:bCs/>
          <w:lang w:eastAsia="zh-CN"/>
        </w:rPr>
        <w:t>All rear head restraints and any front centre head restraint may be adjusted to a position at which its height does not comply with the requirements of paragraphs 5.6.2.2., 5.6.2.4. or 5.6.2.6. of this Regulation.  However, in any such position, the head restraint shall also meet one additional requirement from a set of several alternative test requirements.</w:t>
      </w:r>
    </w:p>
    <w:p w:rsidR="0050107E" w:rsidRPr="0050107E" w:rsidRDefault="0050107E" w:rsidP="0050107E">
      <w:pPr>
        <w:pStyle w:val="SingleTxtG"/>
        <w:ind w:left="2259"/>
        <w:rPr>
          <w:bCs/>
          <w:lang w:eastAsia="zh-CN"/>
        </w:rPr>
      </w:pPr>
      <w:r w:rsidRPr="0050107E">
        <w:rPr>
          <w:bCs/>
          <w:lang w:eastAsia="zh-CN"/>
        </w:rPr>
        <w:t xml:space="preserve">The set of alternative test requirements may be, at the choice of the manufacturer, either paragraph 5.8.4.1. or paragraph 5.8.4.2. or paragraph 5.8.4.3. or paragraph 5.8.4.4. </w:t>
      </w:r>
      <w:r w:rsidRPr="0050107E">
        <w:rPr>
          <w:b/>
          <w:lang w:eastAsia="zh-CN"/>
        </w:rPr>
        <w:t>or paragraph 5.8.4.5.</w:t>
      </w:r>
      <w:r w:rsidRPr="0050107E">
        <w:rPr>
          <w:bCs/>
          <w:lang w:eastAsia="zh-CN"/>
        </w:rPr>
        <w:t xml:space="preserve"> of this Regulation.</w:t>
      </w:r>
    </w:p>
    <w:p w:rsidR="00436C88" w:rsidRDefault="00436C88" w:rsidP="00D45C1C">
      <w:pPr>
        <w:pStyle w:val="SingleTxtG"/>
        <w:rPr>
          <w:i/>
          <w:color w:val="000000"/>
        </w:rPr>
      </w:pPr>
    </w:p>
    <w:p w:rsidR="00D45C1C" w:rsidRPr="00D45C1C" w:rsidRDefault="00D45C1C" w:rsidP="00D45C1C">
      <w:pPr>
        <w:pStyle w:val="SingleTxtG"/>
        <w:rPr>
          <w:color w:val="000000"/>
        </w:rPr>
      </w:pPr>
      <w:r w:rsidRPr="00D45C1C">
        <w:rPr>
          <w:i/>
          <w:color w:val="000000"/>
        </w:rPr>
        <w:t>Paragraph 5.8.4.2., amend to read:</w:t>
      </w:r>
    </w:p>
    <w:p w:rsidR="00D45C1C" w:rsidRPr="00D45C1C" w:rsidRDefault="00D45C1C" w:rsidP="00D45C1C">
      <w:pPr>
        <w:pStyle w:val="SingleTxtG"/>
        <w:ind w:left="2259" w:hanging="1125"/>
        <w:rPr>
          <w:b/>
          <w:color w:val="000000"/>
          <w:lang w:eastAsia="zh-CN"/>
        </w:rPr>
      </w:pPr>
      <w:r w:rsidRPr="00D45C1C">
        <w:rPr>
          <w:bCs/>
          <w:color w:val="000000"/>
          <w:lang w:eastAsia="zh-CN"/>
        </w:rPr>
        <w:t>"5.8.4.2.</w:t>
      </w:r>
      <w:r w:rsidRPr="00D45C1C">
        <w:rPr>
          <w:b/>
          <w:color w:val="000000"/>
          <w:lang w:eastAsia="zh-CN"/>
        </w:rPr>
        <w:tab/>
      </w:r>
      <w:r w:rsidRPr="00D45C1C">
        <w:rPr>
          <w:bCs/>
          <w:color w:val="000000"/>
          <w:lang w:eastAsia="zh-CN"/>
        </w:rPr>
        <w:t xml:space="preserve">In all rear </w:t>
      </w:r>
      <w:r w:rsidRPr="00D45C1C">
        <w:rPr>
          <w:b/>
          <w:color w:val="000000"/>
          <w:lang w:eastAsia="zh-CN"/>
        </w:rPr>
        <w:t>outboard, rear centre</w:t>
      </w:r>
      <w:r w:rsidRPr="00D45C1C">
        <w:rPr>
          <w:bCs/>
          <w:color w:val="000000"/>
          <w:lang w:eastAsia="zh-CN"/>
        </w:rPr>
        <w:t xml:space="preserve"> and front centre designated seating positions equipped with head restraints, the head restraint shall, when tested in accordance with Annex </w:t>
      </w:r>
      <w:r w:rsidRPr="00D45C1C">
        <w:rPr>
          <w:bCs/>
          <w:color w:val="000000"/>
          <w:lang w:eastAsia="ja-JP"/>
        </w:rPr>
        <w:t>15</w:t>
      </w:r>
      <w:r w:rsidRPr="00D45C1C">
        <w:rPr>
          <w:bCs/>
          <w:color w:val="000000"/>
          <w:lang w:eastAsia="zh-CN"/>
        </w:rPr>
        <w:t xml:space="preserve">, be capable of manually rotating either forward or rearward by not less than 60 degrees from any position of adjustment intended for occupant use in which its minimum height is not less than that specified in paragraph 5.6.2. of this Regulation. </w:t>
      </w:r>
      <w:r w:rsidRPr="00D45C1C">
        <w:rPr>
          <w:b/>
          <w:color w:val="000000"/>
          <w:lang w:eastAsia="zh-CN"/>
        </w:rPr>
        <w:t xml:space="preserve">A head restraint rotated by minimum 60° forward or rearward, </w:t>
      </w:r>
      <w:proofErr w:type="gramStart"/>
      <w:r w:rsidRPr="00D45C1C">
        <w:rPr>
          <w:b/>
          <w:color w:val="000000"/>
          <w:lang w:eastAsia="zh-CN"/>
        </w:rPr>
        <w:t>is considered to be</w:t>
      </w:r>
      <w:proofErr w:type="gramEnd"/>
      <w:r w:rsidRPr="00D45C1C">
        <w:rPr>
          <w:b/>
          <w:color w:val="000000"/>
          <w:lang w:eastAsia="zh-CN"/>
        </w:rPr>
        <w:t xml:space="preserve"> placed in a non-use position even if the head restraint height in such a position would be greater than that specified in paragraph 5.6.2.</w:t>
      </w:r>
      <w:r w:rsidRPr="00D45C1C">
        <w:rPr>
          <w:bCs/>
          <w:color w:val="000000"/>
          <w:lang w:eastAsia="zh-CN"/>
        </w:rPr>
        <w:t>"</w:t>
      </w:r>
    </w:p>
    <w:p w:rsidR="00D45C1C" w:rsidRPr="00D45C1C" w:rsidRDefault="00D45C1C" w:rsidP="00D45C1C">
      <w:pPr>
        <w:pStyle w:val="SingleTxtG"/>
        <w:rPr>
          <w:color w:val="000000"/>
        </w:rPr>
      </w:pPr>
      <w:r w:rsidRPr="00D45C1C">
        <w:rPr>
          <w:i/>
          <w:color w:val="000000"/>
        </w:rPr>
        <w:t>Paragraph 5.8.4.5., amend to read:</w:t>
      </w:r>
    </w:p>
    <w:p w:rsidR="00D45C1C" w:rsidRDefault="00D45C1C" w:rsidP="00D45C1C">
      <w:pPr>
        <w:pStyle w:val="SingleTxtG"/>
        <w:ind w:left="2259" w:hanging="1125"/>
        <w:rPr>
          <w:bCs/>
          <w:color w:val="000000"/>
          <w:lang w:eastAsia="zh-CN"/>
        </w:rPr>
      </w:pPr>
      <w:r w:rsidRPr="00D45C1C">
        <w:rPr>
          <w:bCs/>
          <w:color w:val="000000"/>
          <w:lang w:eastAsia="zh-CN"/>
        </w:rPr>
        <w:t>"5.8.4.5.</w:t>
      </w:r>
      <w:r w:rsidRPr="00D45C1C">
        <w:rPr>
          <w:bCs/>
          <w:color w:val="000000"/>
          <w:lang w:eastAsia="zh-CN"/>
        </w:rPr>
        <w:tab/>
        <w:t xml:space="preserve">The presence of a non-use position of a head restraint shall be marked with a label, 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the designated seating position. </w:t>
      </w:r>
      <w:r w:rsidRPr="00D45C1C">
        <w:rPr>
          <w:b/>
          <w:color w:val="000000"/>
          <w:lang w:eastAsia="zh-CN"/>
        </w:rPr>
        <w:t>The number of labels is not requested to exceed the number of head restraints with non-use positions.</w:t>
      </w:r>
      <w:r w:rsidRPr="00D45C1C">
        <w:rPr>
          <w:bCs/>
          <w:color w:val="000000"/>
          <w:lang w:eastAsia="zh-CN"/>
        </w:rPr>
        <w:t xml:space="preserve">  Examples of possible designs of pictograms are shown in Figure 1."</w:t>
      </w:r>
    </w:p>
    <w:p w:rsidR="006F559D" w:rsidRDefault="006F559D" w:rsidP="006F559D">
      <w:pPr>
        <w:pStyle w:val="SingleTxtG"/>
        <w:rPr>
          <w:i/>
          <w:color w:val="000000"/>
        </w:rPr>
      </w:pPr>
    </w:p>
    <w:p w:rsidR="006F559D" w:rsidRPr="00D45C1C" w:rsidRDefault="006F559D" w:rsidP="006F559D">
      <w:pPr>
        <w:pStyle w:val="SingleTxtG"/>
        <w:rPr>
          <w:color w:val="000000"/>
        </w:rPr>
      </w:pPr>
      <w:r w:rsidRPr="00D45C1C">
        <w:rPr>
          <w:i/>
          <w:color w:val="000000"/>
        </w:rPr>
        <w:t>Paragraph 5.</w:t>
      </w:r>
      <w:r>
        <w:rPr>
          <w:i/>
          <w:color w:val="000000"/>
        </w:rPr>
        <w:t>11</w:t>
      </w:r>
      <w:r w:rsidRPr="00D45C1C">
        <w:rPr>
          <w:i/>
          <w:color w:val="000000"/>
        </w:rPr>
        <w:t>., amend to read:</w:t>
      </w:r>
    </w:p>
    <w:p w:rsidR="006F559D" w:rsidRDefault="006F559D" w:rsidP="006F559D">
      <w:pPr>
        <w:pStyle w:val="SingleTxtG"/>
        <w:ind w:left="2259" w:hanging="1125"/>
        <w:rPr>
          <w:i/>
          <w:color w:val="000000"/>
        </w:rPr>
      </w:pPr>
      <w:r w:rsidRPr="006F559D">
        <w:rPr>
          <w:bCs/>
        </w:rPr>
        <w:t>5.11.</w:t>
      </w:r>
      <w:r w:rsidRPr="00EC589B">
        <w:tab/>
      </w:r>
      <w:r>
        <w:tab/>
      </w:r>
      <w:r w:rsidRPr="00EC589B">
        <w:t>The strength of the seat</w:t>
      </w:r>
      <w:r w:rsidRPr="00EC589B">
        <w:noBreakHyphen/>
        <w:t xml:space="preserve">back and of its locking devices is deemed to meet the requirements set out in paragraph 6.2. below when, after testing in accordance with </w:t>
      </w:r>
      <w:r w:rsidRPr="006F559D">
        <w:t xml:space="preserve">paragraph 5.7.3. </w:t>
      </w:r>
      <w:r w:rsidRPr="006F559D">
        <w:rPr>
          <w:strike/>
        </w:rPr>
        <w:t>below</w:t>
      </w:r>
      <w:r>
        <w:t xml:space="preserve"> </w:t>
      </w:r>
      <w:r w:rsidRPr="006F559D">
        <w:rPr>
          <w:b/>
          <w:bCs/>
        </w:rPr>
        <w:t>above</w:t>
      </w:r>
      <w:r w:rsidRPr="006F559D">
        <w:t>, no breakage of the seat or seat</w:t>
      </w:r>
      <w:r w:rsidRPr="006F559D">
        <w:noBreakHyphen/>
        <w:t xml:space="preserve">back has occurred; otherwise, it shall be shown that the seat </w:t>
      </w:r>
      <w:proofErr w:type="gramStart"/>
      <w:r w:rsidRPr="006F559D">
        <w:t>is capable of meeting</w:t>
      </w:r>
      <w:proofErr w:type="gramEnd"/>
      <w:r w:rsidRPr="006F559D">
        <w:t xml:space="preserve"> the test requirements set out in paragraph 6.2. below without breakage.</w:t>
      </w:r>
    </w:p>
    <w:p w:rsidR="006F559D" w:rsidRDefault="006F559D" w:rsidP="00D45C1C">
      <w:pPr>
        <w:pStyle w:val="SingleTxtG"/>
        <w:rPr>
          <w:i/>
          <w:color w:val="000000"/>
        </w:rPr>
      </w:pPr>
    </w:p>
    <w:p w:rsidR="00D45C1C" w:rsidRPr="00D45C1C" w:rsidRDefault="00D45C1C" w:rsidP="00D45C1C">
      <w:pPr>
        <w:pStyle w:val="SingleTxtG"/>
        <w:rPr>
          <w:color w:val="000000"/>
        </w:rPr>
      </w:pPr>
      <w:r w:rsidRPr="00D45C1C">
        <w:rPr>
          <w:i/>
          <w:color w:val="000000"/>
        </w:rPr>
        <w:t>Paragraph 6.4.4., amend to read:</w:t>
      </w:r>
    </w:p>
    <w:p w:rsidR="00D45C1C" w:rsidRPr="00D45C1C" w:rsidRDefault="00D45C1C" w:rsidP="00D45C1C">
      <w:pPr>
        <w:pStyle w:val="para"/>
        <w:rPr>
          <w:bCs/>
          <w:color w:val="000000"/>
          <w:lang w:val="en-GB"/>
        </w:rPr>
      </w:pPr>
      <w:r w:rsidRPr="00D45C1C">
        <w:rPr>
          <w:bCs/>
          <w:color w:val="000000"/>
          <w:lang w:val="en-GB"/>
        </w:rPr>
        <w:t>"6.4.4.</w:t>
      </w:r>
      <w:r w:rsidRPr="00D45C1C">
        <w:rPr>
          <w:bCs/>
          <w:color w:val="000000"/>
          <w:lang w:val="en-GB"/>
        </w:rPr>
        <w:tab/>
        <w:t>To demonstrate compliance with paragraphs 5.6. through 5.8. of this Regulation</w:t>
      </w:r>
      <w:r w:rsidRPr="00D45C1C">
        <w:rPr>
          <w:b/>
          <w:color w:val="000000"/>
          <w:lang w:val="en-GB"/>
        </w:rPr>
        <w:t>,</w:t>
      </w:r>
      <w:r w:rsidRPr="00D45C1C">
        <w:rPr>
          <w:bCs/>
          <w:color w:val="000000"/>
          <w:lang w:val="en-GB"/>
        </w:rPr>
        <w:t xml:space="preserve"> </w:t>
      </w:r>
      <w:r w:rsidRPr="00D45C1C">
        <w:rPr>
          <w:bCs/>
          <w:strike/>
          <w:color w:val="000000"/>
          <w:lang w:val="en-GB"/>
        </w:rPr>
        <w:t>with</w:t>
      </w:r>
      <w:r w:rsidRPr="00D45C1C">
        <w:rPr>
          <w:bCs/>
          <w:color w:val="000000"/>
          <w:lang w:val="en-GB"/>
        </w:rPr>
        <w:t xml:space="preserve"> any adjustable lumbar support </w:t>
      </w:r>
      <w:r w:rsidRPr="00D45C1C">
        <w:rPr>
          <w:b/>
          <w:bCs/>
          <w:color w:val="000000"/>
          <w:lang w:val="en-GB"/>
        </w:rPr>
        <w:t>and</w:t>
      </w:r>
      <w:r w:rsidRPr="00D45C1C">
        <w:rPr>
          <w:bCs/>
          <w:color w:val="000000"/>
          <w:lang w:val="en-GB"/>
        </w:rPr>
        <w:t xml:space="preserve"> </w:t>
      </w:r>
      <w:r w:rsidRPr="00D45C1C">
        <w:rPr>
          <w:b/>
          <w:color w:val="000000"/>
          <w:lang w:val="en-GB"/>
        </w:rPr>
        <w:t>any adjustable side bolster adjustment is</w:t>
      </w:r>
      <w:r w:rsidRPr="00D45C1C">
        <w:rPr>
          <w:bCs/>
          <w:color w:val="000000"/>
          <w:lang w:val="en-GB"/>
        </w:rPr>
        <w:t xml:space="preserve"> adjusted to its most rearward nominal design position.  If the seat cushion adjusts independently of the seat back, position the seat cushion such that the lowest H-point position is achieved with respect to the </w:t>
      </w:r>
      <w:r w:rsidRPr="00D45C1C">
        <w:rPr>
          <w:bCs/>
          <w:color w:val="000000"/>
          <w:lang w:val="en-GB"/>
        </w:rPr>
        <w:lastRenderedPageBreak/>
        <w:t>seat back.  These conditions, however, may be superseded by the detailed test procedures described in the Annexes."</w:t>
      </w:r>
    </w:p>
    <w:p w:rsidR="00D45C1C" w:rsidRPr="00D45C1C" w:rsidRDefault="00D45C1C" w:rsidP="00D45C1C">
      <w:pPr>
        <w:pStyle w:val="SingleTxtG"/>
        <w:rPr>
          <w:color w:val="000000"/>
        </w:rPr>
      </w:pPr>
      <w:r w:rsidRPr="00D45C1C">
        <w:rPr>
          <w:i/>
          <w:color w:val="000000"/>
        </w:rPr>
        <w:t>Paragraph 6.9., amend to read:</w:t>
      </w:r>
    </w:p>
    <w:p w:rsidR="00D45C1C" w:rsidRPr="00D45C1C" w:rsidRDefault="00D45C1C" w:rsidP="00D45C1C">
      <w:pPr>
        <w:pStyle w:val="para"/>
        <w:rPr>
          <w:color w:val="000000"/>
          <w:lang w:val="en-GB"/>
        </w:rPr>
      </w:pPr>
      <w:r w:rsidRPr="00D45C1C">
        <w:rPr>
          <w:color w:val="000000"/>
          <w:lang w:val="en-GB"/>
        </w:rPr>
        <w:t>"6.9.</w:t>
      </w:r>
      <w:r w:rsidRPr="00D45C1C">
        <w:rPr>
          <w:color w:val="000000"/>
          <w:lang w:val="en-GB"/>
        </w:rPr>
        <w:tab/>
        <w:t>Equivalent test methods</w:t>
      </w:r>
    </w:p>
    <w:p w:rsidR="00D45C1C" w:rsidRPr="00D45C1C" w:rsidRDefault="00D45C1C" w:rsidP="00D45C1C">
      <w:pPr>
        <w:pStyle w:val="para"/>
        <w:rPr>
          <w:color w:val="000000"/>
          <w:lang w:val="en-GB"/>
        </w:rPr>
      </w:pPr>
      <w:r w:rsidRPr="00D45C1C">
        <w:rPr>
          <w:color w:val="000000"/>
          <w:lang w:val="en-GB"/>
        </w:rPr>
        <w:tab/>
        <w:t>If a test method other than those specified in paragraphs 6.2., 6.3.</w:t>
      </w:r>
      <w:r w:rsidRPr="00D45C1C">
        <w:rPr>
          <w:strike/>
          <w:color w:val="000000"/>
          <w:lang w:val="en-GB"/>
        </w:rPr>
        <w:t>,</w:t>
      </w:r>
      <w:r w:rsidRPr="00D45C1C">
        <w:rPr>
          <w:color w:val="000000"/>
          <w:lang w:val="en-GB"/>
        </w:rPr>
        <w:t xml:space="preserve"> </w:t>
      </w:r>
      <w:r w:rsidRPr="00D45C1C">
        <w:rPr>
          <w:strike/>
          <w:color w:val="000000"/>
          <w:lang w:val="en-GB"/>
        </w:rPr>
        <w:t>6.4.</w:t>
      </w:r>
      <w:r w:rsidRPr="00D45C1C">
        <w:rPr>
          <w:color w:val="000000"/>
          <w:lang w:val="en-GB"/>
        </w:rPr>
        <w:t xml:space="preserve"> above </w:t>
      </w:r>
      <w:r w:rsidRPr="00D45C1C">
        <w:rPr>
          <w:strike/>
          <w:color w:val="000000"/>
          <w:lang w:val="en-GB"/>
        </w:rPr>
        <w:t>and</w:t>
      </w:r>
      <w:r w:rsidRPr="00D45C1C">
        <w:rPr>
          <w:color w:val="000000"/>
          <w:lang w:val="en-GB"/>
        </w:rPr>
        <w:t xml:space="preserve"> </w:t>
      </w:r>
      <w:r w:rsidRPr="00D45C1C">
        <w:rPr>
          <w:b/>
          <w:color w:val="000000"/>
          <w:lang w:val="en-GB"/>
        </w:rPr>
        <w:t>or in</w:t>
      </w:r>
      <w:r w:rsidRPr="00D45C1C">
        <w:rPr>
          <w:color w:val="000000"/>
          <w:lang w:val="en-GB"/>
        </w:rPr>
        <w:t xml:space="preserve"> </w:t>
      </w:r>
      <w:r w:rsidRPr="00D45C1C">
        <w:rPr>
          <w:b/>
          <w:bCs/>
          <w:color w:val="000000"/>
          <w:lang w:val="en-GB"/>
        </w:rPr>
        <w:t xml:space="preserve">Annex 5, </w:t>
      </w:r>
      <w:r w:rsidRPr="00D45C1C">
        <w:rPr>
          <w:color w:val="000000"/>
          <w:lang w:val="en-GB"/>
        </w:rPr>
        <w:t xml:space="preserve">Annex 6 </w:t>
      </w:r>
      <w:r w:rsidRPr="00D45C1C">
        <w:rPr>
          <w:b/>
          <w:color w:val="000000"/>
          <w:lang w:val="en-GB"/>
        </w:rPr>
        <w:t>or</w:t>
      </w:r>
      <w:r w:rsidRPr="00D45C1C">
        <w:rPr>
          <w:b/>
          <w:bCs/>
          <w:color w:val="000000"/>
          <w:lang w:val="en-GB"/>
        </w:rPr>
        <w:t xml:space="preserve"> Annex 12</w:t>
      </w:r>
      <w:r w:rsidRPr="00D45C1C">
        <w:rPr>
          <w:color w:val="000000"/>
          <w:lang w:val="en-GB"/>
        </w:rPr>
        <w:t xml:space="preserve"> is used, its equivalence shall be </w:t>
      </w:r>
      <w:r w:rsidRPr="00D45C1C">
        <w:rPr>
          <w:strike/>
          <w:color w:val="000000"/>
          <w:lang w:val="en-GB"/>
        </w:rPr>
        <w:t>proved</w:t>
      </w:r>
      <w:r w:rsidRPr="00D45C1C">
        <w:rPr>
          <w:color w:val="000000"/>
          <w:lang w:val="en-GB"/>
        </w:rPr>
        <w:t xml:space="preserve"> </w:t>
      </w:r>
      <w:r w:rsidRPr="00D45C1C">
        <w:rPr>
          <w:b/>
          <w:color w:val="000000"/>
          <w:lang w:val="en-GB"/>
        </w:rPr>
        <w:t>proven</w:t>
      </w:r>
      <w:r w:rsidRPr="00D45C1C">
        <w:rPr>
          <w:color w:val="000000"/>
          <w:lang w:val="en-GB"/>
        </w:rPr>
        <w:t>."</w:t>
      </w:r>
    </w:p>
    <w:p w:rsidR="00D45C1C" w:rsidRPr="00D45C1C" w:rsidRDefault="00D45C1C" w:rsidP="00D45C1C">
      <w:pPr>
        <w:pStyle w:val="SingleTxtG"/>
        <w:rPr>
          <w:color w:val="000000"/>
        </w:rPr>
      </w:pPr>
      <w:r w:rsidRPr="00D45C1C">
        <w:rPr>
          <w:i/>
          <w:color w:val="000000"/>
        </w:rPr>
        <w:t>Paragraphs 13.13.1.to 13.13.3., amend to read:</w:t>
      </w:r>
    </w:p>
    <w:p w:rsidR="00D45C1C" w:rsidRPr="00D45C1C" w:rsidRDefault="00D45C1C" w:rsidP="00D45C1C">
      <w:pPr>
        <w:pStyle w:val="para"/>
        <w:rPr>
          <w:bCs/>
          <w:color w:val="000000"/>
          <w:lang w:val="en-GB" w:eastAsia="ja-JP"/>
        </w:rPr>
      </w:pPr>
      <w:r w:rsidRPr="00D45C1C">
        <w:rPr>
          <w:bCs/>
          <w:color w:val="000000"/>
          <w:lang w:val="en-GB" w:eastAsia="ja-JP"/>
        </w:rPr>
        <w:t>"13.13.1.</w:t>
      </w:r>
      <w:r w:rsidRPr="00D45C1C">
        <w:rPr>
          <w:bCs/>
          <w:color w:val="000000"/>
          <w:lang w:val="en-GB" w:eastAsia="ja-JP"/>
        </w:rPr>
        <w:tab/>
        <w:t xml:space="preserve">As from [1 September </w:t>
      </w:r>
      <w:r w:rsidRPr="00D45C1C">
        <w:rPr>
          <w:b/>
          <w:color w:val="000000"/>
          <w:lang w:val="en-GB" w:eastAsia="ja-JP"/>
        </w:rPr>
        <w:t>2022</w:t>
      </w:r>
      <w:r w:rsidRPr="00D45C1C">
        <w:rPr>
          <w:bCs/>
          <w:color w:val="000000"/>
          <w:lang w:val="en-GB" w:eastAsia="ja-JP"/>
        </w:rPr>
        <w:t xml:space="preserve">,] Contracting Parties applying this UN Regulation shall not be obliged to accept UN type approvals to the preceding series of amendments that were first issued on or after [1 September </w:t>
      </w:r>
      <w:r w:rsidRPr="00D45C1C">
        <w:rPr>
          <w:b/>
          <w:bCs/>
          <w:color w:val="000000"/>
          <w:lang w:val="en-GB" w:eastAsia="ja-JP"/>
        </w:rPr>
        <w:t>2022</w:t>
      </w:r>
      <w:r w:rsidRPr="00D45C1C">
        <w:rPr>
          <w:bCs/>
          <w:color w:val="000000"/>
          <w:lang w:val="en-GB" w:eastAsia="ja-JP"/>
        </w:rPr>
        <w:t>.]</w:t>
      </w:r>
    </w:p>
    <w:p w:rsidR="00D45C1C" w:rsidRPr="00D45C1C" w:rsidRDefault="00D45C1C" w:rsidP="00D45C1C">
      <w:pPr>
        <w:pStyle w:val="para"/>
        <w:rPr>
          <w:bCs/>
          <w:color w:val="000000"/>
          <w:lang w:val="en-GB" w:eastAsia="ja-JP"/>
        </w:rPr>
      </w:pPr>
      <w:r w:rsidRPr="00D45C1C">
        <w:rPr>
          <w:bCs/>
          <w:color w:val="000000"/>
          <w:lang w:val="en-GB" w:eastAsia="ja-JP"/>
        </w:rPr>
        <w:t>13.13.2.</w:t>
      </w:r>
      <w:r w:rsidRPr="00D45C1C">
        <w:rPr>
          <w:bCs/>
          <w:color w:val="000000"/>
          <w:lang w:val="en-GB" w:eastAsia="ja-JP"/>
        </w:rPr>
        <w:tab/>
        <w:t xml:space="preserve">Until [1 September </w:t>
      </w:r>
      <w:r w:rsidRPr="00D45C1C">
        <w:rPr>
          <w:b/>
          <w:color w:val="000000"/>
          <w:lang w:val="en-GB" w:eastAsia="ja-JP"/>
        </w:rPr>
        <w:t>2025</w:t>
      </w:r>
      <w:r w:rsidRPr="00D45C1C">
        <w:rPr>
          <w:bCs/>
          <w:color w:val="000000"/>
          <w:lang w:val="en-GB" w:eastAsia="ja-JP"/>
        </w:rPr>
        <w:t xml:space="preserve">,] Contracting Parties applying this UN Regulation shall accept UN type-approvals to the preceding series of amendments that were first issued before [1 September </w:t>
      </w:r>
      <w:r w:rsidRPr="00D45C1C">
        <w:rPr>
          <w:b/>
          <w:color w:val="000000"/>
          <w:lang w:val="en-GB" w:eastAsia="ja-JP"/>
        </w:rPr>
        <w:t>2022</w:t>
      </w:r>
      <w:r w:rsidRPr="00D45C1C">
        <w:rPr>
          <w:bCs/>
          <w:color w:val="000000"/>
          <w:lang w:val="en-GB" w:eastAsia="ja-JP"/>
        </w:rPr>
        <w:t>.]</w:t>
      </w:r>
    </w:p>
    <w:p w:rsidR="006F559D" w:rsidRPr="000D79EB" w:rsidRDefault="00D45C1C" w:rsidP="000D79EB">
      <w:pPr>
        <w:pStyle w:val="para"/>
        <w:rPr>
          <w:bCs/>
          <w:color w:val="000000"/>
          <w:lang w:val="en-GB" w:eastAsia="ja-JP"/>
        </w:rPr>
      </w:pPr>
      <w:r w:rsidRPr="00D45C1C">
        <w:rPr>
          <w:bCs/>
          <w:color w:val="000000"/>
          <w:lang w:val="en-GB" w:eastAsia="ja-JP"/>
        </w:rPr>
        <w:t>13.13.3.</w:t>
      </w:r>
      <w:r w:rsidRPr="00D45C1C">
        <w:rPr>
          <w:bCs/>
          <w:color w:val="000000"/>
          <w:lang w:val="en-GB" w:eastAsia="ja-JP"/>
        </w:rPr>
        <w:tab/>
        <w:t xml:space="preserve">As from [1 September </w:t>
      </w:r>
      <w:r w:rsidRPr="00D45C1C">
        <w:rPr>
          <w:b/>
          <w:color w:val="000000"/>
          <w:lang w:val="en-GB" w:eastAsia="ja-JP"/>
        </w:rPr>
        <w:t>2025</w:t>
      </w:r>
      <w:r w:rsidRPr="00D45C1C">
        <w:rPr>
          <w:bCs/>
          <w:color w:val="000000"/>
          <w:lang w:val="en-GB" w:eastAsia="ja-JP"/>
        </w:rPr>
        <w:t xml:space="preserve">,] Contracting Parties applying this Regulation shall not be obliged to accept type-approvals issued to the preceding series of amendments to this Regulation </w:t>
      </w:r>
      <w:r w:rsidRPr="00D45C1C">
        <w:rPr>
          <w:b/>
          <w:color w:val="000000"/>
          <w:lang w:val="en-GB" w:eastAsia="ja-JP"/>
        </w:rPr>
        <w:t>for front head restraints.</w:t>
      </w:r>
      <w:r w:rsidRPr="00D45C1C">
        <w:rPr>
          <w:bCs/>
          <w:color w:val="000000"/>
          <w:lang w:val="en-GB" w:eastAsia="ja-JP"/>
        </w:rPr>
        <w:t>"</w:t>
      </w:r>
    </w:p>
    <w:p w:rsidR="006F559D" w:rsidRPr="00D45C1C" w:rsidRDefault="006F559D" w:rsidP="006F559D">
      <w:pPr>
        <w:pStyle w:val="SingleTxtG"/>
        <w:rPr>
          <w:bCs/>
          <w:snapToGrid w:val="0"/>
          <w:color w:val="000000"/>
        </w:rPr>
      </w:pPr>
      <w:r w:rsidRPr="00D45C1C">
        <w:rPr>
          <w:i/>
          <w:color w:val="000000"/>
        </w:rPr>
        <w:t xml:space="preserve">Annex </w:t>
      </w:r>
      <w:r>
        <w:rPr>
          <w:i/>
          <w:color w:val="000000"/>
        </w:rPr>
        <w:t>4</w:t>
      </w:r>
      <w:r w:rsidRPr="00D45C1C">
        <w:rPr>
          <w:i/>
          <w:color w:val="000000"/>
        </w:rPr>
        <w:t>, paragraph 2., amend to read:</w:t>
      </w:r>
    </w:p>
    <w:p w:rsidR="006F559D" w:rsidRPr="006F559D" w:rsidRDefault="006F559D" w:rsidP="006F559D">
      <w:pPr>
        <w:pStyle w:val="SingleTxtG"/>
        <w:ind w:left="1494" w:hanging="360"/>
        <w:rPr>
          <w:bCs/>
        </w:rPr>
      </w:pPr>
      <w:r w:rsidRPr="006F559D">
        <w:rPr>
          <w:bCs/>
        </w:rPr>
        <w:t>2.</w:t>
      </w:r>
      <w:r w:rsidRPr="006F559D">
        <w:rPr>
          <w:bCs/>
        </w:rPr>
        <w:tab/>
        <w:t xml:space="preserve">           Procedure for width measurement</w:t>
      </w:r>
    </w:p>
    <w:p w:rsidR="006F559D" w:rsidRPr="006F559D" w:rsidRDefault="006F559D" w:rsidP="006F559D">
      <w:pPr>
        <w:pStyle w:val="SingleTxtG"/>
        <w:ind w:left="2050" w:hanging="916"/>
        <w:rPr>
          <w:bCs/>
        </w:rPr>
      </w:pPr>
      <w:r w:rsidRPr="006F559D">
        <w:rPr>
          <w:bCs/>
        </w:rPr>
        <w:t>2.1.</w:t>
      </w:r>
      <w:r w:rsidRPr="006F559D">
        <w:rPr>
          <w:bCs/>
        </w:rPr>
        <w:tab/>
        <w:t xml:space="preserve">The seat shall be adjusted such that its </w:t>
      </w:r>
      <w:r w:rsidRPr="006F559D">
        <w:rPr>
          <w:b/>
        </w:rPr>
        <w:t>design</w:t>
      </w:r>
      <w:r>
        <w:rPr>
          <w:bCs/>
        </w:rPr>
        <w:t xml:space="preserve"> </w:t>
      </w:r>
      <w:r w:rsidRPr="006F559D">
        <w:rPr>
          <w:bCs/>
        </w:rPr>
        <w:t>H-point coincides with the R-point; if the seat back is adjustable, it is set at the design seat back angle; both these adjustments shall be in accordance with the requirements of paragraph 2.1. of Annex 11.</w:t>
      </w:r>
    </w:p>
    <w:p w:rsidR="006F559D" w:rsidRDefault="006F559D" w:rsidP="00D45C1C">
      <w:pPr>
        <w:pStyle w:val="SingleTxtG"/>
        <w:rPr>
          <w:i/>
          <w:color w:val="000000"/>
        </w:rPr>
      </w:pPr>
      <w:r>
        <w:rPr>
          <w:i/>
          <w:color w:val="000000"/>
        </w:rPr>
        <w:t>Annex 6, paragraph 1.4.2., amend to read</w:t>
      </w:r>
    </w:p>
    <w:p w:rsidR="006F559D" w:rsidRPr="006F559D" w:rsidRDefault="006F559D" w:rsidP="006F559D">
      <w:pPr>
        <w:pStyle w:val="para"/>
        <w:rPr>
          <w:lang w:val="en-GB"/>
        </w:rPr>
      </w:pPr>
      <w:r w:rsidRPr="00EC589B">
        <w:rPr>
          <w:lang w:val="en-GB"/>
        </w:rPr>
        <w:t>1.4.2.</w:t>
      </w:r>
      <w:r w:rsidRPr="00EC589B">
        <w:rPr>
          <w:lang w:val="en-GB"/>
        </w:rPr>
        <w:tab/>
      </w:r>
      <w:r w:rsidRPr="006F559D">
        <w:rPr>
          <w:lang w:val="en-GB"/>
        </w:rPr>
        <w:t>Tests on the head restraint</w:t>
      </w:r>
      <w:r>
        <w:rPr>
          <w:lang w:val="en-GB"/>
        </w:rPr>
        <w:t xml:space="preserve"> </w:t>
      </w:r>
      <w:r w:rsidRPr="006F559D">
        <w:rPr>
          <w:b/>
          <w:bCs/>
          <w:lang w:val="en-GB"/>
        </w:rPr>
        <w:t>from the rear</w:t>
      </w:r>
    </w:p>
    <w:p w:rsidR="006F559D" w:rsidRPr="006F559D" w:rsidRDefault="006F559D" w:rsidP="006F559D">
      <w:pPr>
        <w:pStyle w:val="para"/>
        <w:rPr>
          <w:lang w:val="en-GB"/>
        </w:rPr>
      </w:pPr>
      <w:r w:rsidRPr="006F559D">
        <w:rPr>
          <w:lang w:val="en-GB"/>
        </w:rPr>
        <w:tab/>
        <w:t>The head restraint shall be fitted and adjusted as indicated in paragraph 1.1. of this annex. Impacts shall be performed on points selected by the test laboratory in area 1 as defined in paragraph 6.8.1.1. of this Regulation, and possibly in area 2 as defined in paragraph 6.8.1.2. of this Regulation, on surfaces exhibiting radii of curvature less than 5 mm.</w:t>
      </w:r>
    </w:p>
    <w:p w:rsidR="006F559D" w:rsidRPr="00FE1688" w:rsidRDefault="006F559D" w:rsidP="006F559D">
      <w:pPr>
        <w:pStyle w:val="para"/>
        <w:rPr>
          <w:b/>
          <w:strike/>
          <w:lang w:val="en-GB"/>
        </w:rPr>
      </w:pPr>
      <w:r w:rsidRPr="00EC589B">
        <w:rPr>
          <w:lang w:val="en-GB"/>
        </w:rPr>
        <w:tab/>
      </w:r>
      <w:r w:rsidRPr="00FE1688">
        <w:rPr>
          <w:b/>
          <w:strike/>
          <w:szCs w:val="24"/>
          <w:lang w:val="en-GB"/>
        </w:rPr>
        <w:t xml:space="preserve">The </w:t>
      </w:r>
      <w:proofErr w:type="spellStart"/>
      <w:r w:rsidRPr="00FE1688">
        <w:rPr>
          <w:b/>
          <w:strike/>
          <w:szCs w:val="24"/>
          <w:lang w:val="en-GB"/>
        </w:rPr>
        <w:t>headform</w:t>
      </w:r>
      <w:proofErr w:type="spellEnd"/>
      <w:r w:rsidRPr="00FE1688">
        <w:rPr>
          <w:b/>
          <w:strike/>
          <w:szCs w:val="24"/>
          <w:lang w:val="en-GB"/>
        </w:rPr>
        <w:t xml:space="preserve"> shall strike the test point at a speed of 24.1 ± 0.5 km/h: this speed shall be achieved either by the mere energy of propulsion or by using an additional impelling device.</w:t>
      </w:r>
    </w:p>
    <w:p w:rsidR="006F559D" w:rsidRPr="00EC589B" w:rsidRDefault="006F559D" w:rsidP="006F559D">
      <w:pPr>
        <w:pStyle w:val="para"/>
        <w:rPr>
          <w:lang w:val="en-GB"/>
        </w:rPr>
      </w:pPr>
      <w:r w:rsidRPr="00EC589B">
        <w:rPr>
          <w:lang w:val="en-GB"/>
        </w:rPr>
        <w:t>1.4.2.1.</w:t>
      </w:r>
      <w:r w:rsidRPr="00EC589B">
        <w:rPr>
          <w:lang w:val="en-GB"/>
        </w:rPr>
        <w:tab/>
        <w:t>For the rear face, the direction of impact from the rear towards the front shall be in a longitudinal plane at an angle of 45° from the vertical.</w:t>
      </w:r>
    </w:p>
    <w:p w:rsidR="006F559D" w:rsidRPr="000D79EB" w:rsidRDefault="006F559D" w:rsidP="006F559D">
      <w:pPr>
        <w:pStyle w:val="para"/>
        <w:rPr>
          <w:strike/>
          <w:lang w:val="en-GB"/>
        </w:rPr>
      </w:pPr>
      <w:r w:rsidRPr="000D79EB">
        <w:rPr>
          <w:strike/>
          <w:lang w:val="en-GB"/>
        </w:rPr>
        <w:t>1.4.2.2.</w:t>
      </w:r>
      <w:r w:rsidRPr="000D79EB">
        <w:rPr>
          <w:strike/>
          <w:lang w:val="en-GB"/>
        </w:rPr>
        <w:tab/>
        <w:t xml:space="preserve">For the front face, the direction of impact from the front towards the rear shall be horizontal in a longitudinal plane. </w:t>
      </w:r>
    </w:p>
    <w:p w:rsidR="000D79EB" w:rsidRPr="000D79EB" w:rsidRDefault="000D79EB" w:rsidP="006F559D">
      <w:pPr>
        <w:pStyle w:val="para"/>
        <w:rPr>
          <w:i/>
          <w:iCs/>
          <w:lang w:val="en-GB"/>
        </w:rPr>
      </w:pPr>
      <w:r w:rsidRPr="000D79EB">
        <w:rPr>
          <w:i/>
          <w:iCs/>
          <w:lang w:val="en-GB"/>
        </w:rPr>
        <w:t>Annex 6, paragraph 1.4.2.3 renumbered</w:t>
      </w:r>
      <w:r>
        <w:rPr>
          <w:i/>
          <w:iCs/>
          <w:lang w:val="en-GB"/>
        </w:rPr>
        <w:t xml:space="preserve"> to 1.4.2.2.</w:t>
      </w:r>
    </w:p>
    <w:p w:rsidR="006F559D" w:rsidRPr="00EC589B" w:rsidRDefault="006F559D" w:rsidP="006F559D">
      <w:pPr>
        <w:pStyle w:val="para"/>
        <w:rPr>
          <w:lang w:val="en-GB"/>
        </w:rPr>
      </w:pPr>
      <w:r w:rsidRPr="00EC589B">
        <w:rPr>
          <w:lang w:val="en-GB"/>
        </w:rPr>
        <w:t>1.4.2.</w:t>
      </w:r>
      <w:r w:rsidRPr="000D79EB">
        <w:rPr>
          <w:strike/>
          <w:lang w:val="en-GB"/>
        </w:rPr>
        <w:t>3</w:t>
      </w:r>
      <w:r w:rsidR="000D79EB" w:rsidRPr="000D79EB">
        <w:rPr>
          <w:b/>
          <w:bCs/>
          <w:lang w:val="en-GB"/>
        </w:rPr>
        <w:t>2</w:t>
      </w:r>
      <w:r w:rsidRPr="00EC589B">
        <w:rPr>
          <w:lang w:val="en-GB"/>
        </w:rPr>
        <w:tab/>
        <w:t>The front and rear zones are respectively bounded by the horizontal plane tangential to the top of the head restraint as determined in paragraph 6.5. of this Regulation.</w:t>
      </w:r>
    </w:p>
    <w:p w:rsidR="006F559D" w:rsidRPr="00EC589B" w:rsidRDefault="006F559D" w:rsidP="006F559D">
      <w:pPr>
        <w:pStyle w:val="para"/>
        <w:rPr>
          <w:lang w:val="en-GB"/>
        </w:rPr>
      </w:pPr>
      <w:r w:rsidRPr="00EC589B">
        <w:rPr>
          <w:lang w:val="en-GB"/>
        </w:rPr>
        <w:t>1.4.3.</w:t>
      </w:r>
      <w:r w:rsidRPr="00EC589B">
        <w:rPr>
          <w:lang w:val="en-GB"/>
        </w:rPr>
        <w:tab/>
        <w:t xml:space="preserve">The </w:t>
      </w:r>
      <w:proofErr w:type="spellStart"/>
      <w:r w:rsidRPr="00EC589B">
        <w:rPr>
          <w:lang w:val="en-GB"/>
        </w:rPr>
        <w:t>headform</w:t>
      </w:r>
      <w:proofErr w:type="spellEnd"/>
      <w:r w:rsidRPr="00EC589B">
        <w:rPr>
          <w:lang w:val="en-GB"/>
        </w:rPr>
        <w:t xml:space="preserve"> shall strike the test item at a speed of 24.1 km/h: this speed shall be achieved either by the mere energy of propulsion or by using an additional impelling device.</w:t>
      </w:r>
    </w:p>
    <w:p w:rsidR="000D79EB" w:rsidRPr="00D45C1C" w:rsidRDefault="000D79EB" w:rsidP="000D79EB">
      <w:pPr>
        <w:pStyle w:val="SingleTxtG"/>
        <w:rPr>
          <w:bCs/>
          <w:snapToGrid w:val="0"/>
          <w:color w:val="000000"/>
        </w:rPr>
      </w:pPr>
      <w:r w:rsidRPr="00D45C1C">
        <w:rPr>
          <w:i/>
          <w:color w:val="000000"/>
        </w:rPr>
        <w:lastRenderedPageBreak/>
        <w:t>Annex 8, paragraph 2., amend to read:</w:t>
      </w:r>
    </w:p>
    <w:p w:rsidR="000D79EB" w:rsidRPr="000D79EB" w:rsidRDefault="000D79EB" w:rsidP="000D79EB">
      <w:pPr>
        <w:pStyle w:val="para"/>
        <w:rPr>
          <w:bCs/>
          <w:lang w:val="en-GB"/>
        </w:rPr>
      </w:pPr>
      <w:r w:rsidRPr="000D79EB">
        <w:rPr>
          <w:bCs/>
          <w:lang w:val="en-GB"/>
        </w:rPr>
        <w:t>2.</w:t>
      </w:r>
      <w:r w:rsidRPr="000D79EB">
        <w:rPr>
          <w:bCs/>
          <w:lang w:val="en-GB"/>
        </w:rPr>
        <w:tab/>
        <w:t>Gap measurement using a sphere</w:t>
      </w:r>
    </w:p>
    <w:p w:rsidR="000D79EB" w:rsidRPr="000D79EB" w:rsidRDefault="000D79EB" w:rsidP="000D79EB">
      <w:pPr>
        <w:pStyle w:val="para"/>
        <w:rPr>
          <w:bCs/>
          <w:lang w:val="en-GB"/>
        </w:rPr>
      </w:pPr>
      <w:r w:rsidRPr="000D79EB">
        <w:rPr>
          <w:bCs/>
          <w:lang w:val="en-GB"/>
        </w:rPr>
        <w:t>2.1.</w:t>
      </w:r>
      <w:r w:rsidRPr="000D79EB">
        <w:rPr>
          <w:bCs/>
          <w:lang w:val="en-GB"/>
        </w:rPr>
        <w:tab/>
        <w:t>The seat shall be adjusted such that its</w:t>
      </w:r>
      <w:r>
        <w:rPr>
          <w:bCs/>
          <w:lang w:val="en-GB"/>
        </w:rPr>
        <w:t xml:space="preserve"> </w:t>
      </w:r>
      <w:r w:rsidRPr="000D79EB">
        <w:rPr>
          <w:b/>
          <w:lang w:val="en-GB"/>
        </w:rPr>
        <w:t>design</w:t>
      </w:r>
      <w:r w:rsidRPr="000D79EB">
        <w:rPr>
          <w:bCs/>
          <w:lang w:val="en-GB"/>
        </w:rPr>
        <w:t xml:space="preserve"> H-point coincides with the R-point; if the seat back is adjustable, it is set at the design seat back angle; both these adjustments shall be in accordance with the requirements of paragraph 2.1. of Annex </w:t>
      </w:r>
      <w:r w:rsidR="005E0F7E" w:rsidRPr="005E0F7E">
        <w:rPr>
          <w:bCs/>
          <w:strike/>
          <w:lang w:val="en-GB"/>
        </w:rPr>
        <w:t>10</w:t>
      </w:r>
      <w:r w:rsidR="005E0F7E">
        <w:rPr>
          <w:bCs/>
          <w:lang w:val="en-GB"/>
        </w:rPr>
        <w:t xml:space="preserve"> </w:t>
      </w:r>
      <w:r w:rsidRPr="005E0F7E">
        <w:rPr>
          <w:b/>
          <w:lang w:val="en-GB"/>
        </w:rPr>
        <w:t>1</w:t>
      </w:r>
      <w:r w:rsidR="005E0F7E" w:rsidRPr="005E0F7E">
        <w:rPr>
          <w:b/>
          <w:lang w:val="en-GB"/>
        </w:rPr>
        <w:t>1</w:t>
      </w:r>
      <w:r w:rsidRPr="000D79EB">
        <w:rPr>
          <w:bCs/>
          <w:lang w:val="en-GB"/>
        </w:rPr>
        <w:t>.</w:t>
      </w:r>
    </w:p>
    <w:p w:rsidR="00D45C1C" w:rsidRPr="00D45C1C" w:rsidRDefault="00D45C1C" w:rsidP="00D45C1C">
      <w:pPr>
        <w:pStyle w:val="SingleTxtG"/>
        <w:rPr>
          <w:bCs/>
          <w:snapToGrid w:val="0"/>
          <w:color w:val="000000"/>
        </w:rPr>
      </w:pPr>
      <w:r w:rsidRPr="00D45C1C">
        <w:rPr>
          <w:i/>
          <w:color w:val="000000"/>
        </w:rPr>
        <w:t>Annex 8, paragraph 2.3., amend to read:</w:t>
      </w:r>
    </w:p>
    <w:p w:rsidR="00D45C1C" w:rsidRPr="00D45C1C" w:rsidRDefault="00D45C1C" w:rsidP="00D45C1C">
      <w:pPr>
        <w:pStyle w:val="para"/>
        <w:rPr>
          <w:bCs/>
          <w:color w:val="000000"/>
          <w:lang w:val="en-GB"/>
        </w:rPr>
      </w:pPr>
      <w:r w:rsidRPr="00D45C1C">
        <w:rPr>
          <w:bCs/>
          <w:color w:val="000000"/>
          <w:lang w:val="en-GB"/>
        </w:rPr>
        <w:t>"2.3.</w:t>
      </w:r>
      <w:r w:rsidRPr="00D45C1C">
        <w:rPr>
          <w:bCs/>
          <w:color w:val="000000"/>
          <w:lang w:val="en-GB"/>
        </w:rPr>
        <w:tab/>
        <w:t xml:space="preserve">The area of measurement is anywhere between two vertical longitudinal planes passing at 85 mm on either side of the torso line and above </w:t>
      </w:r>
      <w:r w:rsidRPr="00D45C1C">
        <w:rPr>
          <w:bCs/>
          <w:strike/>
          <w:color w:val="000000"/>
          <w:lang w:val="en-GB"/>
        </w:rPr>
        <w:t>the top of the seat back</w:t>
      </w:r>
      <w:r w:rsidRPr="00D45C1C">
        <w:rPr>
          <w:bCs/>
          <w:color w:val="000000"/>
          <w:lang w:val="en-GB"/>
        </w:rPr>
        <w:t xml:space="preserve"> </w:t>
      </w:r>
      <w:r w:rsidRPr="00D45C1C">
        <w:rPr>
          <w:b/>
          <w:color w:val="000000"/>
          <w:lang w:val="en-GB"/>
        </w:rPr>
        <w:t>a height greater than 540 mm.</w:t>
      </w:r>
      <w:r w:rsidRPr="00D45C1C">
        <w:rPr>
          <w:bCs/>
          <w:color w:val="000000"/>
          <w:lang w:val="en-GB"/>
        </w:rPr>
        <w:t>"</w:t>
      </w:r>
    </w:p>
    <w:p w:rsidR="00D45C1C" w:rsidRPr="00D45C1C" w:rsidRDefault="00D45C1C" w:rsidP="00D45C1C">
      <w:pPr>
        <w:pStyle w:val="SingleTxtG"/>
        <w:rPr>
          <w:bCs/>
          <w:snapToGrid w:val="0"/>
          <w:color w:val="000000"/>
        </w:rPr>
      </w:pPr>
      <w:r w:rsidRPr="00D45C1C">
        <w:rPr>
          <w:i/>
          <w:color w:val="000000"/>
        </w:rPr>
        <w:t>Annex 8, paragraph 2.5., amend to read:</w:t>
      </w:r>
    </w:p>
    <w:p w:rsidR="00D45C1C" w:rsidRPr="000D79EB" w:rsidRDefault="00D45C1C" w:rsidP="000D79EB">
      <w:pPr>
        <w:pStyle w:val="para"/>
        <w:rPr>
          <w:bCs/>
          <w:color w:val="000000"/>
          <w:lang w:val="en-GB"/>
        </w:rPr>
      </w:pPr>
      <w:r w:rsidRPr="00D45C1C">
        <w:rPr>
          <w:bCs/>
          <w:color w:val="000000"/>
          <w:lang w:val="en-GB"/>
        </w:rPr>
        <w:t>"2.5.</w:t>
      </w:r>
      <w:r w:rsidRPr="00D45C1C">
        <w:rPr>
          <w:bCs/>
          <w:color w:val="000000"/>
          <w:lang w:val="en-GB"/>
        </w:rPr>
        <w:tab/>
        <w:t xml:space="preserve">Determine the gap dimension by measuring the </w:t>
      </w:r>
      <w:proofErr w:type="gramStart"/>
      <w:r w:rsidRPr="00D45C1C">
        <w:rPr>
          <w:bCs/>
          <w:color w:val="000000"/>
          <w:lang w:val="en-GB"/>
        </w:rPr>
        <w:t>straight line</w:t>
      </w:r>
      <w:proofErr w:type="gramEnd"/>
      <w:r w:rsidRPr="00D45C1C">
        <w:rPr>
          <w:bCs/>
          <w:color w:val="000000"/>
          <w:lang w:val="en-GB"/>
        </w:rPr>
        <w:t xml:space="preserve"> distance between the inner edges of the two furthest contact points, as shown in Figures 8</w:t>
      </w:r>
      <w:r w:rsidRPr="00D45C1C">
        <w:rPr>
          <w:bCs/>
          <w:color w:val="000000"/>
          <w:lang w:val="en-GB"/>
        </w:rPr>
        <w:noBreakHyphen/>
        <w:t>1</w:t>
      </w:r>
      <w:r w:rsidRPr="00D45C1C">
        <w:rPr>
          <w:b/>
          <w:color w:val="000000"/>
          <w:lang w:val="en-GB"/>
        </w:rPr>
        <w:t>,</w:t>
      </w:r>
      <w:r w:rsidRPr="00D45C1C">
        <w:rPr>
          <w:bCs/>
          <w:color w:val="000000"/>
          <w:lang w:val="en-GB"/>
        </w:rPr>
        <w:t xml:space="preserve"> </w:t>
      </w:r>
      <w:r w:rsidRPr="00D45C1C">
        <w:rPr>
          <w:bCs/>
          <w:strike/>
          <w:color w:val="000000"/>
          <w:lang w:val="en-GB"/>
        </w:rPr>
        <w:t>and</w:t>
      </w:r>
      <w:r w:rsidRPr="00D45C1C">
        <w:rPr>
          <w:bCs/>
          <w:color w:val="000000"/>
          <w:lang w:val="en-GB"/>
        </w:rPr>
        <w:t> 8</w:t>
      </w:r>
      <w:r w:rsidRPr="00D45C1C">
        <w:rPr>
          <w:bCs/>
          <w:color w:val="000000"/>
          <w:lang w:val="en-GB"/>
        </w:rPr>
        <w:noBreakHyphen/>
        <w:t xml:space="preserve">2 </w:t>
      </w:r>
      <w:r w:rsidRPr="00D45C1C">
        <w:rPr>
          <w:b/>
          <w:color w:val="000000"/>
          <w:lang w:val="en-GB"/>
        </w:rPr>
        <w:t>and 8-3</w:t>
      </w:r>
      <w:r w:rsidRPr="00D45C1C">
        <w:rPr>
          <w:bCs/>
          <w:color w:val="000000"/>
          <w:lang w:val="en-GB"/>
        </w:rPr>
        <w:t>."</w:t>
      </w:r>
    </w:p>
    <w:p w:rsidR="00D45C1C" w:rsidRPr="00D45C1C" w:rsidRDefault="00D45C1C" w:rsidP="00D45C1C">
      <w:pPr>
        <w:spacing w:after="120"/>
        <w:ind w:left="1134" w:right="1134"/>
        <w:jc w:val="both"/>
        <w:rPr>
          <w:iCs/>
          <w:color w:val="000000"/>
        </w:rPr>
      </w:pPr>
      <w:r w:rsidRPr="00D45C1C">
        <w:rPr>
          <w:i/>
          <w:color w:val="000000"/>
        </w:rPr>
        <w:t xml:space="preserve">Annex 8, insert new Figure 8-3, </w:t>
      </w:r>
      <w:r w:rsidRPr="00D45C1C">
        <w:rPr>
          <w:iCs/>
          <w:color w:val="000000"/>
        </w:rPr>
        <w:t>to read:</w:t>
      </w:r>
    </w:p>
    <w:p w:rsidR="00D45C1C" w:rsidRPr="00D45C1C" w:rsidRDefault="00D45C1C" w:rsidP="00D45C1C">
      <w:pPr>
        <w:spacing w:after="120"/>
        <w:ind w:left="1134" w:right="1134"/>
        <w:rPr>
          <w:b/>
          <w:bCs/>
          <w:iCs/>
          <w:color w:val="000000"/>
        </w:rPr>
      </w:pPr>
      <w:r w:rsidRPr="00D45C1C">
        <w:rPr>
          <w:iCs/>
          <w:color w:val="000000"/>
        </w:rPr>
        <w:t>"</w:t>
      </w:r>
      <w:r w:rsidRPr="00D45C1C">
        <w:rPr>
          <w:b/>
          <w:bCs/>
          <w:iCs/>
          <w:color w:val="000000"/>
        </w:rPr>
        <w:t>Figure 8-3</w:t>
      </w:r>
      <w:r w:rsidRPr="00D45C1C">
        <w:rPr>
          <w:b/>
          <w:bCs/>
          <w:iCs/>
          <w:color w:val="000000"/>
        </w:rPr>
        <w:br/>
      </w:r>
      <w:r w:rsidRPr="00D45C1C">
        <w:rPr>
          <w:b/>
          <w:snapToGrid w:val="0"/>
          <w:color w:val="000000"/>
        </w:rPr>
        <w:t>Portion of gap above 540mm</w:t>
      </w:r>
    </w:p>
    <w:p w:rsidR="00D45C1C" w:rsidRPr="00D45C1C" w:rsidRDefault="00D45C1C" w:rsidP="00D45C1C">
      <w:pPr>
        <w:spacing w:after="120"/>
        <w:ind w:left="1134" w:right="1134"/>
        <w:jc w:val="center"/>
        <w:rPr>
          <w:b/>
          <w:snapToGrid w:val="0"/>
          <w:color w:val="000000"/>
        </w:rPr>
      </w:pPr>
      <w:r w:rsidRPr="00D45C1C">
        <w:rPr>
          <w:bCs/>
          <w:noProof/>
          <w:color w:val="00000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44.5pt;height:245pt;visibility:visible">
            <v:imagedata r:id="rId9" o:title=""/>
          </v:shape>
        </w:pict>
      </w:r>
    </w:p>
    <w:p w:rsidR="00D45C1C" w:rsidRPr="00D45C1C" w:rsidRDefault="00D45C1C" w:rsidP="00D45C1C">
      <w:pPr>
        <w:pStyle w:val="SingleTxtG"/>
        <w:ind w:left="567" w:firstLine="567"/>
        <w:rPr>
          <w:bCs/>
          <w:snapToGrid w:val="0"/>
          <w:color w:val="000000"/>
        </w:rPr>
      </w:pPr>
      <w:r w:rsidRPr="00D45C1C">
        <w:rPr>
          <w:i/>
          <w:color w:val="000000"/>
        </w:rPr>
        <w:t xml:space="preserve">Annex 8, paragraph 3.3., </w:t>
      </w:r>
      <w:r w:rsidRPr="00D45C1C">
        <w:rPr>
          <w:iCs/>
          <w:color w:val="000000"/>
        </w:rPr>
        <w:t>amend to read:</w:t>
      </w:r>
    </w:p>
    <w:p w:rsidR="00D45C1C" w:rsidRPr="00D45C1C" w:rsidRDefault="00D45C1C" w:rsidP="00D45C1C">
      <w:pPr>
        <w:pStyle w:val="para"/>
        <w:rPr>
          <w:bCs/>
          <w:color w:val="000000"/>
          <w:lang w:val="en-GB"/>
        </w:rPr>
      </w:pPr>
      <w:r w:rsidRPr="00D45C1C">
        <w:rPr>
          <w:bCs/>
          <w:color w:val="000000"/>
          <w:lang w:val="en-GB"/>
        </w:rPr>
        <w:t>"3.3.</w:t>
      </w:r>
      <w:r w:rsidRPr="00D45C1C">
        <w:rPr>
          <w:bCs/>
          <w:color w:val="000000"/>
          <w:lang w:val="en-GB"/>
        </w:rPr>
        <w:tab/>
        <w:t xml:space="preserve">The gap shall be measured </w:t>
      </w:r>
      <w:r w:rsidR="00320643" w:rsidRPr="00320643">
        <w:rPr>
          <w:b/>
          <w:color w:val="000000"/>
          <w:lang w:val="en-GB"/>
        </w:rPr>
        <w:t>in the longitudinal plane through the R-point</w:t>
      </w:r>
      <w:r w:rsidR="00320643">
        <w:rPr>
          <w:bCs/>
          <w:color w:val="000000"/>
          <w:lang w:val="en-GB"/>
        </w:rPr>
        <w:t xml:space="preserve"> </w:t>
      </w:r>
      <w:r w:rsidRPr="00D45C1C">
        <w:rPr>
          <w:bCs/>
          <w:color w:val="000000"/>
          <w:lang w:val="en-GB"/>
        </w:rPr>
        <w:t>as the perpendicular distance between two parallel planes, described as follows (see Figure 8-</w:t>
      </w:r>
      <w:r w:rsidRPr="00D45C1C">
        <w:rPr>
          <w:bCs/>
          <w:strike/>
          <w:color w:val="000000"/>
          <w:lang w:val="en-GB"/>
        </w:rPr>
        <w:t>3</w:t>
      </w:r>
      <w:r w:rsidRPr="00D45C1C">
        <w:rPr>
          <w:b/>
          <w:color w:val="000000"/>
          <w:lang w:val="en-GB"/>
        </w:rPr>
        <w:t>4</w:t>
      </w:r>
      <w:r w:rsidRPr="00D45C1C">
        <w:rPr>
          <w:bCs/>
          <w:color w:val="000000"/>
          <w:lang w:val="en-GB"/>
        </w:rPr>
        <w:t>):</w:t>
      </w:r>
    </w:p>
    <w:p w:rsidR="00D45C1C" w:rsidRPr="00D45C1C" w:rsidRDefault="00D45C1C" w:rsidP="00D45C1C">
      <w:pPr>
        <w:pStyle w:val="para"/>
        <w:rPr>
          <w:bCs/>
          <w:color w:val="000000"/>
          <w:lang w:val="en-GB"/>
        </w:rPr>
      </w:pPr>
      <w:r w:rsidRPr="00D45C1C">
        <w:rPr>
          <w:bCs/>
          <w:color w:val="000000"/>
          <w:lang w:val="en-GB"/>
        </w:rPr>
        <w:tab/>
      </w:r>
      <w:r w:rsidRPr="00D45C1C">
        <w:rPr>
          <w:bCs/>
          <w:color w:val="000000"/>
          <w:lang w:val="en-GB"/>
        </w:rPr>
        <w:tab/>
        <w:t>(a)</w:t>
      </w:r>
      <w:r w:rsidRPr="00D45C1C">
        <w:rPr>
          <w:bCs/>
          <w:color w:val="000000"/>
          <w:lang w:val="en-GB"/>
        </w:rPr>
        <w:tab/>
        <w:t>each plane shall be perpendicular to the design torso line;</w:t>
      </w:r>
    </w:p>
    <w:p w:rsidR="00D45C1C" w:rsidRPr="00D45C1C" w:rsidRDefault="00D45C1C" w:rsidP="00D45C1C">
      <w:pPr>
        <w:pStyle w:val="para"/>
        <w:ind w:hanging="567"/>
        <w:rPr>
          <w:bCs/>
          <w:color w:val="000000"/>
          <w:lang w:val="en-GB"/>
        </w:rPr>
      </w:pPr>
      <w:r w:rsidRPr="00D45C1C">
        <w:rPr>
          <w:bCs/>
          <w:color w:val="000000"/>
          <w:lang w:val="en-GB"/>
        </w:rPr>
        <w:tab/>
      </w:r>
      <w:r w:rsidRPr="00D45C1C">
        <w:rPr>
          <w:bCs/>
          <w:color w:val="000000"/>
          <w:lang w:val="en-GB"/>
        </w:rPr>
        <w:tab/>
        <w:t>(b)</w:t>
      </w:r>
      <w:r w:rsidRPr="00D45C1C">
        <w:rPr>
          <w:bCs/>
          <w:color w:val="000000"/>
          <w:lang w:val="en-GB"/>
        </w:rPr>
        <w:tab/>
        <w:t xml:space="preserve">one of the planes shall be tangent to the bottom of the head </w:t>
      </w:r>
    </w:p>
    <w:p w:rsidR="00D45C1C" w:rsidRPr="00D45C1C" w:rsidRDefault="00D45C1C" w:rsidP="00D45C1C">
      <w:pPr>
        <w:pStyle w:val="para"/>
        <w:ind w:firstLine="567"/>
        <w:rPr>
          <w:bCs/>
          <w:color w:val="000000"/>
          <w:lang w:val="en-GB"/>
        </w:rPr>
      </w:pPr>
      <w:r w:rsidRPr="00D45C1C">
        <w:rPr>
          <w:bCs/>
          <w:color w:val="000000"/>
          <w:lang w:val="en-GB"/>
        </w:rPr>
        <w:t>restraint;</w:t>
      </w:r>
    </w:p>
    <w:p w:rsidR="00D45C1C" w:rsidRDefault="00D45C1C" w:rsidP="00D45C1C">
      <w:pPr>
        <w:pStyle w:val="para"/>
        <w:rPr>
          <w:bCs/>
          <w:color w:val="000000"/>
          <w:lang w:val="en-GB"/>
        </w:rPr>
      </w:pPr>
      <w:r w:rsidRPr="00D45C1C">
        <w:rPr>
          <w:bCs/>
          <w:color w:val="000000"/>
          <w:lang w:val="en-GB"/>
        </w:rPr>
        <w:tab/>
      </w:r>
      <w:r w:rsidRPr="00D45C1C">
        <w:rPr>
          <w:bCs/>
          <w:color w:val="000000"/>
          <w:lang w:val="en-GB"/>
        </w:rPr>
        <w:tab/>
        <w:t>(c)</w:t>
      </w:r>
      <w:r w:rsidRPr="00D45C1C">
        <w:rPr>
          <w:bCs/>
          <w:color w:val="000000"/>
          <w:lang w:val="en-GB"/>
        </w:rPr>
        <w:tab/>
        <w:t>the other plane shall be tangent to the top of the seat back."</w:t>
      </w:r>
    </w:p>
    <w:p w:rsidR="00320643" w:rsidRPr="00D45C1C" w:rsidRDefault="00320643" w:rsidP="00D45C1C">
      <w:pPr>
        <w:pStyle w:val="para"/>
        <w:rPr>
          <w:bCs/>
          <w:color w:val="000000"/>
          <w:lang w:val="en-GB"/>
        </w:rPr>
      </w:pPr>
    </w:p>
    <w:p w:rsidR="00D45C1C" w:rsidRPr="00D45C1C" w:rsidRDefault="00D45C1C" w:rsidP="00D45C1C">
      <w:pPr>
        <w:spacing w:after="120"/>
        <w:ind w:left="1134" w:right="1134"/>
        <w:jc w:val="both"/>
        <w:rPr>
          <w:i/>
          <w:color w:val="000000"/>
        </w:rPr>
      </w:pPr>
      <w:r w:rsidRPr="00D45C1C">
        <w:rPr>
          <w:i/>
          <w:color w:val="000000"/>
        </w:rPr>
        <w:t xml:space="preserve">Annex 8, Figure 8-3 (former), </w:t>
      </w:r>
      <w:r w:rsidRPr="00D45C1C">
        <w:rPr>
          <w:iCs/>
          <w:color w:val="000000"/>
        </w:rPr>
        <w:t>renumber as Figure 8-4</w:t>
      </w:r>
      <w:r w:rsidRPr="00D45C1C">
        <w:rPr>
          <w:i/>
          <w:color w:val="000000"/>
        </w:rPr>
        <w:t xml:space="preserve"> </w:t>
      </w:r>
    </w:p>
    <w:p w:rsidR="00D45C1C" w:rsidRPr="00D45C1C" w:rsidRDefault="00D45C1C" w:rsidP="00D45C1C">
      <w:pPr>
        <w:pStyle w:val="SingleTxtG"/>
        <w:rPr>
          <w:bCs/>
          <w:iCs/>
          <w:color w:val="000000"/>
          <w:lang w:eastAsia="zh-CN"/>
        </w:rPr>
      </w:pPr>
      <w:r w:rsidRPr="00D45C1C">
        <w:rPr>
          <w:i/>
          <w:color w:val="000000"/>
        </w:rPr>
        <w:t>Annex 10, paragraph 2.</w:t>
      </w:r>
      <w:r w:rsidR="000D79EB">
        <w:rPr>
          <w:i/>
          <w:color w:val="000000"/>
        </w:rPr>
        <w:t>1</w:t>
      </w:r>
      <w:r w:rsidRPr="00D45C1C">
        <w:rPr>
          <w:i/>
          <w:color w:val="000000"/>
        </w:rPr>
        <w:t xml:space="preserve">., </w:t>
      </w:r>
      <w:r w:rsidRPr="00D45C1C">
        <w:rPr>
          <w:iCs/>
          <w:color w:val="000000"/>
        </w:rPr>
        <w:t>amend to read:</w:t>
      </w:r>
    </w:p>
    <w:p w:rsidR="000D79EB" w:rsidRPr="00EC589B" w:rsidRDefault="000D79EB" w:rsidP="000D79EB">
      <w:pPr>
        <w:pStyle w:val="para"/>
        <w:rPr>
          <w:b/>
          <w:lang w:val="en-GB"/>
        </w:rPr>
      </w:pPr>
      <w:r w:rsidRPr="000D79EB">
        <w:rPr>
          <w:bCs/>
          <w:lang w:val="en-GB"/>
        </w:rPr>
        <w:t>2.1.</w:t>
      </w:r>
      <w:r w:rsidRPr="00EC589B">
        <w:rPr>
          <w:b/>
          <w:lang w:val="en-GB"/>
        </w:rPr>
        <w:tab/>
      </w:r>
      <w:r w:rsidRPr="000D79EB">
        <w:rPr>
          <w:bCs/>
          <w:lang w:val="en-GB"/>
        </w:rPr>
        <w:t>Relationship between the H-point and the R-point</w:t>
      </w:r>
    </w:p>
    <w:p w:rsidR="000D79EB" w:rsidRPr="000D79EB" w:rsidRDefault="000D79EB" w:rsidP="000D79EB">
      <w:pPr>
        <w:pStyle w:val="para"/>
        <w:rPr>
          <w:bCs/>
          <w:lang w:val="en-US"/>
        </w:rPr>
      </w:pPr>
      <w:r w:rsidRPr="00EC589B">
        <w:rPr>
          <w:b/>
          <w:lang w:val="en-GB"/>
        </w:rPr>
        <w:tab/>
      </w:r>
      <w:r w:rsidRPr="000D79EB">
        <w:rPr>
          <w:bCs/>
          <w:lang w:val="en-GB"/>
        </w:rPr>
        <w:t xml:space="preserve">The seat is adjusted such that its </w:t>
      </w:r>
      <w:r w:rsidR="006A6204">
        <w:rPr>
          <w:b/>
          <w:lang w:val="en-GB"/>
        </w:rPr>
        <w:t>d</w:t>
      </w:r>
      <w:r w:rsidRPr="000D79EB">
        <w:rPr>
          <w:b/>
          <w:lang w:val="en-GB"/>
        </w:rPr>
        <w:t>esign</w:t>
      </w:r>
      <w:r>
        <w:rPr>
          <w:bCs/>
          <w:lang w:val="en-GB"/>
        </w:rPr>
        <w:t xml:space="preserve"> </w:t>
      </w:r>
      <w:r w:rsidRPr="000D79EB">
        <w:rPr>
          <w:bCs/>
          <w:lang w:val="en-GB"/>
        </w:rPr>
        <w:t xml:space="preserve">H-point coincides with the R-point; if the seat back is adjustable, it is at the seat back inclination corresponding to the design torso angle; the relationship between the </w:t>
      </w:r>
      <w:r w:rsidR="006A6204" w:rsidRPr="006A6204">
        <w:rPr>
          <w:b/>
          <w:lang w:val="en-GB"/>
        </w:rPr>
        <w:t>actual</w:t>
      </w:r>
      <w:r w:rsidR="006A6204">
        <w:rPr>
          <w:bCs/>
          <w:lang w:val="en-GB"/>
        </w:rPr>
        <w:t xml:space="preserve"> </w:t>
      </w:r>
      <w:r w:rsidRPr="000D79EB">
        <w:rPr>
          <w:bCs/>
          <w:lang w:val="en-GB"/>
        </w:rPr>
        <w:t xml:space="preserve">H-point and the R-point shall be in accordance with the requirements of paragraph </w:t>
      </w:r>
      <w:r w:rsidRPr="006A6204">
        <w:rPr>
          <w:bCs/>
          <w:strike/>
          <w:lang w:val="en-GB"/>
        </w:rPr>
        <w:t>2.</w:t>
      </w:r>
      <w:r w:rsidR="006A6204" w:rsidRPr="006A6204">
        <w:rPr>
          <w:bCs/>
          <w:strike/>
          <w:lang w:val="en-GB"/>
        </w:rPr>
        <w:t>2.</w:t>
      </w:r>
      <w:r w:rsidR="006A6204">
        <w:rPr>
          <w:bCs/>
          <w:lang w:val="en-GB"/>
        </w:rPr>
        <w:t xml:space="preserve"> </w:t>
      </w:r>
      <w:r w:rsidR="006A6204" w:rsidRPr="006A6204">
        <w:rPr>
          <w:b/>
          <w:lang w:val="en-GB"/>
        </w:rPr>
        <w:t>2.1.1</w:t>
      </w:r>
      <w:r w:rsidRPr="006A6204">
        <w:rPr>
          <w:b/>
          <w:lang w:val="en-GB"/>
        </w:rPr>
        <w:t>.</w:t>
      </w:r>
      <w:r w:rsidRPr="000D79EB">
        <w:rPr>
          <w:bCs/>
          <w:lang w:val="en-GB" w:eastAsia="ja-JP"/>
        </w:rPr>
        <w:t xml:space="preserve"> </w:t>
      </w:r>
      <w:r w:rsidRPr="000D79EB">
        <w:rPr>
          <w:bCs/>
          <w:lang w:val="en-GB"/>
        </w:rPr>
        <w:t>of Annex 11.</w:t>
      </w:r>
    </w:p>
    <w:p w:rsidR="000D79EB" w:rsidRPr="006A6204" w:rsidRDefault="000D79EB" w:rsidP="000D79EB">
      <w:pPr>
        <w:pStyle w:val="para"/>
        <w:rPr>
          <w:bCs/>
          <w:lang w:val="en-GB"/>
        </w:rPr>
      </w:pPr>
      <w:r w:rsidRPr="00EC589B">
        <w:rPr>
          <w:b/>
          <w:lang w:val="en-GB"/>
        </w:rPr>
        <w:tab/>
      </w:r>
      <w:r w:rsidRPr="006A6204">
        <w:rPr>
          <w:bCs/>
          <w:lang w:val="en-GB"/>
        </w:rPr>
        <w:t xml:space="preserve">If, elsewhere during head restraint testing, the </w:t>
      </w:r>
      <w:r w:rsidR="006A6204" w:rsidRPr="006A6204">
        <w:rPr>
          <w:b/>
          <w:lang w:val="en-GB"/>
        </w:rPr>
        <w:t>actual</w:t>
      </w:r>
      <w:r w:rsidR="006A6204">
        <w:rPr>
          <w:bCs/>
          <w:lang w:val="en-GB"/>
        </w:rPr>
        <w:t xml:space="preserve"> </w:t>
      </w:r>
      <w:r w:rsidRPr="006A6204">
        <w:rPr>
          <w:bCs/>
          <w:lang w:val="en-GB"/>
        </w:rPr>
        <w:t xml:space="preserve">H-point and actual torso angle have been found in accordance with paragraph </w:t>
      </w:r>
      <w:r w:rsidRPr="006A6204">
        <w:rPr>
          <w:bCs/>
          <w:strike/>
          <w:lang w:val="en-GB"/>
        </w:rPr>
        <w:t>2.2.1.</w:t>
      </w:r>
      <w:r w:rsidRPr="006A6204">
        <w:rPr>
          <w:bCs/>
          <w:lang w:val="en-GB"/>
        </w:rPr>
        <w:t xml:space="preserve"> </w:t>
      </w:r>
      <w:r w:rsidR="006A6204">
        <w:rPr>
          <w:bCs/>
          <w:lang w:val="en-GB"/>
        </w:rPr>
        <w:t xml:space="preserve"> </w:t>
      </w:r>
      <w:r w:rsidR="006A6204" w:rsidRPr="006A6204">
        <w:rPr>
          <w:b/>
          <w:lang w:val="en-GB"/>
        </w:rPr>
        <w:t>2.1.1.</w:t>
      </w:r>
      <w:r w:rsidR="006A6204">
        <w:rPr>
          <w:bCs/>
          <w:lang w:val="en-GB"/>
        </w:rPr>
        <w:t xml:space="preserve"> </w:t>
      </w:r>
      <w:r w:rsidRPr="006A6204">
        <w:rPr>
          <w:bCs/>
          <w:lang w:val="en-GB"/>
        </w:rPr>
        <w:t>of Annex 11, the check on the relationship does not need to be repeated for the height measurement test procedure of this Annex.</w:t>
      </w:r>
    </w:p>
    <w:p w:rsidR="000D79EB" w:rsidRPr="006A6204" w:rsidRDefault="000D79EB" w:rsidP="000D79EB">
      <w:pPr>
        <w:pStyle w:val="para"/>
        <w:rPr>
          <w:bCs/>
          <w:lang w:val="en-GB"/>
        </w:rPr>
      </w:pPr>
      <w:r w:rsidRPr="006A6204">
        <w:rPr>
          <w:bCs/>
          <w:lang w:val="en-GB"/>
        </w:rPr>
        <w:tab/>
        <w:t>Alternative:</w:t>
      </w:r>
    </w:p>
    <w:p w:rsidR="000D79EB" w:rsidRDefault="000D79EB" w:rsidP="000D79EB">
      <w:pPr>
        <w:pStyle w:val="para"/>
        <w:rPr>
          <w:bCs/>
          <w:lang w:val="en-GB"/>
        </w:rPr>
      </w:pPr>
      <w:r w:rsidRPr="006A6204">
        <w:rPr>
          <w:bCs/>
          <w:lang w:val="en-GB"/>
        </w:rPr>
        <w:tab/>
        <w:t xml:space="preserve">If, elsewhere during head restraint testing, the </w:t>
      </w:r>
      <w:r w:rsidR="006A6204" w:rsidRPr="006A6204">
        <w:rPr>
          <w:b/>
          <w:lang w:val="en-GB"/>
        </w:rPr>
        <w:t>actual</w:t>
      </w:r>
      <w:r w:rsidR="006A6204">
        <w:rPr>
          <w:bCs/>
          <w:lang w:val="en-GB"/>
        </w:rPr>
        <w:t xml:space="preserve"> </w:t>
      </w:r>
      <w:r w:rsidRPr="006A6204">
        <w:rPr>
          <w:bCs/>
          <w:lang w:val="en-GB"/>
        </w:rPr>
        <w:t xml:space="preserve">H-point and/or actual torso angle have not been found in accordance with Annex 11 paragraph </w:t>
      </w:r>
      <w:r w:rsidRPr="006A6204">
        <w:rPr>
          <w:bCs/>
          <w:strike/>
          <w:lang w:val="en-GB"/>
        </w:rPr>
        <w:t>2.2.1</w:t>
      </w:r>
      <w:r w:rsidRPr="006A6204">
        <w:rPr>
          <w:bCs/>
          <w:lang w:val="en-GB"/>
        </w:rPr>
        <w:t>.</w:t>
      </w:r>
      <w:r w:rsidR="006A6204">
        <w:rPr>
          <w:bCs/>
          <w:lang w:val="en-GB"/>
        </w:rPr>
        <w:t xml:space="preserve"> </w:t>
      </w:r>
      <w:r w:rsidR="006A6204" w:rsidRPr="006A6204">
        <w:rPr>
          <w:b/>
          <w:lang w:val="en-GB"/>
        </w:rPr>
        <w:t>2.1.1.</w:t>
      </w:r>
      <w:r w:rsidRPr="006A6204">
        <w:rPr>
          <w:bCs/>
          <w:lang w:val="en-GB"/>
        </w:rPr>
        <w:t xml:space="preserve">, but consequently paragraph </w:t>
      </w:r>
      <w:r w:rsidRPr="006A6204">
        <w:rPr>
          <w:bCs/>
          <w:strike/>
          <w:lang w:val="en-GB"/>
        </w:rPr>
        <w:t>2.2.3.</w:t>
      </w:r>
      <w:r w:rsidRPr="006A6204">
        <w:rPr>
          <w:bCs/>
          <w:lang w:val="en-GB"/>
        </w:rPr>
        <w:t xml:space="preserve"> </w:t>
      </w:r>
      <w:r w:rsidR="006A6204" w:rsidRPr="006A6204">
        <w:rPr>
          <w:b/>
          <w:lang w:val="en-GB"/>
        </w:rPr>
        <w:t>2.1.3</w:t>
      </w:r>
      <w:r w:rsidR="006A6204">
        <w:rPr>
          <w:bCs/>
          <w:lang w:val="en-GB"/>
        </w:rPr>
        <w:t xml:space="preserve">. </w:t>
      </w:r>
      <w:r w:rsidRPr="006A6204">
        <w:rPr>
          <w:bCs/>
          <w:lang w:val="en-GB"/>
        </w:rPr>
        <w:t xml:space="preserve">or paragraph </w:t>
      </w:r>
      <w:r w:rsidRPr="006A6204">
        <w:rPr>
          <w:bCs/>
          <w:strike/>
          <w:lang w:val="en-GB"/>
        </w:rPr>
        <w:t>2.2.4</w:t>
      </w:r>
      <w:r w:rsidRPr="006A6204">
        <w:rPr>
          <w:bCs/>
          <w:lang w:val="en-GB"/>
        </w:rPr>
        <w:t xml:space="preserve">. </w:t>
      </w:r>
      <w:r w:rsidR="006A6204" w:rsidRPr="006A6204">
        <w:rPr>
          <w:b/>
          <w:lang w:val="en-GB"/>
        </w:rPr>
        <w:t>2.1.4.</w:t>
      </w:r>
      <w:r w:rsidR="006A6204">
        <w:rPr>
          <w:bCs/>
          <w:lang w:val="en-GB"/>
        </w:rPr>
        <w:t xml:space="preserve"> </w:t>
      </w:r>
      <w:r w:rsidRPr="006A6204">
        <w:rPr>
          <w:bCs/>
          <w:lang w:val="en-GB"/>
        </w:rPr>
        <w:t>of Annex 11 have been applied, then the check on the relationship shall not be repeated for the height measurement.</w:t>
      </w:r>
    </w:p>
    <w:p w:rsidR="005E0F7E" w:rsidRPr="005E0F7E" w:rsidRDefault="005E0F7E" w:rsidP="000D79EB">
      <w:pPr>
        <w:pStyle w:val="para"/>
        <w:rPr>
          <w:bCs/>
          <w:i/>
          <w:iCs/>
          <w:lang w:val="en-GB"/>
        </w:rPr>
      </w:pPr>
      <w:r w:rsidRPr="005E0F7E">
        <w:rPr>
          <w:bCs/>
          <w:i/>
          <w:iCs/>
          <w:lang w:val="en-GB"/>
        </w:rPr>
        <w:t xml:space="preserve">Annex 11, paragraph 2.1.1., amend to </w:t>
      </w:r>
      <w:proofErr w:type="gramStart"/>
      <w:r w:rsidRPr="005E0F7E">
        <w:rPr>
          <w:bCs/>
          <w:i/>
          <w:iCs/>
          <w:lang w:val="en-GB"/>
        </w:rPr>
        <w:t>read :</w:t>
      </w:r>
      <w:proofErr w:type="gramEnd"/>
    </w:p>
    <w:p w:rsidR="005E0F7E" w:rsidRPr="005E0F7E" w:rsidRDefault="005E0F7E" w:rsidP="005E0F7E">
      <w:pPr>
        <w:widowControl w:val="0"/>
        <w:tabs>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120" w:after="120" w:line="240" w:lineRule="auto"/>
        <w:ind w:left="2268" w:right="850" w:hanging="1134"/>
        <w:jc w:val="both"/>
        <w:rPr>
          <w:bCs/>
        </w:rPr>
      </w:pPr>
      <w:r w:rsidRPr="005E0F7E">
        <w:rPr>
          <w:bCs/>
        </w:rPr>
        <w:t>2.1.1.</w:t>
      </w:r>
      <w:r w:rsidRPr="005E0F7E">
        <w:rPr>
          <w:bCs/>
        </w:rPr>
        <w:tab/>
        <w:t>Relationship between the H-point and the R-point</w:t>
      </w:r>
    </w:p>
    <w:p w:rsidR="005E0F7E" w:rsidRPr="005E0F7E" w:rsidRDefault="005E0F7E" w:rsidP="005E0F7E">
      <w:pPr>
        <w:spacing w:before="120" w:after="120"/>
        <w:ind w:left="2268" w:right="850" w:hanging="1134"/>
        <w:jc w:val="both"/>
        <w:rPr>
          <w:bCs/>
        </w:rPr>
      </w:pPr>
      <w:r w:rsidRPr="005E0F7E">
        <w:rPr>
          <w:bCs/>
        </w:rPr>
        <w:tab/>
        <w:t>When the seat is</w:t>
      </w:r>
      <w:r>
        <w:rPr>
          <w:rFonts w:hint="eastAsia"/>
          <w:bCs/>
          <w:lang w:eastAsia="ja-JP"/>
        </w:rPr>
        <w:t xml:space="preserve"> </w:t>
      </w:r>
      <w:r w:rsidRPr="005E0F7E">
        <w:rPr>
          <w:bCs/>
        </w:rPr>
        <w:t>positioned in accordance to the manufacturer's specifications, following the procedure of Annex 3</w:t>
      </w:r>
      <w:r w:rsidRPr="005E0F7E">
        <w:rPr>
          <w:b/>
        </w:rPr>
        <w:t>,</w:t>
      </w:r>
      <w:r w:rsidRPr="005E0F7E">
        <w:rPr>
          <w:bCs/>
        </w:rPr>
        <w:t xml:space="preserve"> the </w:t>
      </w:r>
      <w:r w:rsidRPr="005E0F7E">
        <w:rPr>
          <w:b/>
        </w:rPr>
        <w:t>actual</w:t>
      </w:r>
      <w:r>
        <w:rPr>
          <w:bCs/>
        </w:rPr>
        <w:t xml:space="preserve"> </w:t>
      </w:r>
      <w:r w:rsidRPr="005E0F7E">
        <w:rPr>
          <w:bCs/>
        </w:rPr>
        <w:t>H-point, as defined by its co-ordinates, shall lie within a square of 50 mm side length with horizontal and vertical sides whose diagonals intersect at the R-point, and the actual torso angle is within 5 ° of the design torso angle.</w:t>
      </w:r>
    </w:p>
    <w:p w:rsidR="005E0F7E" w:rsidRPr="008E16E9" w:rsidRDefault="008E16E9" w:rsidP="000D79EB">
      <w:pPr>
        <w:pStyle w:val="para"/>
        <w:rPr>
          <w:bCs/>
          <w:i/>
          <w:iCs/>
          <w:lang w:val="en-GB"/>
        </w:rPr>
      </w:pPr>
      <w:r w:rsidRPr="008E16E9">
        <w:rPr>
          <w:bCs/>
          <w:i/>
          <w:iCs/>
          <w:lang w:val="en-GB"/>
        </w:rPr>
        <w:t xml:space="preserve">Annex 11, paragraph 2.3., amend to </w:t>
      </w:r>
      <w:proofErr w:type="gramStart"/>
      <w:r w:rsidRPr="008E16E9">
        <w:rPr>
          <w:bCs/>
          <w:i/>
          <w:iCs/>
          <w:lang w:val="en-GB"/>
        </w:rPr>
        <w:t>read :</w:t>
      </w:r>
      <w:proofErr w:type="gramEnd"/>
    </w:p>
    <w:p w:rsidR="008E16E9" w:rsidRPr="008E16E9" w:rsidRDefault="008E16E9" w:rsidP="008E16E9">
      <w:pPr>
        <w:widowControl w:val="0"/>
        <w:tabs>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120" w:after="120" w:line="240" w:lineRule="auto"/>
        <w:ind w:left="2268" w:right="850" w:hanging="1134"/>
        <w:jc w:val="both"/>
        <w:rPr>
          <w:bCs/>
        </w:rPr>
      </w:pPr>
      <w:r w:rsidRPr="008E16E9">
        <w:rPr>
          <w:bCs/>
        </w:rPr>
        <w:t>2.3.</w:t>
      </w:r>
      <w:r w:rsidRPr="008E16E9">
        <w:rPr>
          <w:bCs/>
        </w:rPr>
        <w:tab/>
        <w:t xml:space="preserve">Adjust the front head restraint so that its </w:t>
      </w:r>
      <w:r w:rsidRPr="008E16E9">
        <w:rPr>
          <w:bCs/>
          <w:strike/>
        </w:rPr>
        <w:t>top</w:t>
      </w:r>
      <w:r w:rsidRPr="008E16E9">
        <w:rPr>
          <w:bCs/>
        </w:rPr>
        <w:t xml:space="preserve"> point IP is at any height between and inclusive of </w:t>
      </w:r>
      <w:r w:rsidRPr="008E16E9">
        <w:rPr>
          <w:bCs/>
          <w:lang w:eastAsia="ja-JP"/>
        </w:rPr>
        <w:t xml:space="preserve">720 </w:t>
      </w:r>
      <w:r w:rsidRPr="008E16E9">
        <w:rPr>
          <w:bCs/>
        </w:rPr>
        <w:t>mm and</w:t>
      </w:r>
      <w:r w:rsidRPr="008E16E9">
        <w:rPr>
          <w:bCs/>
          <w:lang w:eastAsia="ja-JP"/>
        </w:rPr>
        <w:t xml:space="preserve"> </w:t>
      </w:r>
      <w:r w:rsidRPr="008E16E9">
        <w:rPr>
          <w:bCs/>
        </w:rPr>
        <w:t xml:space="preserve">830 mm of paragraph of </w:t>
      </w:r>
      <w:r w:rsidRPr="008E16E9">
        <w:rPr>
          <w:bCs/>
          <w:strike/>
        </w:rPr>
        <w:t>5.6.6.2.</w:t>
      </w:r>
      <w:r w:rsidRPr="008E16E9">
        <w:rPr>
          <w:bCs/>
        </w:rPr>
        <w:t xml:space="preserve"> </w:t>
      </w:r>
      <w:r w:rsidRPr="008E16E9">
        <w:rPr>
          <w:b/>
        </w:rPr>
        <w:t>5.6.2.1.</w:t>
      </w:r>
      <w:r>
        <w:rPr>
          <w:bCs/>
        </w:rPr>
        <w:t xml:space="preserve"> </w:t>
      </w:r>
      <w:r w:rsidRPr="008E16E9">
        <w:rPr>
          <w:bCs/>
        </w:rPr>
        <w:t xml:space="preserve">of this Regulation, measured as described in Annex 10. If the lowest position of adjustment is above 830 mm, adjust the head restraint to that lowest position of adjustment.  </w:t>
      </w:r>
    </w:p>
    <w:p w:rsidR="008E16E9" w:rsidRPr="006A6204" w:rsidRDefault="008E16E9" w:rsidP="000D79EB">
      <w:pPr>
        <w:pStyle w:val="para"/>
        <w:rPr>
          <w:bCs/>
          <w:lang w:val="en-GB"/>
        </w:rPr>
      </w:pPr>
    </w:p>
    <w:p w:rsidR="00D45C1C" w:rsidRPr="00D45C1C" w:rsidRDefault="00D45C1C" w:rsidP="00D45C1C">
      <w:pPr>
        <w:pStyle w:val="SingleTxtG"/>
        <w:rPr>
          <w:bCs/>
          <w:color w:val="000000"/>
          <w:lang w:eastAsia="zh-CN"/>
        </w:rPr>
      </w:pPr>
      <w:r w:rsidRPr="00D45C1C">
        <w:rPr>
          <w:i/>
          <w:color w:val="000000"/>
        </w:rPr>
        <w:t xml:space="preserve">Annex 13, insert a new paragraph 2.10., </w:t>
      </w:r>
      <w:r w:rsidRPr="00D45C1C">
        <w:rPr>
          <w:iCs/>
          <w:color w:val="000000"/>
        </w:rPr>
        <w:t>to read:</w:t>
      </w:r>
    </w:p>
    <w:p w:rsidR="00D45C1C" w:rsidRPr="00D45C1C" w:rsidRDefault="00D45C1C" w:rsidP="00D45C1C">
      <w:pPr>
        <w:spacing w:after="120"/>
        <w:ind w:left="2268" w:right="850" w:hanging="1134"/>
        <w:jc w:val="both"/>
        <w:rPr>
          <w:b/>
          <w:color w:val="000000"/>
        </w:rPr>
      </w:pPr>
      <w:r w:rsidRPr="00D45C1C">
        <w:rPr>
          <w:bCs/>
          <w:color w:val="000000"/>
        </w:rPr>
        <w:t>"</w:t>
      </w:r>
      <w:r w:rsidRPr="00D45C1C">
        <w:rPr>
          <w:b/>
          <w:color w:val="000000"/>
        </w:rPr>
        <w:t>2.10.</w:t>
      </w:r>
      <w:r w:rsidRPr="00D45C1C">
        <w:rPr>
          <w:b/>
          <w:color w:val="000000"/>
        </w:rPr>
        <w:tab/>
        <w:t>Alternatively, when the manufacturer demonstrates that the difference of the reference positions of the cylinder measured in paragraphs 2.3 and 2.6 of this Annex is smaller than the value required by paragraph 5.7.4. of the Regulation, then the test result will also comply to paragraph 5.7.4. of the Regulation. In this case measurements of paragraphs 2.4. and 2.7. do not need to be recorded.</w:t>
      </w:r>
      <w:r w:rsidRPr="00D45C1C">
        <w:rPr>
          <w:bCs/>
          <w:color w:val="000000"/>
        </w:rPr>
        <w:t>"</w:t>
      </w:r>
    </w:p>
    <w:p w:rsidR="008E16E9" w:rsidRDefault="008E16E9" w:rsidP="00D45C1C">
      <w:pPr>
        <w:pStyle w:val="SingleTxtG"/>
        <w:rPr>
          <w:i/>
          <w:color w:val="000000"/>
        </w:rPr>
      </w:pPr>
    </w:p>
    <w:p w:rsidR="00E32945" w:rsidRDefault="00E32945" w:rsidP="00D45C1C">
      <w:pPr>
        <w:pStyle w:val="SingleTxtG"/>
        <w:rPr>
          <w:i/>
          <w:color w:val="000000"/>
        </w:rPr>
      </w:pPr>
    </w:p>
    <w:p w:rsidR="00680FB7" w:rsidRDefault="00680FB7" w:rsidP="00D45C1C">
      <w:pPr>
        <w:pStyle w:val="SingleTxtG"/>
        <w:rPr>
          <w:i/>
          <w:color w:val="000000"/>
        </w:rPr>
      </w:pPr>
    </w:p>
    <w:p w:rsidR="0027241E" w:rsidRDefault="0027241E" w:rsidP="00D45C1C">
      <w:pPr>
        <w:pStyle w:val="SingleTxtG"/>
        <w:rPr>
          <w:i/>
          <w:color w:val="000000"/>
        </w:rPr>
      </w:pPr>
    </w:p>
    <w:p w:rsidR="00680FB7" w:rsidRDefault="00680FB7" w:rsidP="00D45C1C">
      <w:pPr>
        <w:pStyle w:val="SingleTxtG"/>
        <w:rPr>
          <w:i/>
          <w:color w:val="000000"/>
        </w:rPr>
      </w:pPr>
    </w:p>
    <w:p w:rsidR="00E32945" w:rsidRPr="00D45C1C" w:rsidRDefault="00E32945" w:rsidP="00E32945">
      <w:pPr>
        <w:pStyle w:val="SingleTxtG"/>
        <w:rPr>
          <w:iCs/>
          <w:color w:val="000000"/>
        </w:rPr>
      </w:pPr>
      <w:r w:rsidRPr="00D45C1C">
        <w:rPr>
          <w:i/>
          <w:color w:val="000000"/>
        </w:rPr>
        <w:t>Annex 1</w:t>
      </w:r>
      <w:r>
        <w:rPr>
          <w:i/>
          <w:color w:val="000000"/>
        </w:rPr>
        <w:t>4</w:t>
      </w:r>
      <w:r w:rsidRPr="00D45C1C">
        <w:rPr>
          <w:i/>
          <w:color w:val="000000"/>
        </w:rPr>
        <w:t xml:space="preserve">, </w:t>
      </w:r>
      <w:r>
        <w:rPr>
          <w:i/>
          <w:color w:val="000000"/>
        </w:rPr>
        <w:t>paragraph 3.1.</w:t>
      </w:r>
      <w:r w:rsidR="008C6CE1">
        <w:rPr>
          <w:i/>
          <w:color w:val="000000"/>
        </w:rPr>
        <w:t>4</w:t>
      </w:r>
      <w:r>
        <w:rPr>
          <w:i/>
          <w:color w:val="000000"/>
        </w:rPr>
        <w:t>.1</w:t>
      </w:r>
      <w:r w:rsidRPr="00D45C1C">
        <w:rPr>
          <w:i/>
          <w:color w:val="000000"/>
        </w:rPr>
        <w:t xml:space="preserve">, </w:t>
      </w:r>
      <w:r w:rsidRPr="00D45C1C">
        <w:rPr>
          <w:iCs/>
          <w:color w:val="000000"/>
        </w:rPr>
        <w:t>amend to read:</w:t>
      </w:r>
    </w:p>
    <w:p w:rsidR="008C6CE1" w:rsidRPr="008C6CE1" w:rsidRDefault="008C6CE1" w:rsidP="008C6CE1">
      <w:pPr>
        <w:spacing w:after="120"/>
        <w:ind w:left="2268" w:right="850" w:hanging="1134"/>
        <w:jc w:val="both"/>
        <w:rPr>
          <w:rFonts w:eastAsia="MS Gothic"/>
          <w:bCs/>
        </w:rPr>
      </w:pPr>
      <w:r w:rsidRPr="008C6CE1">
        <w:rPr>
          <w:rFonts w:eastAsia="MS Gothic"/>
          <w:bCs/>
        </w:rPr>
        <w:t>3.</w:t>
      </w:r>
      <w:r w:rsidRPr="008C6CE1">
        <w:rPr>
          <w:rFonts w:eastAsia="MS Gothic"/>
          <w:bCs/>
          <w:lang w:eastAsia="ja-JP"/>
        </w:rPr>
        <w:t>1</w:t>
      </w:r>
      <w:r w:rsidRPr="008C6CE1">
        <w:rPr>
          <w:rFonts w:eastAsia="MS Gothic"/>
          <w:bCs/>
        </w:rPr>
        <w:t>.4.1.</w:t>
      </w:r>
      <w:r w:rsidRPr="008C6CE1">
        <w:rPr>
          <w:rFonts w:eastAsia="MS Gothic"/>
          <w:bCs/>
        </w:rPr>
        <w:tab/>
        <w:t xml:space="preserve">The seat shall be set as specified by the manufacturer, </w:t>
      </w:r>
      <w:proofErr w:type="gramStart"/>
      <w:r w:rsidRPr="008C6CE1">
        <w:rPr>
          <w:rFonts w:eastAsia="MS Gothic"/>
          <w:bCs/>
        </w:rPr>
        <w:t>with regard to</w:t>
      </w:r>
      <w:proofErr w:type="gramEnd"/>
      <w:r w:rsidRPr="008C6CE1">
        <w:rPr>
          <w:rFonts w:eastAsia="MS Gothic"/>
          <w:bCs/>
        </w:rPr>
        <w:t xml:space="preserve"> both the design position of the seat back (see paragraph 2.21. of this Regulation) and the position of the seat itself. This position shall be the one where the </w:t>
      </w:r>
      <w:r w:rsidRPr="008C6CE1">
        <w:rPr>
          <w:rFonts w:eastAsia="MS Gothic"/>
          <w:b/>
        </w:rPr>
        <w:t>design</w:t>
      </w:r>
      <w:r>
        <w:rPr>
          <w:rFonts w:eastAsia="MS Gothic"/>
          <w:bCs/>
        </w:rPr>
        <w:t xml:space="preserve"> </w:t>
      </w:r>
      <w:r w:rsidRPr="008C6CE1">
        <w:rPr>
          <w:rFonts w:eastAsia="MS Gothic"/>
          <w:bCs/>
        </w:rPr>
        <w:t>H-point coincides with R50 point.</w:t>
      </w:r>
    </w:p>
    <w:p w:rsidR="00680FB7" w:rsidRDefault="00680FB7" w:rsidP="008C6CE1">
      <w:pPr>
        <w:pStyle w:val="SingleTxtG"/>
        <w:rPr>
          <w:i/>
          <w:color w:val="000000"/>
        </w:rPr>
      </w:pPr>
    </w:p>
    <w:p w:rsidR="008C6CE1" w:rsidRPr="00D45C1C" w:rsidRDefault="008C6CE1" w:rsidP="008C6CE1">
      <w:pPr>
        <w:pStyle w:val="SingleTxtG"/>
        <w:rPr>
          <w:iCs/>
          <w:color w:val="000000"/>
        </w:rPr>
      </w:pPr>
      <w:r w:rsidRPr="00D45C1C">
        <w:rPr>
          <w:i/>
          <w:color w:val="000000"/>
        </w:rPr>
        <w:t>Annex 1</w:t>
      </w:r>
      <w:r>
        <w:rPr>
          <w:i/>
          <w:color w:val="000000"/>
        </w:rPr>
        <w:t>4</w:t>
      </w:r>
      <w:r w:rsidRPr="00D45C1C">
        <w:rPr>
          <w:i/>
          <w:color w:val="000000"/>
        </w:rPr>
        <w:t xml:space="preserve">, </w:t>
      </w:r>
      <w:r>
        <w:rPr>
          <w:i/>
          <w:color w:val="000000"/>
        </w:rPr>
        <w:t>paragraph 3.1.6.1</w:t>
      </w:r>
      <w:r w:rsidRPr="00D45C1C">
        <w:rPr>
          <w:i/>
          <w:color w:val="000000"/>
        </w:rPr>
        <w:t xml:space="preserve">, </w:t>
      </w:r>
      <w:r w:rsidRPr="00D45C1C">
        <w:rPr>
          <w:iCs/>
          <w:color w:val="000000"/>
        </w:rPr>
        <w:t>amend to read:</w:t>
      </w:r>
    </w:p>
    <w:p w:rsidR="00E32945" w:rsidRPr="00E32945" w:rsidRDefault="00E32945" w:rsidP="00E32945">
      <w:pPr>
        <w:spacing w:after="120"/>
        <w:ind w:left="2268" w:right="850" w:hanging="1134"/>
        <w:jc w:val="both"/>
        <w:rPr>
          <w:bCs/>
        </w:rPr>
      </w:pPr>
      <w:r w:rsidRPr="00E32945">
        <w:rPr>
          <w:bCs/>
        </w:rPr>
        <w:t>3.</w:t>
      </w:r>
      <w:r w:rsidRPr="00E32945">
        <w:rPr>
          <w:bCs/>
          <w:lang w:eastAsia="ja-JP"/>
        </w:rPr>
        <w:t>1</w:t>
      </w:r>
      <w:r w:rsidRPr="00E32945">
        <w:rPr>
          <w:bCs/>
        </w:rPr>
        <w:t>.6.1.</w:t>
      </w:r>
      <w:r w:rsidRPr="00E32945">
        <w:rPr>
          <w:bCs/>
        </w:rPr>
        <w:tab/>
        <w:t xml:space="preserve">Using the 3D-H measuring machine, check that the </w:t>
      </w:r>
      <w:r w:rsidRPr="00E32945">
        <w:rPr>
          <w:b/>
        </w:rPr>
        <w:t>design</w:t>
      </w:r>
      <w:r>
        <w:rPr>
          <w:bCs/>
        </w:rPr>
        <w:t xml:space="preserve"> </w:t>
      </w:r>
      <w:r w:rsidRPr="00E32945">
        <w:rPr>
          <w:bCs/>
        </w:rPr>
        <w:t>H-point coincides with the R50 point, in accordance with the following requirements.</w:t>
      </w:r>
    </w:p>
    <w:p w:rsidR="00E32945" w:rsidRPr="00E32945" w:rsidRDefault="00E32945" w:rsidP="00E32945">
      <w:pPr>
        <w:spacing w:after="120"/>
        <w:ind w:left="2268" w:right="850"/>
        <w:jc w:val="both"/>
        <w:rPr>
          <w:bCs/>
        </w:rPr>
      </w:pPr>
      <w:r w:rsidRPr="00E32945">
        <w:rPr>
          <w:bCs/>
        </w:rPr>
        <w:t>The procedure set out in Annex 3 shall be used to verify the H-point relationship to the R50 point specified by the manufacturer.</w:t>
      </w:r>
    </w:p>
    <w:p w:rsidR="00E32945" w:rsidRPr="00EC589B" w:rsidRDefault="00E32945" w:rsidP="00E32945">
      <w:pPr>
        <w:spacing w:after="120"/>
        <w:ind w:left="2268" w:right="850"/>
        <w:jc w:val="both"/>
        <w:rPr>
          <w:rFonts w:eastAsia="MS PGothic"/>
          <w:b/>
        </w:rPr>
      </w:pPr>
      <w:r w:rsidRPr="00E32945">
        <w:rPr>
          <w:bCs/>
        </w:rPr>
        <w:t>The relative positions of the R-point and the</w:t>
      </w:r>
      <w:r w:rsidR="002045F3">
        <w:rPr>
          <w:bCs/>
        </w:rPr>
        <w:t xml:space="preserve"> </w:t>
      </w:r>
      <w:r w:rsidRPr="00E32945">
        <w:rPr>
          <w:bCs/>
        </w:rPr>
        <w:t xml:space="preserve">H-point relationship shall be considered satisfactory for the seating position in question if the </w:t>
      </w:r>
      <w:r w:rsidRPr="00E32945">
        <w:rPr>
          <w:b/>
        </w:rPr>
        <w:t>actual</w:t>
      </w:r>
      <w:r>
        <w:rPr>
          <w:bCs/>
        </w:rPr>
        <w:t xml:space="preserve"> </w:t>
      </w:r>
      <w:r w:rsidRPr="00E32945">
        <w:rPr>
          <w:bCs/>
        </w:rPr>
        <w:t xml:space="preserve">"H"-point, lies within a square of 50 mm side length with horizontal and vertical sides </w:t>
      </w:r>
      <w:r w:rsidRPr="00E32945">
        <w:rPr>
          <w:bCs/>
          <w:strike/>
        </w:rPr>
        <w:t>F</w:t>
      </w:r>
      <w:r w:rsidRPr="00E32945">
        <w:rPr>
          <w:bCs/>
        </w:rPr>
        <w:t xml:space="preserve"> whose diagonals intersect at the R50 point, and the </w:t>
      </w:r>
      <w:r w:rsidRPr="00E32945">
        <w:rPr>
          <w:b/>
        </w:rPr>
        <w:t>actual</w:t>
      </w:r>
      <w:r>
        <w:rPr>
          <w:bCs/>
        </w:rPr>
        <w:t xml:space="preserve"> </w:t>
      </w:r>
      <w:r w:rsidRPr="00E32945">
        <w:rPr>
          <w:bCs/>
        </w:rPr>
        <w:t>torso angle is within 5° of the design torso angle.</w:t>
      </w:r>
    </w:p>
    <w:p w:rsidR="00E32945" w:rsidRDefault="00E32945" w:rsidP="00D45C1C">
      <w:pPr>
        <w:pStyle w:val="SingleTxtG"/>
        <w:rPr>
          <w:i/>
          <w:color w:val="000000"/>
        </w:rPr>
      </w:pPr>
    </w:p>
    <w:p w:rsidR="00D45C1C" w:rsidRPr="00987619" w:rsidRDefault="00D45C1C" w:rsidP="00D45C1C">
      <w:pPr>
        <w:pStyle w:val="HChG"/>
      </w:pPr>
      <w:r>
        <w:tab/>
      </w:r>
      <w:r w:rsidRPr="00987619">
        <w:t>II.</w:t>
      </w:r>
      <w:r w:rsidRPr="00987619">
        <w:tab/>
        <w:t>Justification</w:t>
      </w:r>
    </w:p>
    <w:p w:rsidR="00D45C1C" w:rsidRPr="00D45C1C" w:rsidRDefault="00D45C1C" w:rsidP="00D45C1C">
      <w:pPr>
        <w:pStyle w:val="SingleTxtG"/>
        <w:rPr>
          <w:color w:val="000000"/>
        </w:rPr>
      </w:pPr>
      <w:r w:rsidRPr="00D45C1C">
        <w:rPr>
          <w:color w:val="000000"/>
        </w:rPr>
        <w:t>1.</w:t>
      </w:r>
      <w:r w:rsidRPr="00D45C1C">
        <w:rPr>
          <w:color w:val="000000"/>
        </w:rPr>
        <w:tab/>
        <w:t>When the experts from CLEPA started to apply the draft 10 series of amendments to UN Regulation No. 17, they experienced different ways to apply the proposed amendments which made it necessary to add some clarifications.</w:t>
      </w:r>
    </w:p>
    <w:p w:rsidR="00D45C1C" w:rsidRPr="00D45C1C" w:rsidRDefault="00D45C1C" w:rsidP="00D45C1C">
      <w:pPr>
        <w:pStyle w:val="SingleTxtG"/>
        <w:rPr>
          <w:color w:val="000000"/>
        </w:rPr>
      </w:pPr>
      <w:r w:rsidRPr="00D45C1C">
        <w:rPr>
          <w:color w:val="000000"/>
        </w:rPr>
        <w:t>2.</w:t>
      </w:r>
      <w:r w:rsidRPr="00D45C1C">
        <w:rPr>
          <w:color w:val="000000"/>
        </w:rPr>
        <w:tab/>
      </w:r>
      <w:r w:rsidR="00DA41C6">
        <w:rPr>
          <w:color w:val="000000"/>
        </w:rPr>
        <w:t>Several changes only treat the difference of design H-point and measured H-point and references to the respective measurement procedures of Annex 10 and Annex 11</w:t>
      </w:r>
      <w:r w:rsidRPr="00D45C1C">
        <w:rPr>
          <w:color w:val="000000"/>
        </w:rPr>
        <w:t>.</w:t>
      </w:r>
    </w:p>
    <w:p w:rsidR="00D45C1C" w:rsidRDefault="00D45C1C" w:rsidP="00D45C1C">
      <w:pPr>
        <w:pStyle w:val="SingleTxtG"/>
        <w:rPr>
          <w:color w:val="000000"/>
        </w:rPr>
      </w:pPr>
      <w:r w:rsidRPr="00D45C1C">
        <w:rPr>
          <w:color w:val="000000"/>
        </w:rPr>
        <w:t>3.</w:t>
      </w:r>
      <w:r w:rsidRPr="00D45C1C">
        <w:rPr>
          <w:color w:val="000000"/>
        </w:rPr>
        <w:tab/>
        <w:t xml:space="preserve">In addition, the gap measurement procedure by the sphere was modified in the </w:t>
      </w:r>
      <w:r w:rsidRPr="00987619">
        <w:t>Federal Motor Vehicle Safety Standard 202a</w:t>
      </w:r>
      <w:r w:rsidRPr="00D45C1C">
        <w:rPr>
          <w:color w:val="000000"/>
        </w:rPr>
        <w:t xml:space="preserve"> to consider only gaps in the area over 540 mm. This proposal adds the proposed area where the gap is considered for the sphere method. </w:t>
      </w:r>
    </w:p>
    <w:p w:rsidR="002D6FE5" w:rsidRPr="00D45C1C" w:rsidRDefault="002D6FE5" w:rsidP="00D45C1C">
      <w:pPr>
        <w:pStyle w:val="SingleTxtG"/>
        <w:rPr>
          <w:color w:val="000000"/>
        </w:rPr>
      </w:pPr>
      <w:r>
        <w:rPr>
          <w:color w:val="000000"/>
        </w:rPr>
        <w:t>4.</w:t>
      </w:r>
      <w:r>
        <w:rPr>
          <w:color w:val="000000"/>
        </w:rPr>
        <w:tab/>
        <w:t xml:space="preserve">The alternative 5.8.4.5. which is the label alternative for non-use positions shall be allowed on rear head restraints and front </w:t>
      </w:r>
      <w:proofErr w:type="spellStart"/>
      <w:r>
        <w:rPr>
          <w:color w:val="000000"/>
        </w:rPr>
        <w:t>center</w:t>
      </w:r>
      <w:proofErr w:type="spellEnd"/>
      <w:r>
        <w:rPr>
          <w:color w:val="000000"/>
        </w:rPr>
        <w:t xml:space="preserve"> head restraints.</w:t>
      </w:r>
    </w:p>
    <w:p w:rsidR="00D45C1C" w:rsidRPr="00D45C1C" w:rsidRDefault="002D6FE5" w:rsidP="00DA41C6">
      <w:pPr>
        <w:pStyle w:val="SingleTxtG"/>
        <w:rPr>
          <w:color w:val="000000"/>
        </w:rPr>
      </w:pPr>
      <w:r>
        <w:t>5</w:t>
      </w:r>
      <w:r w:rsidR="00DA41C6">
        <w:t>.</w:t>
      </w:r>
      <w:r w:rsidR="00DA41C6">
        <w:tab/>
        <w:t>Concerning the new paragraph 2.10 to Annex7 Height Retention Test. The aim of this paragraph is to facilitate the test for the laboratories which can more easily measure the displacement on the top of the head restraint. As the displacement of the head restraint on the top of the head restraint is greater than on the bottom of the head restraint, any head restraint fulfilling the displacement requirement of 25mm already on the top of the head</w:t>
      </w:r>
      <w:r>
        <w:t>.</w:t>
      </w:r>
    </w:p>
    <w:p w:rsidR="00D45C1C" w:rsidRPr="00D45C1C" w:rsidRDefault="00D45C1C" w:rsidP="00D45C1C">
      <w:pPr>
        <w:spacing w:before="240"/>
        <w:ind w:left="1134" w:right="1134"/>
        <w:jc w:val="center"/>
        <w:rPr>
          <w:color w:val="000000"/>
          <w:u w:val="single"/>
        </w:rPr>
      </w:pPr>
      <w:r w:rsidRPr="00D45C1C">
        <w:rPr>
          <w:color w:val="000000"/>
          <w:u w:val="single"/>
        </w:rPr>
        <w:tab/>
      </w:r>
      <w:r w:rsidRPr="00D45C1C">
        <w:rPr>
          <w:color w:val="000000"/>
          <w:u w:val="single"/>
        </w:rPr>
        <w:tab/>
      </w:r>
      <w:r w:rsidRPr="00D45C1C">
        <w:rPr>
          <w:color w:val="000000"/>
          <w:u w:val="single"/>
        </w:rPr>
        <w:tab/>
      </w:r>
      <w:r w:rsidRPr="00D45C1C">
        <w:rPr>
          <w:color w:val="000000"/>
          <w:u w:val="single"/>
        </w:rPr>
        <w:tab/>
      </w:r>
    </w:p>
    <w:p w:rsidR="00BF7174" w:rsidRDefault="00BF7174" w:rsidP="00EE3F7E">
      <w:pPr>
        <w:pStyle w:val="SingleTxtG"/>
      </w:pPr>
    </w:p>
    <w:p w:rsidR="007A4510" w:rsidRDefault="007A4510" w:rsidP="00EE3F7E">
      <w:pPr>
        <w:pStyle w:val="SingleTxtG"/>
      </w:pPr>
    </w:p>
    <w:p w:rsidR="007A4510" w:rsidRDefault="007A4510" w:rsidP="00EE3F7E">
      <w:pPr>
        <w:pStyle w:val="SingleTxtG"/>
      </w:pPr>
    </w:p>
    <w:p w:rsidR="00EE3F7E" w:rsidRDefault="00EE3F7E" w:rsidP="00DA41C6">
      <w:pPr>
        <w:pStyle w:val="HChG"/>
        <w:spacing w:before="120"/>
        <w:rPr>
          <w:lang w:val="en-US"/>
        </w:rPr>
      </w:pPr>
      <w:r w:rsidRPr="00912CD2">
        <w:rPr>
          <w:bCs/>
        </w:rPr>
        <w:tab/>
      </w:r>
    </w:p>
    <w:p w:rsidR="001843AC" w:rsidRPr="001843AC" w:rsidRDefault="001843AC" w:rsidP="001843AC">
      <w:pPr>
        <w:pStyle w:val="SingleTxtG"/>
        <w:spacing w:before="240" w:after="0"/>
        <w:jc w:val="center"/>
        <w:rPr>
          <w:sz w:val="18"/>
          <w:szCs w:val="18"/>
          <w:u w:val="single"/>
          <w:lang w:val="en-US"/>
        </w:rPr>
      </w:pPr>
    </w:p>
    <w:sectPr w:rsidR="001843AC" w:rsidRPr="001843AC" w:rsidSect="00D211E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F9" w:rsidRDefault="008258F9"/>
  </w:endnote>
  <w:endnote w:type="continuationSeparator" w:id="0">
    <w:p w:rsidR="008258F9" w:rsidRDefault="008258F9"/>
  </w:endnote>
  <w:endnote w:type="continuationNotice" w:id="1">
    <w:p w:rsidR="008258F9" w:rsidRDefault="00825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B8" w:rsidRPr="00D211E9" w:rsidRDefault="00E145B8" w:rsidP="00D211E9">
    <w:pPr>
      <w:pStyle w:val="Footer"/>
      <w:tabs>
        <w:tab w:val="right" w:pos="9638"/>
      </w:tabs>
      <w:rPr>
        <w:sz w:val="18"/>
      </w:rPr>
    </w:pPr>
    <w:r w:rsidRPr="00D211E9">
      <w:rPr>
        <w:b/>
        <w:sz w:val="18"/>
      </w:rPr>
      <w:fldChar w:fldCharType="begin"/>
    </w:r>
    <w:r w:rsidRPr="00D211E9">
      <w:rPr>
        <w:b/>
        <w:sz w:val="18"/>
      </w:rPr>
      <w:instrText xml:space="preserve"> PAGE  \* MERGEFORMAT </w:instrText>
    </w:r>
    <w:r w:rsidRPr="00D211E9">
      <w:rPr>
        <w:b/>
        <w:sz w:val="18"/>
      </w:rPr>
      <w:fldChar w:fldCharType="separate"/>
    </w:r>
    <w:r>
      <w:rPr>
        <w:b/>
        <w:noProof/>
        <w:sz w:val="18"/>
      </w:rPr>
      <w:t>2</w:t>
    </w:r>
    <w:r w:rsidRPr="00D211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B8" w:rsidRPr="00D211E9" w:rsidRDefault="00E145B8" w:rsidP="00D211E9">
    <w:pPr>
      <w:pStyle w:val="Footer"/>
      <w:tabs>
        <w:tab w:val="right" w:pos="9638"/>
      </w:tabs>
      <w:rPr>
        <w:b/>
        <w:sz w:val="18"/>
      </w:rPr>
    </w:pPr>
    <w:r>
      <w:tab/>
    </w:r>
    <w:r w:rsidRPr="00D211E9">
      <w:rPr>
        <w:b/>
        <w:sz w:val="18"/>
      </w:rPr>
      <w:fldChar w:fldCharType="begin"/>
    </w:r>
    <w:r w:rsidRPr="00D211E9">
      <w:rPr>
        <w:b/>
        <w:sz w:val="18"/>
      </w:rPr>
      <w:instrText xml:space="preserve"> PAGE  \* MERGEFORMAT </w:instrText>
    </w:r>
    <w:r w:rsidRPr="00D211E9">
      <w:rPr>
        <w:b/>
        <w:sz w:val="18"/>
      </w:rPr>
      <w:fldChar w:fldCharType="separate"/>
    </w:r>
    <w:r>
      <w:rPr>
        <w:b/>
        <w:noProof/>
        <w:sz w:val="18"/>
      </w:rPr>
      <w:t>3</w:t>
    </w:r>
    <w:r w:rsidRPr="00D211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01" w:rsidRDefault="009A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F9" w:rsidRPr="000B175B" w:rsidRDefault="008258F9" w:rsidP="000B175B">
      <w:pPr>
        <w:tabs>
          <w:tab w:val="right" w:pos="2155"/>
        </w:tabs>
        <w:spacing w:after="80"/>
        <w:ind w:left="680"/>
        <w:rPr>
          <w:u w:val="single"/>
        </w:rPr>
      </w:pPr>
      <w:r>
        <w:rPr>
          <w:u w:val="single"/>
        </w:rPr>
        <w:tab/>
      </w:r>
    </w:p>
  </w:footnote>
  <w:footnote w:type="continuationSeparator" w:id="0">
    <w:p w:rsidR="008258F9" w:rsidRPr="00FC68B7" w:rsidRDefault="008258F9" w:rsidP="00FC68B7">
      <w:pPr>
        <w:tabs>
          <w:tab w:val="left" w:pos="2155"/>
        </w:tabs>
        <w:spacing w:after="80"/>
        <w:ind w:left="680"/>
        <w:rPr>
          <w:u w:val="single"/>
        </w:rPr>
      </w:pPr>
      <w:r>
        <w:rPr>
          <w:u w:val="single"/>
        </w:rPr>
        <w:tab/>
      </w:r>
    </w:p>
  </w:footnote>
  <w:footnote w:type="continuationNotice" w:id="1">
    <w:p w:rsidR="008258F9" w:rsidRDefault="00825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01" w:rsidRDefault="009A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B8" w:rsidRPr="00D211E9" w:rsidRDefault="00E145B8" w:rsidP="00D211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E145B8" w:rsidRPr="00D43C6F" w:rsidTr="003E1553">
      <w:tc>
        <w:tcPr>
          <w:tcW w:w="4395" w:type="dxa"/>
        </w:tcPr>
        <w:p w:rsidR="00E145B8" w:rsidRPr="00D43C6F" w:rsidRDefault="00E145B8" w:rsidP="003E1553">
          <w:pPr>
            <w:ind w:left="120"/>
            <w:rPr>
              <w:lang w:eastAsia="ja-JP"/>
            </w:rPr>
          </w:pPr>
          <w:r w:rsidRPr="00D43C6F">
            <w:rPr>
              <w:lang w:val="en-US"/>
            </w:rPr>
            <w:t xml:space="preserve">Submitted by the </w:t>
          </w:r>
          <w:r>
            <w:rPr>
              <w:lang w:val="en-US"/>
            </w:rPr>
            <w:t xml:space="preserve">expert from </w:t>
          </w:r>
          <w:r>
            <w:rPr>
              <w:lang w:val="en-US" w:eastAsia="ja-JP"/>
            </w:rPr>
            <w:t>CLEPA</w:t>
          </w:r>
        </w:p>
      </w:tc>
      <w:tc>
        <w:tcPr>
          <w:tcW w:w="4961" w:type="dxa"/>
        </w:tcPr>
        <w:p w:rsidR="00E145B8" w:rsidRPr="00D43C6F" w:rsidRDefault="00E145B8" w:rsidP="003E1553">
          <w:pPr>
            <w:pStyle w:val="Heading1"/>
            <w:rPr>
              <w:bCs/>
              <w:lang w:val="en-US" w:eastAsia="ja-JP"/>
            </w:rPr>
          </w:pPr>
          <w:r w:rsidRPr="00D43C6F">
            <w:rPr>
              <w:u w:val="single"/>
              <w:lang w:val="en-US"/>
            </w:rPr>
            <w:t>Informal document</w:t>
          </w:r>
          <w:r w:rsidRPr="00D43C6F">
            <w:rPr>
              <w:lang w:val="en-US"/>
            </w:rPr>
            <w:t xml:space="preserve"> </w:t>
          </w:r>
          <w:r>
            <w:rPr>
              <w:b/>
              <w:bCs/>
              <w:lang w:val="en-US"/>
            </w:rPr>
            <w:t>GRSP-66</w:t>
          </w:r>
          <w:r w:rsidRPr="00D43C6F">
            <w:rPr>
              <w:b/>
              <w:bCs/>
              <w:lang w:val="en-US"/>
            </w:rPr>
            <w:t>-</w:t>
          </w:r>
          <w:r w:rsidR="009A5D01">
            <w:rPr>
              <w:b/>
              <w:bCs/>
              <w:lang w:val="en-US"/>
            </w:rPr>
            <w:t>27</w:t>
          </w:r>
          <w:bookmarkStart w:id="2" w:name="_GoBack"/>
          <w:bookmarkEnd w:id="2"/>
        </w:p>
        <w:p w:rsidR="00E145B8" w:rsidRPr="00D43C6F" w:rsidRDefault="00E145B8" w:rsidP="003E1553">
          <w:pPr>
            <w:pStyle w:val="Heading1"/>
            <w:rPr>
              <w:bCs/>
              <w:lang w:val="en-US" w:eastAsia="ja-JP"/>
            </w:rPr>
          </w:pPr>
          <w:r>
            <w:rPr>
              <w:lang w:val="en-US"/>
            </w:rPr>
            <w:t>(66</w:t>
          </w:r>
          <w:r>
            <w:rPr>
              <w:vertAlign w:val="superscript"/>
              <w:lang w:val="en-US" w:eastAsia="ja-JP"/>
            </w:rPr>
            <w:t>th</w:t>
          </w:r>
          <w:r>
            <w:rPr>
              <w:rFonts w:hint="eastAsia"/>
              <w:lang w:val="en-US" w:eastAsia="ja-JP"/>
            </w:rPr>
            <w:t xml:space="preserve"> </w:t>
          </w:r>
          <w:r w:rsidRPr="00D43C6F">
            <w:rPr>
              <w:lang w:val="en-US"/>
            </w:rPr>
            <w:t xml:space="preserve">GRSP, </w:t>
          </w:r>
          <w:r>
            <w:rPr>
              <w:bCs/>
            </w:rPr>
            <w:t>10-14th</w:t>
          </w:r>
          <w:r>
            <w:rPr>
              <w:bCs/>
              <w:lang w:val="en-US"/>
            </w:rPr>
            <w:t xml:space="preserve"> December</w:t>
          </w:r>
          <w:r w:rsidRPr="00D43C6F">
            <w:rPr>
              <w:bCs/>
              <w:lang w:val="en-US"/>
            </w:rPr>
            <w:t xml:space="preserve"> 201</w:t>
          </w:r>
          <w:r>
            <w:rPr>
              <w:bCs/>
              <w:lang w:val="en-US"/>
            </w:rPr>
            <w:t>9</w:t>
          </w:r>
          <w:r w:rsidRPr="00D43C6F">
            <w:rPr>
              <w:lang w:val="en-US"/>
            </w:rPr>
            <w:t>,</w:t>
          </w:r>
        </w:p>
        <w:p w:rsidR="00E145B8" w:rsidRPr="00D43C6F" w:rsidRDefault="00E145B8" w:rsidP="00BA1078">
          <w:pPr>
            <w:pStyle w:val="Heading1"/>
            <w:rPr>
              <w:lang w:val="en-US"/>
            </w:rPr>
          </w:pPr>
          <w:r w:rsidRPr="00D43C6F">
            <w:rPr>
              <w:b/>
              <w:lang w:val="en-US"/>
            </w:rPr>
            <w:t xml:space="preserve"> </w:t>
          </w:r>
          <w:r w:rsidRPr="00BA1078">
            <w:rPr>
              <w:lang w:val="en-US"/>
            </w:rPr>
            <w:t xml:space="preserve">agenda item </w:t>
          </w:r>
          <w:r>
            <w:rPr>
              <w:lang w:val="en-US"/>
            </w:rPr>
            <w:t>9</w:t>
          </w:r>
          <w:r w:rsidRPr="00BA1078">
            <w:rPr>
              <w:lang w:val="en-US"/>
            </w:rPr>
            <w:t>)</w:t>
          </w:r>
        </w:p>
      </w:tc>
    </w:tr>
  </w:tbl>
  <w:p w:rsidR="00E145B8" w:rsidRDefault="00E14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B4175"/>
    <w:multiLevelType w:val="multilevel"/>
    <w:tmpl w:val="E348D8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3174F"/>
    <w:multiLevelType w:val="hybridMultilevel"/>
    <w:tmpl w:val="12A6CF20"/>
    <w:lvl w:ilvl="0" w:tplc="78D26D4C">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1E9"/>
    <w:rsid w:val="00006F3C"/>
    <w:rsid w:val="00014EFB"/>
    <w:rsid w:val="0004697A"/>
    <w:rsid w:val="00046B1F"/>
    <w:rsid w:val="00050F6B"/>
    <w:rsid w:val="00052635"/>
    <w:rsid w:val="00057E97"/>
    <w:rsid w:val="000646F4"/>
    <w:rsid w:val="00072C8C"/>
    <w:rsid w:val="000733B5"/>
    <w:rsid w:val="00073A2B"/>
    <w:rsid w:val="00081815"/>
    <w:rsid w:val="000926FA"/>
    <w:rsid w:val="000931C0"/>
    <w:rsid w:val="00095FAD"/>
    <w:rsid w:val="000B0595"/>
    <w:rsid w:val="000B175B"/>
    <w:rsid w:val="000B2F02"/>
    <w:rsid w:val="000B3A0F"/>
    <w:rsid w:val="000B4EF7"/>
    <w:rsid w:val="000B5F53"/>
    <w:rsid w:val="000C2C03"/>
    <w:rsid w:val="000C2D2E"/>
    <w:rsid w:val="000D2A2C"/>
    <w:rsid w:val="000D79EB"/>
    <w:rsid w:val="000E0415"/>
    <w:rsid w:val="000F2879"/>
    <w:rsid w:val="001103AA"/>
    <w:rsid w:val="0011666B"/>
    <w:rsid w:val="00117485"/>
    <w:rsid w:val="00136304"/>
    <w:rsid w:val="00165F3A"/>
    <w:rsid w:val="001724E4"/>
    <w:rsid w:val="00182290"/>
    <w:rsid w:val="001843AC"/>
    <w:rsid w:val="001A3955"/>
    <w:rsid w:val="001B4B04"/>
    <w:rsid w:val="001C6663"/>
    <w:rsid w:val="001C7895"/>
    <w:rsid w:val="001D0C8C"/>
    <w:rsid w:val="001D1419"/>
    <w:rsid w:val="001D1D84"/>
    <w:rsid w:val="001D26DF"/>
    <w:rsid w:val="001D3A03"/>
    <w:rsid w:val="001E7AA5"/>
    <w:rsid w:val="001E7B67"/>
    <w:rsid w:val="00202DA8"/>
    <w:rsid w:val="002041BC"/>
    <w:rsid w:val="002045F3"/>
    <w:rsid w:val="00211381"/>
    <w:rsid w:val="00211E0B"/>
    <w:rsid w:val="00236F65"/>
    <w:rsid w:val="0024772E"/>
    <w:rsid w:val="00267F5F"/>
    <w:rsid w:val="0027241E"/>
    <w:rsid w:val="00286B4D"/>
    <w:rsid w:val="00294651"/>
    <w:rsid w:val="002D021C"/>
    <w:rsid w:val="002D4643"/>
    <w:rsid w:val="002D6FE5"/>
    <w:rsid w:val="002E1A1C"/>
    <w:rsid w:val="002F175C"/>
    <w:rsid w:val="002F7DE0"/>
    <w:rsid w:val="00302E18"/>
    <w:rsid w:val="00307928"/>
    <w:rsid w:val="00320643"/>
    <w:rsid w:val="003229D8"/>
    <w:rsid w:val="00352709"/>
    <w:rsid w:val="003619B5"/>
    <w:rsid w:val="00361AC3"/>
    <w:rsid w:val="00365763"/>
    <w:rsid w:val="00371178"/>
    <w:rsid w:val="00392E47"/>
    <w:rsid w:val="003A6810"/>
    <w:rsid w:val="003C2CC4"/>
    <w:rsid w:val="003C534D"/>
    <w:rsid w:val="003D4B23"/>
    <w:rsid w:val="003E130E"/>
    <w:rsid w:val="003E1553"/>
    <w:rsid w:val="00405A33"/>
    <w:rsid w:val="00410C89"/>
    <w:rsid w:val="00422E03"/>
    <w:rsid w:val="00426B9B"/>
    <w:rsid w:val="004325CB"/>
    <w:rsid w:val="00436C88"/>
    <w:rsid w:val="00442A83"/>
    <w:rsid w:val="004456B0"/>
    <w:rsid w:val="0045495B"/>
    <w:rsid w:val="004561E5"/>
    <w:rsid w:val="00480462"/>
    <w:rsid w:val="0048397A"/>
    <w:rsid w:val="00485CBB"/>
    <w:rsid w:val="004866B7"/>
    <w:rsid w:val="004C2461"/>
    <w:rsid w:val="004C7462"/>
    <w:rsid w:val="004D12F3"/>
    <w:rsid w:val="004E77B2"/>
    <w:rsid w:val="0050107E"/>
    <w:rsid w:val="00504B2D"/>
    <w:rsid w:val="0052136D"/>
    <w:rsid w:val="0052775E"/>
    <w:rsid w:val="00535BC9"/>
    <w:rsid w:val="005420F2"/>
    <w:rsid w:val="0056209A"/>
    <w:rsid w:val="005628B6"/>
    <w:rsid w:val="0057005F"/>
    <w:rsid w:val="005941EC"/>
    <w:rsid w:val="0059724D"/>
    <w:rsid w:val="005B320C"/>
    <w:rsid w:val="005B3DB3"/>
    <w:rsid w:val="005B4E13"/>
    <w:rsid w:val="005B5E52"/>
    <w:rsid w:val="005C342F"/>
    <w:rsid w:val="005C7D1E"/>
    <w:rsid w:val="005E0F7E"/>
    <w:rsid w:val="005E1C60"/>
    <w:rsid w:val="005F7B75"/>
    <w:rsid w:val="006001EE"/>
    <w:rsid w:val="00605042"/>
    <w:rsid w:val="00611FC4"/>
    <w:rsid w:val="00614526"/>
    <w:rsid w:val="006176FB"/>
    <w:rsid w:val="00620E6A"/>
    <w:rsid w:val="00640B26"/>
    <w:rsid w:val="006472FF"/>
    <w:rsid w:val="00652D0A"/>
    <w:rsid w:val="00656065"/>
    <w:rsid w:val="00662BB6"/>
    <w:rsid w:val="00664698"/>
    <w:rsid w:val="00671B51"/>
    <w:rsid w:val="0067362F"/>
    <w:rsid w:val="00676606"/>
    <w:rsid w:val="00680FB7"/>
    <w:rsid w:val="00684C21"/>
    <w:rsid w:val="006A2530"/>
    <w:rsid w:val="006A3BAF"/>
    <w:rsid w:val="006A6204"/>
    <w:rsid w:val="006A6556"/>
    <w:rsid w:val="006C3589"/>
    <w:rsid w:val="006D1E85"/>
    <w:rsid w:val="006D37AF"/>
    <w:rsid w:val="006D51D0"/>
    <w:rsid w:val="006D5D3B"/>
    <w:rsid w:val="006D5FB9"/>
    <w:rsid w:val="006D658E"/>
    <w:rsid w:val="006E564B"/>
    <w:rsid w:val="006E7191"/>
    <w:rsid w:val="006F559D"/>
    <w:rsid w:val="00703577"/>
    <w:rsid w:val="00705894"/>
    <w:rsid w:val="00714E65"/>
    <w:rsid w:val="0072623D"/>
    <w:rsid w:val="0072632A"/>
    <w:rsid w:val="007327D5"/>
    <w:rsid w:val="007629C8"/>
    <w:rsid w:val="0077047D"/>
    <w:rsid w:val="00790191"/>
    <w:rsid w:val="007A4510"/>
    <w:rsid w:val="007B6BA5"/>
    <w:rsid w:val="007C3390"/>
    <w:rsid w:val="007C4F4B"/>
    <w:rsid w:val="007E01E9"/>
    <w:rsid w:val="007E63F3"/>
    <w:rsid w:val="007F6611"/>
    <w:rsid w:val="00803AEB"/>
    <w:rsid w:val="00811920"/>
    <w:rsid w:val="008125D1"/>
    <w:rsid w:val="00815AD0"/>
    <w:rsid w:val="00815EDB"/>
    <w:rsid w:val="008242D7"/>
    <w:rsid w:val="008257B1"/>
    <w:rsid w:val="008258F9"/>
    <w:rsid w:val="00832334"/>
    <w:rsid w:val="00843191"/>
    <w:rsid w:val="00843767"/>
    <w:rsid w:val="008679D9"/>
    <w:rsid w:val="008878DE"/>
    <w:rsid w:val="008957D6"/>
    <w:rsid w:val="008979B1"/>
    <w:rsid w:val="00897F94"/>
    <w:rsid w:val="008A03EC"/>
    <w:rsid w:val="008A172B"/>
    <w:rsid w:val="008A1ED5"/>
    <w:rsid w:val="008A6B25"/>
    <w:rsid w:val="008A6C4F"/>
    <w:rsid w:val="008B2335"/>
    <w:rsid w:val="008B2E36"/>
    <w:rsid w:val="008C6CE1"/>
    <w:rsid w:val="008E0678"/>
    <w:rsid w:val="008E16E9"/>
    <w:rsid w:val="008F31D2"/>
    <w:rsid w:val="00915EF6"/>
    <w:rsid w:val="00917CBE"/>
    <w:rsid w:val="009223CA"/>
    <w:rsid w:val="00930D74"/>
    <w:rsid w:val="00940F93"/>
    <w:rsid w:val="009448C3"/>
    <w:rsid w:val="00953A12"/>
    <w:rsid w:val="009760F3"/>
    <w:rsid w:val="00976CFB"/>
    <w:rsid w:val="0098279A"/>
    <w:rsid w:val="00994A91"/>
    <w:rsid w:val="009A0830"/>
    <w:rsid w:val="009A0E8D"/>
    <w:rsid w:val="009A5D01"/>
    <w:rsid w:val="009B26E7"/>
    <w:rsid w:val="009B64BB"/>
    <w:rsid w:val="009C31C9"/>
    <w:rsid w:val="009C65E6"/>
    <w:rsid w:val="009F29EC"/>
    <w:rsid w:val="009F7ED1"/>
    <w:rsid w:val="00A00697"/>
    <w:rsid w:val="00A00A3F"/>
    <w:rsid w:val="00A01489"/>
    <w:rsid w:val="00A01F6A"/>
    <w:rsid w:val="00A04611"/>
    <w:rsid w:val="00A14CE0"/>
    <w:rsid w:val="00A226B1"/>
    <w:rsid w:val="00A25F4F"/>
    <w:rsid w:val="00A3026E"/>
    <w:rsid w:val="00A338F1"/>
    <w:rsid w:val="00A35BE0"/>
    <w:rsid w:val="00A41D68"/>
    <w:rsid w:val="00A42E67"/>
    <w:rsid w:val="00A5406F"/>
    <w:rsid w:val="00A6129C"/>
    <w:rsid w:val="00A64471"/>
    <w:rsid w:val="00A67346"/>
    <w:rsid w:val="00A72F22"/>
    <w:rsid w:val="00A7360F"/>
    <w:rsid w:val="00A748A6"/>
    <w:rsid w:val="00A769F4"/>
    <w:rsid w:val="00A776B4"/>
    <w:rsid w:val="00A94361"/>
    <w:rsid w:val="00AA293C"/>
    <w:rsid w:val="00AC0274"/>
    <w:rsid w:val="00AD0044"/>
    <w:rsid w:val="00B04D8A"/>
    <w:rsid w:val="00B30179"/>
    <w:rsid w:val="00B37C56"/>
    <w:rsid w:val="00B41DFB"/>
    <w:rsid w:val="00B421C1"/>
    <w:rsid w:val="00B51883"/>
    <w:rsid w:val="00B53C21"/>
    <w:rsid w:val="00B55C71"/>
    <w:rsid w:val="00B56E4A"/>
    <w:rsid w:val="00B56E9C"/>
    <w:rsid w:val="00B64B1F"/>
    <w:rsid w:val="00B6553F"/>
    <w:rsid w:val="00B6644B"/>
    <w:rsid w:val="00B77D05"/>
    <w:rsid w:val="00B81206"/>
    <w:rsid w:val="00B81E12"/>
    <w:rsid w:val="00B81EE5"/>
    <w:rsid w:val="00B8785D"/>
    <w:rsid w:val="00B9117E"/>
    <w:rsid w:val="00B92734"/>
    <w:rsid w:val="00B97BD5"/>
    <w:rsid w:val="00BA1078"/>
    <w:rsid w:val="00BB5BC1"/>
    <w:rsid w:val="00BC2C9B"/>
    <w:rsid w:val="00BC3FA0"/>
    <w:rsid w:val="00BC74E9"/>
    <w:rsid w:val="00BF05E1"/>
    <w:rsid w:val="00BF0BAB"/>
    <w:rsid w:val="00BF30B3"/>
    <w:rsid w:val="00BF68A8"/>
    <w:rsid w:val="00BF7174"/>
    <w:rsid w:val="00C0379C"/>
    <w:rsid w:val="00C11A03"/>
    <w:rsid w:val="00C16D9E"/>
    <w:rsid w:val="00C22C0C"/>
    <w:rsid w:val="00C4527F"/>
    <w:rsid w:val="00C463DD"/>
    <w:rsid w:val="00C4724C"/>
    <w:rsid w:val="00C629A0"/>
    <w:rsid w:val="00C64629"/>
    <w:rsid w:val="00C745C3"/>
    <w:rsid w:val="00C805BD"/>
    <w:rsid w:val="00C90827"/>
    <w:rsid w:val="00C96DF2"/>
    <w:rsid w:val="00CB3E03"/>
    <w:rsid w:val="00CB40A7"/>
    <w:rsid w:val="00CB70FB"/>
    <w:rsid w:val="00CC7F99"/>
    <w:rsid w:val="00CD4AA6"/>
    <w:rsid w:val="00CE4A8F"/>
    <w:rsid w:val="00D03FE6"/>
    <w:rsid w:val="00D2031B"/>
    <w:rsid w:val="00D211E9"/>
    <w:rsid w:val="00D248B6"/>
    <w:rsid w:val="00D25FE2"/>
    <w:rsid w:val="00D26E07"/>
    <w:rsid w:val="00D30B4F"/>
    <w:rsid w:val="00D43252"/>
    <w:rsid w:val="00D45C1C"/>
    <w:rsid w:val="00D47EEA"/>
    <w:rsid w:val="00D773DF"/>
    <w:rsid w:val="00D83774"/>
    <w:rsid w:val="00D83C09"/>
    <w:rsid w:val="00D86D32"/>
    <w:rsid w:val="00D95303"/>
    <w:rsid w:val="00D978C6"/>
    <w:rsid w:val="00DA3C1C"/>
    <w:rsid w:val="00DA41C6"/>
    <w:rsid w:val="00DC6D39"/>
    <w:rsid w:val="00DD4564"/>
    <w:rsid w:val="00DD4749"/>
    <w:rsid w:val="00DD7445"/>
    <w:rsid w:val="00E046DF"/>
    <w:rsid w:val="00E0531A"/>
    <w:rsid w:val="00E145B8"/>
    <w:rsid w:val="00E14A7B"/>
    <w:rsid w:val="00E22B0C"/>
    <w:rsid w:val="00E27346"/>
    <w:rsid w:val="00E32945"/>
    <w:rsid w:val="00E35B93"/>
    <w:rsid w:val="00E40A45"/>
    <w:rsid w:val="00E4334D"/>
    <w:rsid w:val="00E560CA"/>
    <w:rsid w:val="00E71BC8"/>
    <w:rsid w:val="00E7260F"/>
    <w:rsid w:val="00E73F5D"/>
    <w:rsid w:val="00E77E4E"/>
    <w:rsid w:val="00E96630"/>
    <w:rsid w:val="00EA225D"/>
    <w:rsid w:val="00EA2A77"/>
    <w:rsid w:val="00ED7A2A"/>
    <w:rsid w:val="00EE3F7E"/>
    <w:rsid w:val="00EE5503"/>
    <w:rsid w:val="00EF1D7F"/>
    <w:rsid w:val="00EF5EB0"/>
    <w:rsid w:val="00F028F3"/>
    <w:rsid w:val="00F04D63"/>
    <w:rsid w:val="00F1406A"/>
    <w:rsid w:val="00F1676A"/>
    <w:rsid w:val="00F31E5F"/>
    <w:rsid w:val="00F6100A"/>
    <w:rsid w:val="00F93781"/>
    <w:rsid w:val="00FB613B"/>
    <w:rsid w:val="00FC68B7"/>
    <w:rsid w:val="00FD3F98"/>
    <w:rsid w:val="00FE106A"/>
    <w:rsid w:val="00FE1688"/>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C1BE92"/>
  <w15:chartTrackingRefBased/>
  <w15:docId w15:val="{CF93FF34-53AA-4A04-ABFD-D289547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211E9"/>
    <w:pPr>
      <w:spacing w:line="240" w:lineRule="auto"/>
    </w:pPr>
    <w:rPr>
      <w:rFonts w:ascii="Tahoma" w:hAnsi="Tahoma" w:cs="Tahoma"/>
      <w:sz w:val="16"/>
      <w:szCs w:val="16"/>
    </w:rPr>
  </w:style>
  <w:style w:type="character" w:customStyle="1" w:styleId="BalloonTextChar">
    <w:name w:val="Balloon Text Char"/>
    <w:link w:val="BalloonText"/>
    <w:rsid w:val="00D211E9"/>
    <w:rPr>
      <w:rFonts w:ascii="Tahoma" w:hAnsi="Tahoma" w:cs="Tahoma"/>
      <w:sz w:val="16"/>
      <w:szCs w:val="16"/>
      <w:lang w:eastAsia="en-US"/>
    </w:rPr>
  </w:style>
  <w:style w:type="character" w:customStyle="1" w:styleId="FootnoteTextChar">
    <w:name w:val="Footnote Text Char"/>
    <w:aliases w:val="5_G Char"/>
    <w:link w:val="FootnoteText"/>
    <w:locked/>
    <w:rsid w:val="00D211E9"/>
    <w:rPr>
      <w:sz w:val="18"/>
      <w:lang w:eastAsia="en-US"/>
    </w:rPr>
  </w:style>
  <w:style w:type="character" w:customStyle="1" w:styleId="HChGChar">
    <w:name w:val="_ H _Ch_G Char"/>
    <w:link w:val="HChG"/>
    <w:rsid w:val="00D211E9"/>
    <w:rPr>
      <w:b/>
      <w:sz w:val="28"/>
      <w:lang w:eastAsia="en-US"/>
    </w:rPr>
  </w:style>
  <w:style w:type="character" w:customStyle="1" w:styleId="HeaderChar">
    <w:name w:val="Header Char"/>
    <w:aliases w:val="6_G Char"/>
    <w:link w:val="Header"/>
    <w:uiPriority w:val="99"/>
    <w:rsid w:val="00E0531A"/>
    <w:rPr>
      <w:b/>
      <w:sz w:val="18"/>
      <w:lang w:eastAsia="en-US"/>
    </w:rPr>
  </w:style>
  <w:style w:type="character" w:customStyle="1" w:styleId="Heading1Char">
    <w:name w:val="Heading 1 Char"/>
    <w:aliases w:val="Table_G Char"/>
    <w:link w:val="Heading1"/>
    <w:rsid w:val="00E0531A"/>
    <w:rPr>
      <w:lang w:eastAsia="en-US"/>
    </w:rPr>
  </w:style>
  <w:style w:type="paragraph" w:styleId="ListParagraph">
    <w:name w:val="List Paragraph"/>
    <w:basedOn w:val="Normal"/>
    <w:uiPriority w:val="34"/>
    <w:qFormat/>
    <w:rsid w:val="001E7AA5"/>
    <w:pPr>
      <w:ind w:left="708"/>
    </w:pPr>
  </w:style>
  <w:style w:type="paragraph" w:customStyle="1" w:styleId="para">
    <w:name w:val="para"/>
    <w:basedOn w:val="Normal"/>
    <w:link w:val="paraChar"/>
    <w:qFormat/>
    <w:rsid w:val="00A25F4F"/>
    <w:pPr>
      <w:suppressAutoHyphens w:val="0"/>
      <w:spacing w:after="120"/>
      <w:ind w:left="2268" w:right="1134" w:hanging="1134"/>
      <w:jc w:val="both"/>
    </w:pPr>
    <w:rPr>
      <w:rFonts w:eastAsia="Yu Mincho"/>
      <w:snapToGrid w:val="0"/>
      <w:lang w:val="fr-FR"/>
    </w:rPr>
  </w:style>
  <w:style w:type="character" w:customStyle="1" w:styleId="paraChar">
    <w:name w:val="para Char"/>
    <w:link w:val="para"/>
    <w:rsid w:val="00A25F4F"/>
    <w:rPr>
      <w:rFonts w:eastAsia="Yu Mincho"/>
      <w:snapToGrid w:val="0"/>
      <w:lang w:eastAsia="en-US" w:bidi="ar-SA"/>
    </w:rPr>
  </w:style>
  <w:style w:type="character" w:customStyle="1" w:styleId="CommentTextChar">
    <w:name w:val="Comment Text Char"/>
    <w:link w:val="CommentText"/>
    <w:semiHidden/>
    <w:rsid w:val="00A42E67"/>
    <w:rPr>
      <w:lang w:val="en-GB" w:eastAsia="en-US" w:bidi="ar-SA"/>
    </w:rPr>
  </w:style>
  <w:style w:type="character" w:customStyle="1" w:styleId="shorttext">
    <w:name w:val="short_text"/>
    <w:rsid w:val="0043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9783-0FC0-452C-87DB-8001F7FD5C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A8A91F-6361-42E7-9D81-FB83E66D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2233</Words>
  <Characters>11792</Characters>
  <Application>Microsoft Office Word</Application>
  <DocSecurity>0</DocSecurity>
  <Lines>235</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cp:lastModifiedBy>Edoardo Gianotti</cp:lastModifiedBy>
  <cp:revision>2</cp:revision>
  <cp:lastPrinted>2013-02-25T09:40:00Z</cp:lastPrinted>
  <dcterms:created xsi:type="dcterms:W3CDTF">2019-12-10T12:55:00Z</dcterms:created>
  <dcterms:modified xsi:type="dcterms:W3CDTF">2019-12-10T12:55:00Z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4d022d90-a083-47db-8bab-5e9de3c4a208</vt:lpwstr>
  </property>
  <property fmtid="{D5CDD505-2E9C-101B-9397-08002B2CF9AE}" pid="3" name="bjSaver">
    <vt:lpwstr>zE5i11kIHnTGaqOP2QbZnT2rhXP4gy42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ies>
</file>