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775303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7530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75303" w:rsidRDefault="00775303" w:rsidP="00775303">
            <w:pPr>
              <w:jc w:val="right"/>
              <w:rPr>
                <w:lang w:val="en-US"/>
              </w:rPr>
            </w:pPr>
            <w:r w:rsidRPr="00775303">
              <w:rPr>
                <w:sz w:val="40"/>
                <w:lang w:val="en-US"/>
              </w:rPr>
              <w:t>ECE</w:t>
            </w:r>
            <w:r w:rsidRPr="00775303">
              <w:rPr>
                <w:lang w:val="en-US"/>
              </w:rPr>
              <w:t>/TRANS/WP.29/GRSG/2019/1/Add.1</w:t>
            </w:r>
          </w:p>
        </w:tc>
      </w:tr>
      <w:tr w:rsidR="002D5AAC" w:rsidRPr="0077530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7530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75303" w:rsidRDefault="00775303" w:rsidP="007753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January 2019</w:t>
            </w:r>
          </w:p>
          <w:p w:rsidR="00775303" w:rsidRDefault="00775303" w:rsidP="007753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75303" w:rsidRPr="008D53B6" w:rsidRDefault="00775303" w:rsidP="007753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7530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75303" w:rsidRPr="00775303" w:rsidRDefault="00775303" w:rsidP="00775303">
      <w:pPr>
        <w:spacing w:before="120"/>
        <w:rPr>
          <w:sz w:val="28"/>
          <w:szCs w:val="28"/>
        </w:rPr>
      </w:pPr>
      <w:r w:rsidRPr="00775303">
        <w:rPr>
          <w:sz w:val="28"/>
          <w:szCs w:val="28"/>
        </w:rPr>
        <w:t>Комитет по внутреннему транспорту</w:t>
      </w:r>
    </w:p>
    <w:p w:rsidR="00775303" w:rsidRPr="00775303" w:rsidRDefault="00775303" w:rsidP="00775303">
      <w:pPr>
        <w:spacing w:before="120"/>
        <w:rPr>
          <w:b/>
          <w:sz w:val="24"/>
          <w:szCs w:val="24"/>
        </w:rPr>
      </w:pPr>
      <w:r w:rsidRPr="0077530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75303">
        <w:rPr>
          <w:b/>
          <w:bCs/>
          <w:sz w:val="24"/>
          <w:szCs w:val="24"/>
        </w:rPr>
        <w:br/>
        <w:t>в области транспортных средств</w:t>
      </w:r>
    </w:p>
    <w:p w:rsidR="00775303" w:rsidRPr="007F73F2" w:rsidRDefault="00775303" w:rsidP="00775303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:rsidR="00775303" w:rsidRPr="007F73F2" w:rsidRDefault="00775303" w:rsidP="00775303">
      <w:pPr>
        <w:spacing w:before="120"/>
        <w:rPr>
          <w:b/>
        </w:rPr>
      </w:pPr>
      <w:r>
        <w:rPr>
          <w:b/>
          <w:bCs/>
        </w:rPr>
        <w:t>116-я сессия</w:t>
      </w:r>
    </w:p>
    <w:p w:rsidR="00775303" w:rsidRPr="007F73F2" w:rsidRDefault="00775303" w:rsidP="00775303">
      <w:r>
        <w:t>Женева, 1–5 апреля 2019 года</w:t>
      </w:r>
    </w:p>
    <w:p w:rsidR="00775303" w:rsidRPr="007F73F2" w:rsidRDefault="00775303" w:rsidP="00775303">
      <w:r>
        <w:t>Пункт 1 предварительной повестки дня</w:t>
      </w:r>
    </w:p>
    <w:p w:rsidR="00E12C5F" w:rsidRDefault="00775303" w:rsidP="00775303">
      <w:r>
        <w:rPr>
          <w:b/>
          <w:bCs/>
        </w:rPr>
        <w:t>Утверждение повестки дня</w:t>
      </w:r>
    </w:p>
    <w:p w:rsidR="00775303" w:rsidRPr="007F73F2" w:rsidRDefault="00775303" w:rsidP="00775303">
      <w:pPr>
        <w:pStyle w:val="HChG"/>
      </w:pPr>
      <w:r>
        <w:tab/>
      </w:r>
      <w:r>
        <w:tab/>
        <w:t>Предварительная повестка дня 116-й сессии</w:t>
      </w:r>
    </w:p>
    <w:p w:rsidR="00775303" w:rsidRPr="007F73F2" w:rsidRDefault="00775303" w:rsidP="00775303">
      <w:pPr>
        <w:pStyle w:val="H23G"/>
      </w:pPr>
      <w:r>
        <w:tab/>
      </w:r>
      <w:r>
        <w:tab/>
      </w:r>
      <w:r>
        <w:rPr>
          <w:bCs/>
        </w:rPr>
        <w:t>Добавление</w:t>
      </w:r>
    </w:p>
    <w:p w:rsidR="00775303" w:rsidRPr="007F73F2" w:rsidRDefault="00775303" w:rsidP="00775303">
      <w:pPr>
        <w:pStyle w:val="HChG"/>
      </w:pPr>
      <w:r>
        <w:tab/>
      </w:r>
      <w:r>
        <w:tab/>
        <w:t>Аннотации</w:t>
      </w:r>
    </w:p>
    <w:p w:rsidR="00775303" w:rsidRPr="007F73F2" w:rsidRDefault="00775303" w:rsidP="00775303">
      <w:pPr>
        <w:pStyle w:val="H1G"/>
      </w:pPr>
      <w:r>
        <w:tab/>
        <w:t>1.</w:t>
      </w:r>
      <w:r>
        <w:tab/>
        <w:t>Утверждение повестки дня</w:t>
      </w:r>
    </w:p>
    <w:p w:rsidR="00775303" w:rsidRPr="007F73F2" w:rsidRDefault="00775303" w:rsidP="00775303">
      <w:pPr>
        <w:pStyle w:val="SingleTxtG"/>
        <w:rPr>
          <w:spacing w:val="-2"/>
        </w:rPr>
      </w:pPr>
      <w:r>
        <w:tab/>
      </w:r>
      <w:r>
        <w:tab/>
        <w:t>В соответствии с правилом 7 главы III правил процедуры (ECE/TRANS/</w:t>
      </w:r>
      <w:r w:rsidR="00D036CE">
        <w:t xml:space="preserve"> </w:t>
      </w:r>
      <w:r>
        <w:t>WP.29/690/Rev.1)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775303" w:rsidRPr="0019160A" w:rsidRDefault="00775303" w:rsidP="00012926">
      <w:pPr>
        <w:pStyle w:val="SingleTxtG"/>
        <w:ind w:left="2835" w:hanging="1701"/>
        <w:jc w:val="left"/>
      </w:pPr>
      <w:r>
        <w:rPr>
          <w:b/>
          <w:bCs/>
        </w:rPr>
        <w:t>Документация</w:t>
      </w:r>
      <w:r w:rsidRPr="0019160A">
        <w:rPr>
          <w:b/>
          <w:bCs/>
        </w:rPr>
        <w:t>:</w:t>
      </w:r>
      <w:r w:rsidRPr="0019160A">
        <w:tab/>
      </w:r>
      <w:r w:rsidRPr="007F73F2">
        <w:rPr>
          <w:lang w:val="en-US"/>
        </w:rPr>
        <w:t>ECE</w:t>
      </w:r>
      <w:r w:rsidRPr="0019160A">
        <w:t>/</w:t>
      </w:r>
      <w:r w:rsidRPr="007F73F2">
        <w:rPr>
          <w:lang w:val="en-US"/>
        </w:rPr>
        <w:t>TRANS</w:t>
      </w:r>
      <w:r w:rsidRPr="0019160A">
        <w:t>/</w:t>
      </w:r>
      <w:r w:rsidRPr="007F73F2">
        <w:rPr>
          <w:lang w:val="en-US"/>
        </w:rPr>
        <w:t>WP</w:t>
      </w:r>
      <w:r w:rsidRPr="0019160A">
        <w:t>.29/</w:t>
      </w:r>
      <w:r w:rsidRPr="007F73F2">
        <w:rPr>
          <w:lang w:val="en-US"/>
        </w:rPr>
        <w:t>GRSG</w:t>
      </w:r>
      <w:r w:rsidRPr="0019160A">
        <w:t xml:space="preserve">/2019/1 и </w:t>
      </w:r>
      <w:r w:rsidRPr="007F73F2">
        <w:rPr>
          <w:lang w:val="en-US"/>
        </w:rPr>
        <w:t>Add</w:t>
      </w:r>
      <w:r w:rsidRPr="0019160A">
        <w:t>.1</w:t>
      </w:r>
      <w:r>
        <w:br/>
      </w:r>
      <w:r w:rsidRPr="0019160A">
        <w:t xml:space="preserve">неофициальный документ </w:t>
      </w:r>
      <w:r w:rsidRPr="007F73F2">
        <w:rPr>
          <w:lang w:val="en-US"/>
        </w:rPr>
        <w:t>GRSG</w:t>
      </w:r>
      <w:r w:rsidRPr="0019160A">
        <w:t>-116-01</w:t>
      </w:r>
    </w:p>
    <w:p w:rsidR="00775303" w:rsidRPr="007F73F2" w:rsidRDefault="00775303" w:rsidP="00775303">
      <w:pPr>
        <w:pStyle w:val="H1G"/>
      </w:pPr>
      <w:r>
        <w:tab/>
        <w:t>2.</w:t>
      </w:r>
      <w:r>
        <w:tab/>
      </w:r>
      <w:r>
        <w:rPr>
          <w:bCs/>
        </w:rPr>
        <w:t>Поправки к правилам, касающимся городских и междугородных автобусов</w:t>
      </w:r>
    </w:p>
    <w:p w:rsidR="00775303" w:rsidRPr="007F73F2" w:rsidRDefault="00775303" w:rsidP="00775303">
      <w:pPr>
        <w:pStyle w:val="SingleTxtG"/>
      </w:pPr>
      <w:r>
        <w:tab/>
      </w:r>
      <w:r>
        <w:tab/>
        <w:t>Рабочая группа по общим предписаниям, касающимся безопасности (GRSG), как ожидается, будет проинформирована Председателем неофициальной рабочей группы (НРГ) об итогах последних совещаний по вопросу о поведении общей конструкции транспортных средств категории М</w:t>
      </w:r>
      <w:r>
        <w:rPr>
          <w:vertAlign w:val="subscript"/>
        </w:rPr>
        <w:t>2</w:t>
      </w:r>
      <w:r>
        <w:t xml:space="preserve"> и М</w:t>
      </w:r>
      <w:r>
        <w:rPr>
          <w:vertAlign w:val="subscript"/>
        </w:rPr>
        <w:t>3</w:t>
      </w:r>
      <w:r>
        <w:t xml:space="preserve"> в случае пожара (БМФЕ).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a)</w:t>
      </w:r>
      <w:r>
        <w:tab/>
        <w:t xml:space="preserve">Правила № 107 </w:t>
      </w:r>
      <w:r w:rsidR="007E4D38">
        <w:t xml:space="preserve">ООН </w:t>
      </w:r>
      <w:r>
        <w:t>(транспортные средства категорий М</w:t>
      </w:r>
      <w:r>
        <w:rPr>
          <w:vertAlign w:val="subscript"/>
        </w:rPr>
        <w:t>2</w:t>
      </w:r>
      <w:r>
        <w:t xml:space="preserve"> и М</w:t>
      </w:r>
      <w:r>
        <w:rPr>
          <w:vertAlign w:val="subscript"/>
        </w:rPr>
        <w:t>3</w:t>
      </w:r>
      <w:r>
        <w:t>)</w:t>
      </w:r>
    </w:p>
    <w:p w:rsidR="00775303" w:rsidRPr="007F73F2" w:rsidRDefault="00775303" w:rsidP="00775303">
      <w:pPr>
        <w:pStyle w:val="SingleTxtG"/>
      </w:pPr>
      <w:r>
        <w:tab/>
      </w:r>
      <w:r>
        <w:tab/>
        <w:t>GRSG, как ожидается, рассмотрит предложение Бельгии о снижении минимальной массы передней оси сочлененного транспортного средства класса I (ECE/TRANS/WP.29/GRSG/2019/9).</w:t>
      </w:r>
    </w:p>
    <w:p w:rsidR="00775303" w:rsidRPr="007F73F2" w:rsidRDefault="00775303" w:rsidP="00775303">
      <w:pPr>
        <w:pStyle w:val="SingleTxtG"/>
      </w:pPr>
      <w:r>
        <w:lastRenderedPageBreak/>
        <w:tab/>
      </w:r>
      <w:r>
        <w:tab/>
        <w:t>GRSG, возможно, пожелает рассмотреть предложение Италии о внесении поправки в приложение 3 к Правилам, касающимся требований в отношении испытаний, которые должны соблюдаться всеми городскими и междугородными автобусами в отношении запасных выходов (ECE/TRANS/WP.29/GRSG/2019/13).</w:t>
      </w:r>
    </w:p>
    <w:p w:rsidR="00775303" w:rsidRPr="007F73F2" w:rsidRDefault="00775303" w:rsidP="00775303">
      <w:pPr>
        <w:pStyle w:val="SingleTxtG"/>
        <w:rPr>
          <w:color w:val="000000"/>
        </w:rPr>
      </w:pPr>
      <w:r>
        <w:tab/>
      </w:r>
      <w:r>
        <w:tab/>
        <w:t>GRSG, возможно, пожелает также рассмотреть предложение НРГ по БМФЕ для изменения положений Правил № 107 ООН, если таковое будет представлено.</w:t>
      </w:r>
    </w:p>
    <w:p w:rsidR="00775303" w:rsidRPr="007F73F2" w:rsidRDefault="00775303" w:rsidP="00775303">
      <w:pPr>
        <w:pStyle w:val="SingleTxtG"/>
      </w:pPr>
      <w:r>
        <w:tab/>
      </w:r>
      <w:r>
        <w:tab/>
      </w:r>
      <w:r w:rsidRPr="00775303">
        <w:rPr>
          <w:spacing w:val="-2"/>
        </w:rPr>
        <w:t xml:space="preserve">GRSG решила возобновить рассмотрение предложения Норвегии (GRSG-115-04) </w:t>
      </w:r>
      <w:r>
        <w:t>о необходимости усиления защиты и целостности салона водителя и любого члена экипажа городских и междугородных автобусов в случае лобового столкновения. GRSG согласилась с этой необходимостью, и всем правительственным экспертам было предложено изучить свои национальные/региональные статистические данные по таким авариям. Ожидается, что GRSG проведет обмен мнениями по собранным данным, если таковые имеются.</w:t>
      </w:r>
    </w:p>
    <w:p w:rsidR="00775303" w:rsidRPr="007F73F2" w:rsidRDefault="00775303" w:rsidP="00012926">
      <w:pPr>
        <w:pStyle w:val="SingleTxtG"/>
        <w:ind w:left="2835" w:hanging="1701"/>
      </w:pPr>
      <w:r>
        <w:rPr>
          <w:b/>
          <w:bCs/>
        </w:rPr>
        <w:t>Документация</w:t>
      </w:r>
      <w:r w:rsidRPr="00012926">
        <w:rPr>
          <w:b/>
          <w:bCs/>
        </w:rPr>
        <w:t>:</w:t>
      </w:r>
      <w:r w:rsidRPr="00012926">
        <w:tab/>
      </w:r>
      <w:r w:rsidRPr="00775303">
        <w:rPr>
          <w:lang w:val="en-US"/>
        </w:rPr>
        <w:t>ECE</w:t>
      </w:r>
      <w:r w:rsidRPr="00012926">
        <w:t>/</w:t>
      </w:r>
      <w:r w:rsidRPr="00775303">
        <w:rPr>
          <w:lang w:val="en-US"/>
        </w:rPr>
        <w:t>TRANS</w:t>
      </w:r>
      <w:r w:rsidRPr="00012926">
        <w:t>/</w:t>
      </w:r>
      <w:r w:rsidRPr="00775303">
        <w:rPr>
          <w:lang w:val="en-US"/>
        </w:rPr>
        <w:t>WP</w:t>
      </w:r>
      <w:r w:rsidRPr="00012926">
        <w:t>.29/</w:t>
      </w:r>
      <w:r w:rsidRPr="00775303">
        <w:rPr>
          <w:lang w:val="en-US"/>
        </w:rPr>
        <w:t>GRSG</w:t>
      </w:r>
      <w:r w:rsidRPr="00012926">
        <w:t xml:space="preserve">/2019/9 </w:t>
      </w:r>
      <w:r w:rsidRPr="00775303">
        <w:rPr>
          <w:lang w:val="en-US"/>
        </w:rPr>
        <w:t>ECE</w:t>
      </w:r>
      <w:r w:rsidRPr="00012926">
        <w:t>/</w:t>
      </w:r>
      <w:r w:rsidRPr="00775303">
        <w:rPr>
          <w:lang w:val="en-US"/>
        </w:rPr>
        <w:t>TRANS</w:t>
      </w:r>
      <w:r w:rsidRPr="00012926">
        <w:t>/</w:t>
      </w:r>
      <w:r w:rsidRPr="00775303">
        <w:rPr>
          <w:lang w:val="en-US"/>
        </w:rPr>
        <w:t>WP</w:t>
      </w:r>
      <w:r w:rsidRPr="00012926">
        <w:t>.29/</w:t>
      </w:r>
      <w:r w:rsidRPr="00775303">
        <w:rPr>
          <w:lang w:val="en-US"/>
        </w:rPr>
        <w:t>GRSG</w:t>
      </w:r>
      <w:r w:rsidRPr="00012926">
        <w:t>/2019/13</w:t>
      </w:r>
      <w:r w:rsidR="00012926" w:rsidRPr="00012926">
        <w:br/>
      </w:r>
      <w:r>
        <w:t>(неофициальный документ GRSG-115-04)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118 ООН (характеристики горения материалов)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возможно, пожелает рассмотреть предложение НРГ по БМФЕ для изменения положений Правил № 118 ООН, если таковое будет представлено.</w:t>
      </w:r>
    </w:p>
    <w:p w:rsidR="00775303" w:rsidRPr="007F73F2" w:rsidRDefault="00775303" w:rsidP="00775303">
      <w:pPr>
        <w:pStyle w:val="H1G"/>
      </w:pPr>
      <w:r>
        <w:tab/>
        <w:t>3.</w:t>
      </w:r>
      <w:r>
        <w:tab/>
      </w:r>
      <w:r>
        <w:rPr>
          <w:bCs/>
        </w:rPr>
        <w:t>Правила № 26 ООН (наружные выступы пассажирских автомобилей)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рассмотреть документ ECE/TRANS/WP.29/GRSG/2019/2 Международной организации производителей транспортных средств (МОПАП) с целью внесения поправок в положения, касающиеся задних краев капота, поскольку они могут рассматриваться как неопасные в силу своего расположения на транспортном средстве.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возобновит рассмотрение предложения Франции для разъяснения положений, касающихся стеклоочистителей ветрового стекла (ECE/TRANS/WP.29/</w:t>
      </w:r>
      <w:r w:rsidRPr="00012926">
        <w:t xml:space="preserve"> </w:t>
      </w:r>
      <w:r w:rsidR="00775303">
        <w:t>GRSG/2019/11).</w:t>
      </w:r>
    </w:p>
    <w:p w:rsidR="00775303" w:rsidRPr="00775303" w:rsidRDefault="00775303" w:rsidP="00012926">
      <w:pPr>
        <w:pStyle w:val="SingleTxtG"/>
        <w:ind w:left="2835" w:hanging="1701"/>
        <w:rPr>
          <w:lang w:val="en-US"/>
        </w:rPr>
      </w:pPr>
      <w:r>
        <w:rPr>
          <w:b/>
          <w:bCs/>
        </w:rPr>
        <w:t>Документация</w:t>
      </w:r>
      <w:r w:rsidRPr="00775303">
        <w:rPr>
          <w:b/>
          <w:bCs/>
          <w:lang w:val="en-US"/>
        </w:rPr>
        <w:t>:</w:t>
      </w:r>
      <w:r w:rsidRPr="00775303">
        <w:rPr>
          <w:lang w:val="en-US"/>
        </w:rPr>
        <w:tab/>
        <w:t>ECE/TRANS/WP.29/GRSG/2019/2 ECE/TRANS/WP.29/GRSG/2019/11</w:t>
      </w:r>
    </w:p>
    <w:p w:rsidR="00775303" w:rsidRPr="007F73F2" w:rsidRDefault="00775303" w:rsidP="00775303">
      <w:pPr>
        <w:pStyle w:val="H1G"/>
      </w:pPr>
      <w:r w:rsidRPr="00775303">
        <w:rPr>
          <w:lang w:val="en-US"/>
        </w:rPr>
        <w:tab/>
      </w:r>
      <w:r>
        <w:t>4.</w:t>
      </w:r>
      <w:r>
        <w:tab/>
      </w:r>
      <w:r>
        <w:rPr>
          <w:bCs/>
        </w:rPr>
        <w:t>Правила № 34 ООН (предотвращение опасности возникновения пожара)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возможно, пожелает рассмотреть предложение Европейской комиссии (ЕК) по изменению области применения Правил № 34 ООН, если таковое будет представлено.</w:t>
      </w:r>
    </w:p>
    <w:p w:rsidR="00775303" w:rsidRPr="007F73F2" w:rsidRDefault="00775303" w:rsidP="00775303">
      <w:pPr>
        <w:pStyle w:val="H1G"/>
      </w:pPr>
      <w:r>
        <w:tab/>
        <w:t>5.</w:t>
      </w:r>
      <w:r>
        <w:tab/>
      </w:r>
      <w:r>
        <w:rPr>
          <w:bCs/>
        </w:rPr>
        <w:t>Правила № 35 ООН (педали управления)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вновь рассмотреть документ ECE/TRANS/WP.29/GRSG/2019/3, представленный МОПАП, для уточнения метода измерения боковых расстояний от педалей до ближайшей «стенки» слева.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ECE/TRANS/WP.29/GRSG/2019/3</w:t>
      </w:r>
    </w:p>
    <w:p w:rsidR="00775303" w:rsidRPr="007F73F2" w:rsidRDefault="00775303" w:rsidP="00775303">
      <w:pPr>
        <w:pStyle w:val="H1G"/>
      </w:pPr>
      <w:r>
        <w:lastRenderedPageBreak/>
        <w:tab/>
        <w:t>6.</w:t>
      </w:r>
      <w:r>
        <w:tab/>
      </w:r>
      <w:r>
        <w:rPr>
          <w:bCs/>
        </w:rPr>
        <w:t>Поправки к правилам, касающимся безопасных стекловых материалов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будет проинформирована Председателем НРГ по стеклам для панорамных люков автомобилей (СПЛА) о ходе работы над поправками к Правилам ООН, касающимся безопасных стекловых материалов, в отношении новых положений о «зонах с керамической печатью». GRSG, возможно, пожелает рассмотреть предложение НРГ по проекту рекомендации в отношении зон с керамической печатью, если таковое будет представлено.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Глобальные технические правила № 6 ООН (безопасные стекловые материалы)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рассмотреть предложение Индии по согласованию Глобальных технических правил № 6 ООН о факультативном использовании многослойного безосколочного стекла с улучшенными механическими свойствами, прежде всего для наружных передних ветровых стекол верхнего этажа двухэтажного транспортного средства.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ECE/TRANS/WP.29/GRSG/2019/4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43 ООН (безопасные стекловые материалы)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 xml:space="preserve">GRSG, как ожидается, рассмотрит предложение Франции для разъяснения в приложении 3 ссылки на требования к испытаниям на истирание и устойчивость к </w:t>
      </w:r>
      <w:r w:rsidR="00775303" w:rsidRPr="00556552">
        <w:t>воздействию имитируемых атмосферных условий</w:t>
      </w:r>
      <w:r w:rsidR="00775303">
        <w:t>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ECE/TRANS/WP.29/GRSG/2019/5</w:t>
      </w:r>
    </w:p>
    <w:p w:rsidR="00775303" w:rsidRPr="007F73F2" w:rsidRDefault="00775303" w:rsidP="00775303">
      <w:pPr>
        <w:pStyle w:val="H1G"/>
      </w:pPr>
      <w:r>
        <w:tab/>
        <w:t>7.</w:t>
      </w:r>
      <w:r>
        <w:tab/>
        <w:t>Предупреждение о присутствии уязвимых участников дорожного движения в непосредственной близости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будет проинформирована Председателем НРГ по предупреждению о присутствии уязвимых участников дорожного движения в непосредственной близости (VRU-Proxi) относительно результатов работы группы по мультимодальному подходу на основе использования устройств прямого или непрямого обзора (или их комбинации), систем мониторов или систем обнаружения препятствий.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46 ООН (устройства непрямого обзора)</w:t>
      </w:r>
    </w:p>
    <w:p w:rsidR="00775303" w:rsidRPr="007F73F2" w:rsidRDefault="00012926" w:rsidP="00012926">
      <w:pPr>
        <w:pStyle w:val="SingleTxtG"/>
        <w:rPr>
          <w:szCs w:val="24"/>
        </w:rPr>
      </w:pPr>
      <w:r>
        <w:tab/>
      </w:r>
      <w:r>
        <w:tab/>
      </w:r>
      <w:r w:rsidR="00775303">
        <w:t>GRSG, как ожидается, рассмотрит предложение НРГ по внесению поправок в Правила № 46 ООН, с тем чтобы во время движения транспортного средства задним ходом у водителя был полный обзор в непосредственной близости позади транспортного средства без каких-либо «мертвых зон».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ECE/TRANS/WP.29/GRSG/2019/10</w:t>
      </w:r>
    </w:p>
    <w:p w:rsidR="00775303" w:rsidRPr="007F73F2" w:rsidRDefault="00775303" w:rsidP="00775303">
      <w:pPr>
        <w:pStyle w:val="H23G"/>
      </w:pPr>
      <w:r>
        <w:tab/>
        <w:t>b)</w:t>
      </w:r>
      <w:r>
        <w:tab/>
      </w:r>
      <w:r>
        <w:rPr>
          <w:bCs/>
        </w:rPr>
        <w:t>Правила ООН, касающиеся систем индикации мертвой зоны (СИМЗ)</w:t>
      </w:r>
    </w:p>
    <w:p w:rsidR="00775303" w:rsidRPr="007F73F2" w:rsidRDefault="00012926" w:rsidP="00012926">
      <w:pPr>
        <w:pStyle w:val="SingleTxtG"/>
        <w:rPr>
          <w:szCs w:val="24"/>
        </w:rPr>
      </w:pPr>
      <w:r>
        <w:tab/>
      </w:r>
      <w:r>
        <w:tab/>
      </w:r>
      <w:r w:rsidR="00775303">
        <w:t>GRSG, возможно, пожелает рассмотреть предложение по поправкам к новым правилам, касающимся СИМЗ, если таковое будет представлено.</w:t>
      </w:r>
    </w:p>
    <w:p w:rsidR="00775303" w:rsidRPr="007F73F2" w:rsidRDefault="00775303" w:rsidP="00775303">
      <w:pPr>
        <w:pStyle w:val="H1G"/>
      </w:pPr>
      <w:r>
        <w:tab/>
        <w:t>8.</w:t>
      </w:r>
      <w:r>
        <w:tab/>
      </w:r>
      <w:r>
        <w:rPr>
          <w:bCs/>
        </w:rPr>
        <w:t>Правила № 55 ООН (механические сцепные устройства)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рассмотреть предложение ЕК по обновлению положений о съемных механических сцепных устройствах, установленных на автотранспортных средствах, в частности о необходимости предоставления водителю четкой информации (ECE/TRANS/WP.29/GRSG/2019/6).</w:t>
      </w:r>
    </w:p>
    <w:p w:rsidR="00775303" w:rsidRPr="007F73F2" w:rsidRDefault="00012926" w:rsidP="007E4D38">
      <w:pPr>
        <w:pStyle w:val="SingleTxtG"/>
        <w:keepNext/>
        <w:keepLines/>
      </w:pPr>
      <w:r>
        <w:lastRenderedPageBreak/>
        <w:tab/>
      </w:r>
      <w:r>
        <w:tab/>
      </w:r>
      <w:r w:rsidR="00775303">
        <w:t>GRSG, возможно, пожелает рассмотреть предложение Франции об обновлении формата карточки сообщения (ECE/TRANS/WP.29/GRSG/2019/12).</w:t>
      </w:r>
    </w:p>
    <w:p w:rsidR="00775303" w:rsidRPr="00775303" w:rsidRDefault="00775303" w:rsidP="00012926">
      <w:pPr>
        <w:pStyle w:val="SingleTxtG"/>
        <w:ind w:left="2835" w:hanging="1701"/>
        <w:rPr>
          <w:lang w:val="en-US"/>
        </w:rPr>
      </w:pPr>
      <w:r>
        <w:rPr>
          <w:b/>
          <w:bCs/>
        </w:rPr>
        <w:t>Документация</w:t>
      </w:r>
      <w:r w:rsidRPr="00775303">
        <w:rPr>
          <w:b/>
          <w:bCs/>
          <w:lang w:val="en-US"/>
        </w:rPr>
        <w:t>:</w:t>
      </w:r>
      <w:r w:rsidRPr="00775303">
        <w:rPr>
          <w:lang w:val="en-US"/>
        </w:rPr>
        <w:tab/>
        <w:t>ECE/TRANS/WP.29/GRSG/2019/6 ECE/TRANS/WP.29/GRSG/2019/12</w:t>
      </w:r>
    </w:p>
    <w:p w:rsidR="00775303" w:rsidRPr="007F73F2" w:rsidRDefault="00775303" w:rsidP="00775303">
      <w:pPr>
        <w:pStyle w:val="H1G"/>
      </w:pPr>
      <w:r w:rsidRPr="00775303">
        <w:rPr>
          <w:lang w:val="en-US"/>
        </w:rPr>
        <w:tab/>
      </w:r>
      <w:r>
        <w:t>9.</w:t>
      </w:r>
      <w:r>
        <w:tab/>
      </w:r>
      <w:r>
        <w:rPr>
          <w:bCs/>
        </w:rPr>
        <w:t>Поправки к правилам, касающимся транспортных средств, работающих на газе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будет проинформирована экспертом от Германии, выполняющим функции Председателя целевой группы по правилам, касающимся газомоторных транспортных средств, о ходе работы над поправками к правилам № 67 и 110 ООН.</w:t>
      </w:r>
    </w:p>
    <w:p w:rsidR="00775303" w:rsidRPr="007F73F2" w:rsidRDefault="00775303" w:rsidP="00775303">
      <w:pPr>
        <w:pStyle w:val="H23G"/>
      </w:pPr>
      <w:r>
        <w:tab/>
        <w:t>a)</w:t>
      </w:r>
      <w:r>
        <w:tab/>
      </w:r>
      <w:r>
        <w:rPr>
          <w:bCs/>
        </w:rPr>
        <w:t>Правила № 67 ООН (транспортные средства, работающие на СНГ)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продолжить рассмотрение предложения Турции по новым положениям о местонахождении заправочного блока на транспортном средстве и ограничении срока службы баллонов со сжиженным нефтяным газом (СНГ) (ECE/TRANS/WP.29/GRSG/2017/22).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возобновит рассмотрение предложения целевой группы по изменению положений об испытании на старение в приложении 15 и старении материала, вступающего в контакт с СНГ (ECE/TRANS/WP.29/GRSG/2018/2).</w:t>
      </w:r>
    </w:p>
    <w:p w:rsidR="00775303" w:rsidRPr="00775303" w:rsidRDefault="00775303" w:rsidP="00012926">
      <w:pPr>
        <w:pStyle w:val="SingleTxtG"/>
        <w:ind w:left="2835" w:hanging="1701"/>
        <w:rPr>
          <w:lang w:val="en-US"/>
        </w:rPr>
      </w:pPr>
      <w:r>
        <w:rPr>
          <w:b/>
          <w:bCs/>
        </w:rPr>
        <w:t>Документация</w:t>
      </w:r>
      <w:r w:rsidRPr="00775303">
        <w:rPr>
          <w:b/>
          <w:bCs/>
          <w:lang w:val="en-US"/>
        </w:rPr>
        <w:t>:</w:t>
      </w:r>
      <w:r w:rsidRPr="00775303">
        <w:rPr>
          <w:lang w:val="en-US"/>
        </w:rPr>
        <w:tab/>
        <w:t>ECE/TRANS/WP.29/GRSG/2017/22 ECE/TRANS/WP.29/GRSG/2018/2</w:t>
      </w:r>
    </w:p>
    <w:p w:rsidR="00775303" w:rsidRPr="007F73F2" w:rsidRDefault="00775303" w:rsidP="00775303">
      <w:pPr>
        <w:pStyle w:val="H23G"/>
      </w:pPr>
      <w:r w:rsidRPr="00775303">
        <w:rPr>
          <w:lang w:val="en-US"/>
        </w:rPr>
        <w:tab/>
      </w:r>
      <w:r>
        <w:t>b)</w:t>
      </w:r>
      <w:r>
        <w:tab/>
      </w:r>
      <w:r>
        <w:rPr>
          <w:bCs/>
        </w:rPr>
        <w:t>Правила № 110 ООН (транспортные средства, работающие на КПГ и СПГ)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возможно, пожелает рассмотреть предложения по поправкам к Правилам № 110 ООН, если таковые будут представлены.</w:t>
      </w:r>
    </w:p>
    <w:p w:rsidR="00775303" w:rsidRPr="007F73F2" w:rsidRDefault="00775303" w:rsidP="00012926">
      <w:pPr>
        <w:pStyle w:val="H1G"/>
      </w:pPr>
      <w:r>
        <w:tab/>
      </w:r>
      <w:r w:rsidRPr="008C719B">
        <w:t>10.</w:t>
      </w:r>
      <w:r w:rsidRPr="008C719B">
        <w:tab/>
      </w:r>
      <w:r>
        <w:t>Правила № 73 ООН (боковые защитные устройства)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возможно, пожелает рассмотреть предложение Франции, направленное на повышение эффективности боковых защитных устройств (БЗУ) для улучшения защиты уязвимых участников дорожного движения.</w:t>
      </w:r>
    </w:p>
    <w:p w:rsidR="00775303" w:rsidRPr="007F73F2" w:rsidRDefault="00775303" w:rsidP="00012926">
      <w:pPr>
        <w:pStyle w:val="H1G"/>
      </w:pPr>
      <w:r>
        <w:tab/>
      </w:r>
      <w:r w:rsidRPr="008C719B">
        <w:t>11.</w:t>
      </w:r>
      <w:r w:rsidRPr="008C719B">
        <w:tab/>
        <w:t>Правила</w:t>
      </w:r>
      <w:r>
        <w:t xml:space="preserve"> № 93 ООН (передние противоподкатные защитные устройства)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рассмотреть предложение ЕК по обновлению положений</w:t>
      </w:r>
      <w:r w:rsidR="00775303" w:rsidRPr="008C719B">
        <w:t xml:space="preserve"> </w:t>
      </w:r>
      <w:r w:rsidR="00775303">
        <w:t>об элементах защиты от лобового столкновения, которые официально утверждены в качестве составной части транспортного средства, в частности с тем чтобы обеспечить возможность использования кабины более округлой формы для улучшения аэродинамических характеристик, если таковое будет представлено.</w:t>
      </w:r>
    </w:p>
    <w:p w:rsidR="00775303" w:rsidRPr="007F73F2" w:rsidRDefault="00775303" w:rsidP="00012926">
      <w:pPr>
        <w:pStyle w:val="SingleTxtG"/>
        <w:rPr>
          <w:i/>
        </w:rPr>
      </w:pPr>
      <w:r>
        <w:rPr>
          <w:b/>
          <w:bCs/>
        </w:rPr>
        <w:t>Документация:</w:t>
      </w:r>
      <w:r>
        <w:tab/>
        <w:t>(неофициальный документ GRSG-115-25)</w:t>
      </w:r>
    </w:p>
    <w:p w:rsidR="00775303" w:rsidRPr="007F73F2" w:rsidRDefault="00775303" w:rsidP="00775303">
      <w:pPr>
        <w:pStyle w:val="H1G"/>
      </w:pPr>
      <w:r>
        <w:tab/>
        <w:t>12.</w:t>
      </w:r>
      <w:r>
        <w:tab/>
      </w:r>
      <w:r>
        <w:rPr>
          <w:bCs/>
        </w:rPr>
        <w:t>Правила № 116 ООН (противоугонные системы и системы охранной сигнализации)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возможно, пожелает вновь рассмотреть предложение МОПАП, предусматривающее исключение некоторых положений и их включение в тексты двух новых правил ООН.</w:t>
      </w:r>
    </w:p>
    <w:p w:rsidR="00320D79" w:rsidRDefault="00012926" w:rsidP="00012926">
      <w:pPr>
        <w:pStyle w:val="SingleTxtG"/>
      </w:pPr>
      <w:r>
        <w:tab/>
      </w:r>
      <w:r>
        <w:tab/>
      </w:r>
      <w:r w:rsidR="00775303">
        <w:t>GRSG решила возобновить рассмотрение документов ECE/TRANS/WP.29/</w:t>
      </w:r>
      <w:r w:rsidRPr="00012926">
        <w:t xml:space="preserve"> </w:t>
      </w:r>
      <w:r w:rsidR="00775303">
        <w:t>GRSG/2018/25 и ECE/TRANS/WP.29/GRSG/2019/7, представленных МОПАП для разъяснения определений и положений, касающихся экологических испытаний компонентов, не являющихся ча</w:t>
      </w:r>
    </w:p>
    <w:p w:rsidR="00775303" w:rsidRPr="007F73F2" w:rsidRDefault="00775303" w:rsidP="00012926">
      <w:pPr>
        <w:pStyle w:val="SingleTxtG"/>
      </w:pPr>
      <w:r>
        <w:lastRenderedPageBreak/>
        <w:t>стью транспортного средства, например ключей.</w:t>
      </w:r>
    </w:p>
    <w:p w:rsidR="00775303" w:rsidRPr="007F73F2" w:rsidRDefault="00775303" w:rsidP="00012926">
      <w:pPr>
        <w:pStyle w:val="SingleTxtG"/>
        <w:keepNext/>
        <w:keepLines/>
        <w:ind w:left="2835" w:hanging="1701"/>
        <w:jc w:val="left"/>
      </w:pPr>
      <w:r>
        <w:rPr>
          <w:b/>
          <w:bCs/>
        </w:rPr>
        <w:t>Документация:</w:t>
      </w:r>
      <w:r>
        <w:tab/>
        <w:t>ECE/TRANS/WP.29/GRSG/2017/23 ECE/TRANS/WP.29/GRSG/2017/24/Rev.1 ECE/TRANS/WP.29/GRSG/2017/25 и Corr.1 ECE/TRANS/WP.29/GRSG/2018/25 ECE/TRANS/WP.29/GRSG/2019/7</w:t>
      </w:r>
    </w:p>
    <w:p w:rsidR="00775303" w:rsidRPr="007F73F2" w:rsidRDefault="00775303" w:rsidP="00012926">
      <w:pPr>
        <w:pStyle w:val="H1G"/>
      </w:pPr>
      <w:r>
        <w:tab/>
      </w:r>
      <w:r w:rsidRPr="008C719B">
        <w:t>13.</w:t>
      </w:r>
      <w:r>
        <w:tab/>
        <w:t>Правила № 121 ООН (идентификация органов управления, контрольных сигналов и индикаторов)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 xml:space="preserve">GRSG решила вновь обсудить пересмотренное предложение Франции и МОПАП, направленное на </w:t>
      </w:r>
      <w:r w:rsidR="00775303" w:rsidRPr="004E755D">
        <w:t>упрощени</w:t>
      </w:r>
      <w:r w:rsidR="00775303">
        <w:t>е</w:t>
      </w:r>
      <w:r w:rsidR="00775303" w:rsidRPr="004E755D">
        <w:t xml:space="preserve"> процесса изменения цветового отображения органов управления, контрольных сигналов и индикаторов</w:t>
      </w:r>
      <w:r w:rsidR="00775303">
        <w:t xml:space="preserve"> и исключение из таблицы сноски </w:t>
      </w:r>
      <w:r w:rsidR="00775303">
        <w:rPr>
          <w:vertAlign w:val="superscript"/>
        </w:rPr>
        <w:t>18</w:t>
      </w:r>
      <w:r w:rsidR="00775303">
        <w:t xml:space="preserve"> (ECE/TRANS/WP.29/GRSG/2018/6).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 xml:space="preserve">GRSG, как ожидается, рассмотрит предложение (если таковое будет представлено) Республики Корея о включении в Правила № 121 ООН нового условного обозначения органов управления для </w:t>
      </w:r>
      <w:r>
        <w:t>«</w:t>
      </w:r>
      <w:r w:rsidR="00775303">
        <w:t>включения/выключения питания</w:t>
      </w:r>
      <w:r>
        <w:t>»</w:t>
      </w:r>
      <w:r w:rsidR="00775303">
        <w:t xml:space="preserve"> на транспортных средствах, оборудованных электроприводом, таких как электромобили.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ECE/TRANS/WP.29/GRSG/2018/6</w:t>
      </w:r>
    </w:p>
    <w:p w:rsidR="00775303" w:rsidRPr="007F73F2" w:rsidRDefault="00775303" w:rsidP="00012926">
      <w:pPr>
        <w:pStyle w:val="H1G"/>
      </w:pPr>
      <w:r>
        <w:tab/>
      </w:r>
      <w:r w:rsidRPr="008C719B">
        <w:t>14.</w:t>
      </w:r>
      <w:r>
        <w:tab/>
        <w:t>Правила № 144 ООН (автоматические системы вызова экстренных оперативных служб)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провести окончательный обзор пересмотренного предложения МОПАП для уточнения области применения Правил № 144 ООН.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ECE/TRANS/WP.29/GRSG/2018/23</w:t>
      </w:r>
    </w:p>
    <w:p w:rsidR="00775303" w:rsidRPr="007F73F2" w:rsidRDefault="00012926" w:rsidP="00012926">
      <w:pPr>
        <w:pStyle w:val="H1G"/>
      </w:pPr>
      <w:r>
        <w:tab/>
      </w:r>
      <w:r w:rsidR="00775303">
        <w:t>15.</w:t>
      </w:r>
      <w:r w:rsidR="00775303">
        <w:tab/>
        <w:t>Правила № 0 ООН (международная система официального утверждения типа комплектного транспортного средства)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будет проинформирована об итогах недавних совещаний НРГ по МОУТКТС и о последующей деятельности GRSG по новым приоритетам на этапе 2 МОУТКТС, в частности о правилах ООН, находящихся в ведении GRSG, которые будут включены в приложение 4 к Правилам № 0 ООН.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неофициальный документ WP.29-176-21</w:t>
      </w:r>
    </w:p>
    <w:p w:rsidR="00775303" w:rsidRPr="007F73F2" w:rsidRDefault="00012926" w:rsidP="00012926">
      <w:pPr>
        <w:pStyle w:val="H1G"/>
      </w:pPr>
      <w:r>
        <w:tab/>
      </w:r>
      <w:r w:rsidR="00775303">
        <w:t>16.</w:t>
      </w:r>
      <w:r w:rsidR="00775303">
        <w:tab/>
        <w:t>Сводная резолюция о конструкции транспортных средств (СР.3)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 xml:space="preserve">GRSG решила рассмотреть предложение Международной ассоциации заводов-изготовителей мотоциклов (МАЗМ) о внесении поправки в положения СР.3, с </w:t>
      </w:r>
      <w:r>
        <w:t>тем чтобы разрешить применение «</w:t>
      </w:r>
      <w:r w:rsidR="00775303">
        <w:t>сдвоенных колес</w:t>
      </w:r>
      <w:r>
        <w:t>»</w:t>
      </w:r>
      <w:r w:rsidR="00775303">
        <w:t xml:space="preserve"> на всех транспортных средствах категории L.</w:t>
      </w:r>
    </w:p>
    <w:p w:rsidR="00775303" w:rsidRPr="007F73F2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ECE/TRANS/WP.29/GRSG/2019/8</w:t>
      </w:r>
    </w:p>
    <w:p w:rsidR="00775303" w:rsidRPr="007F73F2" w:rsidRDefault="00012926" w:rsidP="00012926">
      <w:pPr>
        <w:pStyle w:val="H1G"/>
      </w:pPr>
      <w:r>
        <w:tab/>
      </w:r>
      <w:r w:rsidR="00775303">
        <w:t>17.</w:t>
      </w:r>
      <w:r w:rsidR="00775303">
        <w:tab/>
        <w:t>Регистратор данных об аварии</w:t>
      </w:r>
    </w:p>
    <w:p w:rsidR="00775303" w:rsidRPr="007F73F2" w:rsidRDefault="00012926" w:rsidP="00012926">
      <w:pPr>
        <w:pStyle w:val="SingleTxtG"/>
        <w:rPr>
          <w:b/>
          <w:sz w:val="24"/>
        </w:rPr>
      </w:pPr>
      <w:r>
        <w:tab/>
      </w:r>
      <w:r>
        <w:tab/>
      </w:r>
      <w:r w:rsidR="00775303">
        <w:t>GRSG решила вновь включить пункт для рассмотрения новых требований к эксплуатационным характеристикам регистратора данных о событиях.</w:t>
      </w:r>
    </w:p>
    <w:p w:rsidR="00775303" w:rsidRPr="007F73F2" w:rsidRDefault="00012926" w:rsidP="00012926">
      <w:pPr>
        <w:pStyle w:val="H1G"/>
      </w:pPr>
      <w:r>
        <w:lastRenderedPageBreak/>
        <w:tab/>
      </w:r>
      <w:r w:rsidR="00775303">
        <w:t>18.</w:t>
      </w:r>
      <w:r w:rsidR="00775303">
        <w:tab/>
        <w:t>Обмен мнениями по вопросу об автоматизации транспортных средств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 решила продолжить обмен мнениями и координацию по вопросам автоматизации транспортных средств.</w:t>
      </w:r>
    </w:p>
    <w:p w:rsidR="00775303" w:rsidRPr="007F73F2" w:rsidRDefault="00012926" w:rsidP="00012926">
      <w:pPr>
        <w:pStyle w:val="H1G"/>
      </w:pPr>
      <w:r>
        <w:tab/>
      </w:r>
      <w:r w:rsidR="00775303">
        <w:t>19.</w:t>
      </w:r>
      <w:r w:rsidR="00775303">
        <w:tab/>
        <w:t>Прочие вопросы</w:t>
      </w:r>
    </w:p>
    <w:p w:rsidR="00775303" w:rsidRPr="007F73F2" w:rsidRDefault="00775303" w:rsidP="00775303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58 ООН (задние противоподкатные защитные устройства) (ЗПЗУ)</w:t>
      </w:r>
    </w:p>
    <w:p w:rsidR="00775303" w:rsidRPr="007F73F2" w:rsidRDefault="00012926" w:rsidP="00012926">
      <w:pPr>
        <w:pStyle w:val="SingleTxtG"/>
      </w:pPr>
      <w:r>
        <w:tab/>
      </w:r>
      <w:r>
        <w:tab/>
      </w:r>
      <w:r w:rsidR="00775303">
        <w:t>GRSG, как ожидается, рассмотрит предложение Финляндии о внесении поправок в Правила № 58 ООН для разъяснения вопросов применения и установки ЗПЗУ.</w:t>
      </w:r>
    </w:p>
    <w:p w:rsidR="00775303" w:rsidRDefault="00775303" w:rsidP="00012926">
      <w:pPr>
        <w:pStyle w:val="SingleTxtG"/>
      </w:pPr>
      <w:r>
        <w:rPr>
          <w:b/>
          <w:bCs/>
        </w:rPr>
        <w:t>Документация:</w:t>
      </w:r>
      <w:r>
        <w:tab/>
        <w:t>ECE/TRANS/WP.29/GRSG/2019/14</w:t>
      </w:r>
    </w:p>
    <w:p w:rsidR="00775303" w:rsidRPr="00775303" w:rsidRDefault="00775303" w:rsidP="0077530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5303" w:rsidRPr="00775303" w:rsidSect="0077530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5DE" w:rsidRPr="00A312BC" w:rsidRDefault="009E15DE" w:rsidP="00A312BC"/>
  </w:endnote>
  <w:endnote w:type="continuationSeparator" w:id="0">
    <w:p w:rsidR="009E15DE" w:rsidRPr="00A312BC" w:rsidRDefault="009E15D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03" w:rsidRPr="00775303" w:rsidRDefault="00775303">
    <w:pPr>
      <w:pStyle w:val="Footer"/>
    </w:pPr>
    <w:r w:rsidRPr="00775303">
      <w:rPr>
        <w:b/>
        <w:sz w:val="18"/>
      </w:rPr>
      <w:fldChar w:fldCharType="begin"/>
    </w:r>
    <w:r w:rsidRPr="00775303">
      <w:rPr>
        <w:b/>
        <w:sz w:val="18"/>
      </w:rPr>
      <w:instrText xml:space="preserve"> PAGE  \* MERGEFORMAT </w:instrText>
    </w:r>
    <w:r w:rsidRPr="00775303">
      <w:rPr>
        <w:b/>
        <w:sz w:val="18"/>
      </w:rPr>
      <w:fldChar w:fldCharType="separate"/>
    </w:r>
    <w:r w:rsidR="00320D79">
      <w:rPr>
        <w:b/>
        <w:noProof/>
        <w:sz w:val="18"/>
      </w:rPr>
      <w:t>6</w:t>
    </w:r>
    <w:r w:rsidRPr="00775303">
      <w:rPr>
        <w:b/>
        <w:sz w:val="18"/>
      </w:rPr>
      <w:fldChar w:fldCharType="end"/>
    </w:r>
    <w:r>
      <w:rPr>
        <w:b/>
        <w:sz w:val="18"/>
      </w:rPr>
      <w:tab/>
    </w:r>
    <w:r>
      <w:t>GE.19-00629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03" w:rsidRPr="00775303" w:rsidRDefault="00775303" w:rsidP="0077530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GE.19-00629</w:t>
    </w:r>
    <w:r>
      <w:tab/>
    </w:r>
    <w:r w:rsidRPr="00775303">
      <w:rPr>
        <w:b/>
        <w:sz w:val="18"/>
      </w:rPr>
      <w:fldChar w:fldCharType="begin"/>
    </w:r>
    <w:r w:rsidRPr="00775303">
      <w:rPr>
        <w:b/>
        <w:sz w:val="18"/>
      </w:rPr>
      <w:instrText xml:space="preserve"> PAGE  \* MERGEFORMAT </w:instrText>
    </w:r>
    <w:r w:rsidRPr="00775303">
      <w:rPr>
        <w:b/>
        <w:sz w:val="18"/>
      </w:rPr>
      <w:fldChar w:fldCharType="separate"/>
    </w:r>
    <w:r w:rsidR="00320D79">
      <w:rPr>
        <w:b/>
        <w:noProof/>
        <w:sz w:val="18"/>
      </w:rPr>
      <w:t>5</w:t>
    </w:r>
    <w:r w:rsidRPr="0077530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75303" w:rsidRDefault="00775303" w:rsidP="0077530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19-00629  (R)</w:t>
    </w:r>
    <w:r>
      <w:rPr>
        <w:lang w:val="en-US"/>
      </w:rPr>
      <w:t xml:space="preserve">  170119  170119</w:t>
    </w:r>
    <w:r>
      <w:br/>
    </w:r>
    <w:r w:rsidRPr="00775303">
      <w:rPr>
        <w:rFonts w:ascii="C39T30Lfz" w:hAnsi="C39T30Lfz"/>
        <w:kern w:val="14"/>
        <w:sz w:val="56"/>
      </w:rPr>
      <w:t></w:t>
    </w:r>
    <w:r w:rsidRPr="00775303">
      <w:rPr>
        <w:rFonts w:ascii="C39T30Lfz" w:hAnsi="C39T30Lfz"/>
        <w:kern w:val="14"/>
        <w:sz w:val="56"/>
      </w:rPr>
      <w:t></w:t>
    </w:r>
    <w:r w:rsidRPr="00775303">
      <w:rPr>
        <w:rFonts w:ascii="C39T30Lfz" w:hAnsi="C39T30Lfz"/>
        <w:kern w:val="14"/>
        <w:sz w:val="56"/>
      </w:rPr>
      <w:t></w:t>
    </w:r>
    <w:r w:rsidRPr="00775303">
      <w:rPr>
        <w:rFonts w:ascii="C39T30Lfz" w:hAnsi="C39T30Lfz"/>
        <w:kern w:val="14"/>
        <w:sz w:val="56"/>
      </w:rPr>
      <w:t></w:t>
    </w:r>
    <w:r w:rsidRPr="00775303">
      <w:rPr>
        <w:rFonts w:ascii="C39T30Lfz" w:hAnsi="C39T30Lfz"/>
        <w:kern w:val="14"/>
        <w:sz w:val="56"/>
      </w:rPr>
      <w:t></w:t>
    </w:r>
    <w:r w:rsidRPr="00775303">
      <w:rPr>
        <w:rFonts w:ascii="C39T30Lfz" w:hAnsi="C39T30Lfz"/>
        <w:kern w:val="14"/>
        <w:sz w:val="56"/>
      </w:rPr>
      <w:t></w:t>
    </w:r>
    <w:r w:rsidRPr="00775303">
      <w:rPr>
        <w:rFonts w:ascii="C39T30Lfz" w:hAnsi="C39T30Lfz"/>
        <w:kern w:val="14"/>
        <w:sz w:val="56"/>
      </w:rPr>
      <w:t></w:t>
    </w:r>
    <w:r w:rsidRPr="00775303">
      <w:rPr>
        <w:rFonts w:ascii="C39T30Lfz" w:hAnsi="C39T30Lfz"/>
        <w:kern w:val="14"/>
        <w:sz w:val="56"/>
      </w:rPr>
      <w:t></w:t>
    </w:r>
    <w:r w:rsidRPr="0077530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5DE" w:rsidRPr="001075E9" w:rsidRDefault="009E15D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15DE" w:rsidRDefault="009E15D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03" w:rsidRPr="00775303" w:rsidRDefault="000C310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20D79">
      <w:t>ECE/TRANS/WP.29/GRSG/2019/1/Add.1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03" w:rsidRPr="00775303" w:rsidRDefault="000C3100" w:rsidP="0077530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20D79">
      <w:t>ECE/TRANS/WP.29/GRSG/2019/1/Add.1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5DE"/>
    <w:rsid w:val="00012926"/>
    <w:rsid w:val="00033EE1"/>
    <w:rsid w:val="00042B72"/>
    <w:rsid w:val="000558BD"/>
    <w:rsid w:val="000A66ED"/>
    <w:rsid w:val="000B57E7"/>
    <w:rsid w:val="000B6373"/>
    <w:rsid w:val="000C310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0D79"/>
    <w:rsid w:val="00322004"/>
    <w:rsid w:val="003344BC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5303"/>
    <w:rsid w:val="00792497"/>
    <w:rsid w:val="007E4D3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15DE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36CE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F706418-1E7E-4673-BB62-B69AC3BC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75303"/>
    <w:rPr>
      <w:lang w:val="ru-RU" w:eastAsia="en-US"/>
    </w:rPr>
  </w:style>
  <w:style w:type="paragraph" w:styleId="BlockText">
    <w:name w:val="Block Text"/>
    <w:basedOn w:val="Normal"/>
    <w:semiHidden/>
    <w:rsid w:val="00775303"/>
    <w:pPr>
      <w:ind w:left="1440" w:right="1440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1695</Words>
  <Characters>9668</Characters>
  <Application>Microsoft Office Word</Application>
  <DocSecurity>0</DocSecurity>
  <Lines>80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ECE/TRANS/WP.29/GRSG/2019/1/Add.1</vt:lpstr>
      <vt:lpstr>ECE/TRANS/WP.29/GRSG/2019/1/Add.1</vt:lpstr>
      <vt:lpstr>A/</vt:lpstr>
    </vt:vector>
  </TitlesOfParts>
  <Company>DCM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ECE/TRANS/WP.29/GRSG/2019/1/Add.1</dc:title>
  <dc:subject/>
  <dc:creator>Marina KOROTKOVA</dc:creator>
  <cp:keywords/>
  <cp:lastModifiedBy>Benedicte Boudol</cp:lastModifiedBy>
  <cp:revision>2</cp:revision>
  <cp:lastPrinted>2019-01-17T09:48:00Z</cp:lastPrinted>
  <dcterms:created xsi:type="dcterms:W3CDTF">2019-02-11T13:18:00Z</dcterms:created>
  <dcterms:modified xsi:type="dcterms:W3CDTF">2019-02-11T13:18:00Z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