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F159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F1593" w:rsidP="004F1593">
            <w:pPr>
              <w:jc w:val="right"/>
            </w:pPr>
            <w:r w:rsidRPr="004F1593">
              <w:rPr>
                <w:sz w:val="40"/>
              </w:rPr>
              <w:t>ECE</w:t>
            </w:r>
            <w:r>
              <w:t>/TRANS/WP.29/GRSG/2019/14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F1593" w:rsidP="00C97039">
            <w:pPr>
              <w:spacing w:before="240"/>
            </w:pPr>
            <w:r>
              <w:t>Distr. générale</w:t>
            </w:r>
          </w:p>
          <w:p w:rsidR="004F1593" w:rsidRDefault="004F1593" w:rsidP="004F1593">
            <w:pPr>
              <w:spacing w:line="240" w:lineRule="exact"/>
            </w:pPr>
            <w:r>
              <w:t>15 janvier 2019</w:t>
            </w:r>
          </w:p>
          <w:p w:rsidR="004F1593" w:rsidRDefault="004F1593" w:rsidP="004F1593">
            <w:pPr>
              <w:spacing w:line="240" w:lineRule="exact"/>
            </w:pPr>
            <w:r>
              <w:t>Français</w:t>
            </w:r>
          </w:p>
          <w:p w:rsidR="004F1593" w:rsidRPr="00DB58B5" w:rsidRDefault="004F1593" w:rsidP="004F159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55717" w:rsidRPr="009959F5" w:rsidRDefault="00E55717" w:rsidP="009959F5">
      <w:pPr>
        <w:spacing w:before="120"/>
        <w:rPr>
          <w:rFonts w:eastAsia="Times New Roman"/>
          <w:b/>
          <w:sz w:val="24"/>
          <w:szCs w:val="24"/>
        </w:rPr>
      </w:pPr>
      <w:r w:rsidRPr="009959F5">
        <w:rPr>
          <w:rFonts w:eastAsia="Times New Roman"/>
          <w:b/>
          <w:sz w:val="24"/>
          <w:szCs w:val="24"/>
          <w:lang w:val="fr-FR"/>
        </w:rPr>
        <w:t xml:space="preserve">Forum mondial de l’harmonisation des Règlements </w:t>
      </w:r>
      <w:r w:rsidR="007D5AFB">
        <w:rPr>
          <w:rFonts w:eastAsia="Times New Roman"/>
          <w:b/>
          <w:sz w:val="24"/>
          <w:szCs w:val="24"/>
          <w:lang w:val="fr-FR"/>
        </w:rPr>
        <w:br/>
      </w:r>
      <w:r w:rsidRPr="009959F5">
        <w:rPr>
          <w:rFonts w:eastAsia="Times New Roman"/>
          <w:b/>
          <w:sz w:val="24"/>
          <w:szCs w:val="24"/>
          <w:lang w:val="fr-FR"/>
        </w:rPr>
        <w:t>concernant les véhicules</w:t>
      </w:r>
    </w:p>
    <w:p w:rsidR="00E55717" w:rsidRPr="009959F5" w:rsidRDefault="00E55717" w:rsidP="009959F5">
      <w:pPr>
        <w:spacing w:before="120"/>
        <w:rPr>
          <w:rFonts w:eastAsia="Times New Roman"/>
          <w:b/>
        </w:rPr>
      </w:pPr>
      <w:r w:rsidRPr="009959F5">
        <w:rPr>
          <w:rFonts w:eastAsia="Times New Roman"/>
          <w:b/>
          <w:lang w:val="fr-FR"/>
        </w:rPr>
        <w:t>Groupe de travail des dispositions générales de sécurité</w:t>
      </w:r>
    </w:p>
    <w:p w:rsidR="00E55717" w:rsidRPr="009959F5" w:rsidRDefault="00E55717" w:rsidP="009959F5">
      <w:pPr>
        <w:spacing w:before="120"/>
        <w:rPr>
          <w:rFonts w:eastAsia="Times New Roman"/>
          <w:b/>
        </w:rPr>
      </w:pPr>
      <w:r w:rsidRPr="009959F5">
        <w:rPr>
          <w:rFonts w:eastAsia="Times New Roman"/>
          <w:b/>
          <w:lang w:val="fr-FR"/>
        </w:rPr>
        <w:t>116</w:t>
      </w:r>
      <w:r w:rsidRPr="009959F5">
        <w:rPr>
          <w:rFonts w:eastAsia="Times New Roman"/>
          <w:b/>
          <w:vertAlign w:val="superscript"/>
          <w:lang w:val="fr-FR"/>
        </w:rPr>
        <w:t>e</w:t>
      </w:r>
      <w:r w:rsidR="009959F5" w:rsidRPr="009959F5">
        <w:rPr>
          <w:rFonts w:eastAsia="Times New Roman"/>
          <w:b/>
          <w:lang w:val="fr-FR"/>
        </w:rPr>
        <w:t> </w:t>
      </w:r>
      <w:r w:rsidRPr="009959F5">
        <w:rPr>
          <w:rFonts w:eastAsia="Times New Roman"/>
          <w:b/>
          <w:lang w:val="fr-FR"/>
        </w:rPr>
        <w:t>session</w:t>
      </w:r>
    </w:p>
    <w:p w:rsidR="00E55717" w:rsidRPr="009959F5" w:rsidRDefault="00E55717" w:rsidP="00E55717">
      <w:pPr>
        <w:rPr>
          <w:rFonts w:eastAsia="Times New Roman"/>
        </w:rPr>
      </w:pPr>
      <w:r w:rsidRPr="009959F5">
        <w:rPr>
          <w:rFonts w:eastAsia="Times New Roman"/>
          <w:lang w:val="fr-FR"/>
        </w:rPr>
        <w:t>Genève, 1</w:t>
      </w:r>
      <w:r w:rsidRPr="007D5AFB">
        <w:rPr>
          <w:rFonts w:eastAsia="Times New Roman"/>
          <w:vertAlign w:val="superscript"/>
          <w:lang w:val="fr-FR"/>
        </w:rPr>
        <w:t>er</w:t>
      </w:r>
      <w:r w:rsidR="007D5AFB">
        <w:rPr>
          <w:rFonts w:eastAsia="Times New Roman"/>
          <w:lang w:val="fr-FR"/>
        </w:rPr>
        <w:noBreakHyphen/>
      </w:r>
      <w:r w:rsidRPr="009959F5">
        <w:rPr>
          <w:rFonts w:eastAsia="Times New Roman"/>
          <w:lang w:val="fr-FR"/>
        </w:rPr>
        <w:t>5</w:t>
      </w:r>
      <w:r w:rsidR="007D5AFB">
        <w:rPr>
          <w:rFonts w:eastAsia="Times New Roman"/>
          <w:lang w:val="fr-FR"/>
        </w:rPr>
        <w:t> </w:t>
      </w:r>
      <w:r w:rsidRPr="009959F5">
        <w:rPr>
          <w:rFonts w:eastAsia="Times New Roman"/>
          <w:lang w:val="fr-FR"/>
        </w:rPr>
        <w:t>avril 2019</w:t>
      </w:r>
    </w:p>
    <w:p w:rsidR="00E55717" w:rsidRPr="009959F5" w:rsidRDefault="00E55717" w:rsidP="00E55717">
      <w:pPr>
        <w:rPr>
          <w:rFonts w:eastAsia="Times New Roman"/>
        </w:rPr>
      </w:pPr>
      <w:r w:rsidRPr="009959F5">
        <w:rPr>
          <w:rFonts w:eastAsia="Times New Roman"/>
          <w:lang w:val="fr-FR"/>
        </w:rPr>
        <w:t>Point</w:t>
      </w:r>
      <w:r w:rsidR="007D5AFB">
        <w:rPr>
          <w:rFonts w:eastAsia="Times New Roman"/>
          <w:lang w:val="fr-FR"/>
        </w:rPr>
        <w:t> </w:t>
      </w:r>
      <w:r w:rsidRPr="009959F5">
        <w:rPr>
          <w:rFonts w:eastAsia="Times New Roman"/>
          <w:lang w:val="fr-FR"/>
        </w:rPr>
        <w:t>19 de l’ordre du jour provisoire</w:t>
      </w:r>
    </w:p>
    <w:p w:rsidR="00E55717" w:rsidRPr="009959F5" w:rsidRDefault="00E55717" w:rsidP="00E55717">
      <w:pPr>
        <w:rPr>
          <w:rFonts w:eastAsia="Times New Roman"/>
          <w:b/>
        </w:rPr>
      </w:pPr>
      <w:r w:rsidRPr="009959F5">
        <w:rPr>
          <w:rFonts w:eastAsia="Times New Roman"/>
          <w:b/>
          <w:lang w:val="fr-FR"/>
        </w:rPr>
        <w:t>Questions diverses</w:t>
      </w:r>
    </w:p>
    <w:p w:rsidR="00E55717" w:rsidRPr="00EB15CE" w:rsidRDefault="00E55717" w:rsidP="007D5AFB">
      <w:pPr>
        <w:pStyle w:val="HChG"/>
        <w:rPr>
          <w:sz w:val="26"/>
          <w:szCs w:val="26"/>
        </w:rPr>
      </w:pPr>
      <w:r w:rsidRPr="00EB15CE">
        <w:rPr>
          <w:lang w:val="fr-FR"/>
        </w:rPr>
        <w:tab/>
      </w:r>
      <w:r w:rsidRPr="00EB15CE">
        <w:rPr>
          <w:lang w:val="fr-FR"/>
        </w:rPr>
        <w:tab/>
        <w:t>Proposition de complément 1 à la série 03 d</w:t>
      </w:r>
      <w:r>
        <w:rPr>
          <w:lang w:val="fr-FR"/>
        </w:rPr>
        <w:t>’</w:t>
      </w:r>
      <w:r w:rsidRPr="00EB15CE">
        <w:rPr>
          <w:lang w:val="fr-FR"/>
        </w:rPr>
        <w:t xml:space="preserve">amendements </w:t>
      </w:r>
      <w:r w:rsidR="007D5AFB">
        <w:rPr>
          <w:lang w:val="fr-FR"/>
        </w:rPr>
        <w:br/>
      </w:r>
      <w:r w:rsidRPr="00EB15CE">
        <w:rPr>
          <w:lang w:val="fr-FR"/>
        </w:rPr>
        <w:t>au Règlement ONU n</w:t>
      </w:r>
      <w:r w:rsidRPr="000F786C">
        <w:rPr>
          <w:vertAlign w:val="superscript"/>
          <w:lang w:val="fr-FR"/>
        </w:rPr>
        <w:t>o</w:t>
      </w:r>
      <w:r w:rsidR="007D5AFB">
        <w:rPr>
          <w:lang w:val="fr-FR"/>
        </w:rPr>
        <w:t> </w:t>
      </w:r>
      <w:r w:rsidRPr="007D5AFB">
        <w:rPr>
          <w:lang w:val="fr-FR"/>
        </w:rPr>
        <w:t>58</w:t>
      </w:r>
      <w:r>
        <w:rPr>
          <w:lang w:val="fr-FR"/>
        </w:rPr>
        <w:t xml:space="preserve"> </w:t>
      </w:r>
      <w:r w:rsidRPr="00EB15CE">
        <w:rPr>
          <w:lang w:val="fr-FR"/>
        </w:rPr>
        <w:t>(Dispositifs arrière de protection antiencastrement)</w:t>
      </w:r>
    </w:p>
    <w:p w:rsidR="00E55717" w:rsidRPr="00EB15CE" w:rsidRDefault="007D5AFB" w:rsidP="007D5AFB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="00E55717" w:rsidRPr="00EB15CE">
        <w:rPr>
          <w:lang w:val="fr-FR"/>
        </w:rPr>
        <w:t>Communication de l</w:t>
      </w:r>
      <w:r w:rsidR="00E55717">
        <w:rPr>
          <w:lang w:val="fr-FR"/>
        </w:rPr>
        <w:t>’</w:t>
      </w:r>
      <w:r w:rsidR="00E55717" w:rsidRPr="00EB15CE">
        <w:rPr>
          <w:lang w:val="fr-FR"/>
        </w:rPr>
        <w:t>expert de la Finlande</w:t>
      </w:r>
      <w:r w:rsidRPr="007D5AF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D5AFB" w:rsidRDefault="00E55717" w:rsidP="005B50BE">
      <w:pPr>
        <w:pStyle w:val="SingleTxtG"/>
        <w:ind w:firstLine="567"/>
        <w:rPr>
          <w:lang w:val="fr-FR"/>
        </w:rPr>
      </w:pPr>
      <w:r w:rsidRPr="007D5AFB">
        <w:rPr>
          <w:lang w:val="fr-FR"/>
        </w:rPr>
        <w:t>Le texte reproduit ci-dessous, établi par l’expert de la Finlande, contient une proposition d’amendement au Règlement</w:t>
      </w:r>
      <w:r w:rsidR="005B50BE">
        <w:rPr>
          <w:lang w:val="fr-FR"/>
        </w:rPr>
        <w:t xml:space="preserve"> ONU</w:t>
      </w:r>
      <w:r w:rsidRPr="007D5AFB">
        <w:rPr>
          <w:lang w:val="fr-FR"/>
        </w:rPr>
        <w:t xml:space="preserve"> n</w:t>
      </w:r>
      <w:r w:rsidRPr="007D5AFB">
        <w:rPr>
          <w:vertAlign w:val="superscript"/>
          <w:lang w:val="fr-FR"/>
        </w:rPr>
        <w:t>o</w:t>
      </w:r>
      <w:r w:rsidR="007D5AFB">
        <w:rPr>
          <w:lang w:val="fr-FR"/>
        </w:rPr>
        <w:t> </w:t>
      </w:r>
      <w:r w:rsidRPr="007D5AFB">
        <w:rPr>
          <w:lang w:val="fr-FR"/>
        </w:rPr>
        <w:t>58 visant à clarifier certaines prescriptions. Les modifications qu’il est proposé d’apporter au texte actuel du Règlement ONU n</w:t>
      </w:r>
      <w:r w:rsidRPr="007D5AFB">
        <w:rPr>
          <w:vertAlign w:val="superscript"/>
          <w:lang w:val="fr-FR"/>
        </w:rPr>
        <w:t>o</w:t>
      </w:r>
      <w:r w:rsidR="007D5AFB">
        <w:rPr>
          <w:lang w:val="fr-FR"/>
        </w:rPr>
        <w:t> </w:t>
      </w:r>
      <w:r w:rsidRPr="007D5AFB">
        <w:rPr>
          <w:lang w:val="fr-FR"/>
        </w:rPr>
        <w:t>58 figurent en caractères gras pour les ajouts et biffés pour les suppressions</w:t>
      </w:r>
      <w:r w:rsidRPr="00EB15CE">
        <w:rPr>
          <w:lang w:val="fr-FR"/>
        </w:rPr>
        <w:t>.</w:t>
      </w:r>
    </w:p>
    <w:p w:rsidR="00E55717" w:rsidRPr="00EB15CE" w:rsidRDefault="00E55717" w:rsidP="007D5AFB">
      <w:pPr>
        <w:pStyle w:val="HChG"/>
      </w:pPr>
      <w:r>
        <w:rPr>
          <w:lang w:val="fr-FR"/>
        </w:rPr>
        <w:br w:type="page"/>
      </w:r>
      <w:r w:rsidR="007D5AFB">
        <w:rPr>
          <w:lang w:val="fr-FR"/>
        </w:rPr>
        <w:lastRenderedPageBreak/>
        <w:tab/>
      </w:r>
      <w:r w:rsidRPr="000F786C">
        <w:rPr>
          <w:lang w:val="fr-FR"/>
        </w:rPr>
        <w:t>I.</w:t>
      </w:r>
      <w:r w:rsidRPr="000F786C">
        <w:rPr>
          <w:lang w:val="fr-FR"/>
        </w:rPr>
        <w:tab/>
      </w:r>
      <w:r w:rsidRPr="00EB15CE">
        <w:rPr>
          <w:lang w:val="fr-FR"/>
        </w:rPr>
        <w:t>Proposition</w:t>
      </w:r>
    </w:p>
    <w:p w:rsidR="00E55717" w:rsidRPr="00EB15CE" w:rsidRDefault="00E55717" w:rsidP="007D5AFB">
      <w:pPr>
        <w:pStyle w:val="SingleTxtG"/>
      </w:pPr>
      <w:r w:rsidRPr="007D5AFB">
        <w:rPr>
          <w:i/>
          <w:lang w:val="fr-FR"/>
        </w:rPr>
        <w:t>Paragraphe 2.4</w:t>
      </w:r>
      <w:r>
        <w:rPr>
          <w:lang w:val="fr-FR"/>
        </w:rPr>
        <w:t>,</w:t>
      </w:r>
      <w:r w:rsidRPr="00EB15CE">
        <w:rPr>
          <w:lang w:val="fr-FR"/>
        </w:rPr>
        <w:t xml:space="preserve"> lire</w:t>
      </w:r>
      <w:r w:rsidR="007D5AFB">
        <w:rPr>
          <w:lang w:val="fr-FR"/>
        </w:rPr>
        <w:t> </w:t>
      </w:r>
      <w:r w:rsidRPr="00EB15CE">
        <w:rPr>
          <w:lang w:val="fr-FR"/>
        </w:rPr>
        <w:t>:</w:t>
      </w:r>
    </w:p>
    <w:p w:rsidR="00E55717" w:rsidRPr="00EB15CE" w:rsidRDefault="00E55717" w:rsidP="00412EFA">
      <w:pPr>
        <w:pStyle w:val="SingleTxtG"/>
        <w:keepNext/>
        <w:tabs>
          <w:tab w:val="left" w:pos="2268"/>
        </w:tabs>
        <w:ind w:left="2268" w:hanging="1134"/>
        <w:rPr>
          <w:rFonts w:eastAsia="Times New Roman"/>
        </w:rPr>
      </w:pPr>
      <w:r w:rsidRPr="00EB15CE">
        <w:rPr>
          <w:rFonts w:eastAsia="Times New Roman"/>
          <w:lang w:val="fr-FR"/>
        </w:rPr>
        <w:t>«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2.4</w:t>
      </w:r>
      <w:r w:rsidRPr="00EB15CE">
        <w:rPr>
          <w:rFonts w:eastAsia="Times New Roman"/>
          <w:lang w:val="fr-FR"/>
        </w:rPr>
        <w:tab/>
        <w:t xml:space="preserve">Les véhicules de la catégorie G doivent être considérés comme répondant aux conditions relatives à la garde au sol énoncées </w:t>
      </w:r>
      <w:r w:rsidRPr="00EB15CE">
        <w:rPr>
          <w:rFonts w:eastAsia="Times New Roman"/>
          <w:strike/>
          <w:lang w:val="fr-FR"/>
        </w:rPr>
        <w:t>ci-dessus</w:t>
      </w:r>
      <w:r w:rsidRPr="007D5AFB">
        <w:rPr>
          <w:rFonts w:eastAsia="Times New Roman"/>
          <w:lang w:val="fr-FR"/>
        </w:rPr>
        <w:t xml:space="preserve"> </w:t>
      </w:r>
      <w:r w:rsidRPr="007D5AFB">
        <w:rPr>
          <w:rFonts w:eastAsia="Times New Roman"/>
          <w:b/>
          <w:lang w:val="fr-FR"/>
        </w:rPr>
        <w:t>dans le présent Règlement</w:t>
      </w:r>
      <w:r w:rsidRPr="00EB15CE">
        <w:rPr>
          <w:rFonts w:eastAsia="Times New Roman"/>
          <w:lang w:val="fr-FR"/>
        </w:rPr>
        <w:t xml:space="preserve"> si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angle de fuite (ISO 612:1978) ne dépasse pas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7D5AFB">
      <w:pPr>
        <w:pStyle w:val="SingleTxtG"/>
        <w:ind w:left="2268"/>
      </w:pPr>
      <w:r w:rsidRPr="00EB15CE">
        <w:rPr>
          <w:lang w:val="fr-FR"/>
        </w:rPr>
        <w:t>a)</w:t>
      </w:r>
      <w:r w:rsidRPr="00EB15CE">
        <w:rPr>
          <w:lang w:val="fr-FR"/>
        </w:rPr>
        <w:tab/>
        <w:t>10° dans le cas des véhicules des catégories M</w:t>
      </w:r>
      <w:r w:rsidRPr="00EB15CE">
        <w:rPr>
          <w:vertAlign w:val="subscript"/>
          <w:lang w:val="fr-FR"/>
        </w:rPr>
        <w:t>1</w:t>
      </w:r>
      <w:r w:rsidRPr="00EB15CE">
        <w:rPr>
          <w:lang w:val="fr-FR"/>
        </w:rPr>
        <w:t>G et N</w:t>
      </w:r>
      <w:r w:rsidRPr="00EB15CE">
        <w:rPr>
          <w:vertAlign w:val="subscript"/>
          <w:lang w:val="fr-FR"/>
        </w:rPr>
        <w:t>1</w:t>
      </w:r>
      <w:r w:rsidRPr="00EB15CE">
        <w:rPr>
          <w:lang w:val="fr-FR"/>
        </w:rPr>
        <w:t>G</w:t>
      </w:r>
      <w:r w:rsidR="007D5AFB">
        <w:rPr>
          <w:lang w:val="fr-FR"/>
        </w:rPr>
        <w:t> </w:t>
      </w:r>
      <w:r w:rsidRPr="00EB15CE">
        <w:rPr>
          <w:lang w:val="fr-FR"/>
        </w:rPr>
        <w:t>;</w:t>
      </w:r>
    </w:p>
    <w:p w:rsidR="007D5AFB" w:rsidRDefault="00E55717" w:rsidP="007D5AFB">
      <w:pPr>
        <w:pStyle w:val="SingleTxtG"/>
        <w:ind w:left="2268"/>
        <w:rPr>
          <w:rFonts w:eastAsia="Times New Roman"/>
          <w:lang w:val="fr-FR"/>
        </w:rPr>
      </w:pPr>
      <w:r w:rsidRPr="00EB15CE">
        <w:rPr>
          <w:rFonts w:eastAsia="Times New Roman"/>
          <w:lang w:val="fr-FR"/>
        </w:rPr>
        <w:t>b)</w:t>
      </w:r>
      <w:r w:rsidRPr="00EB15CE">
        <w:rPr>
          <w:rFonts w:eastAsia="Times New Roman"/>
          <w:lang w:val="fr-FR"/>
        </w:rPr>
        <w:tab/>
        <w:t>20° dans le cas des véhicules des catégories M</w:t>
      </w:r>
      <w:r w:rsidRPr="00EB15CE">
        <w:rPr>
          <w:rFonts w:eastAsia="Times New Roman"/>
          <w:vertAlign w:val="subscript"/>
          <w:lang w:val="fr-FR"/>
        </w:rPr>
        <w:t>2</w:t>
      </w:r>
      <w:r w:rsidRPr="00EB15CE">
        <w:rPr>
          <w:rFonts w:eastAsia="Times New Roman"/>
          <w:lang w:val="fr-FR"/>
        </w:rPr>
        <w:t>G et N</w:t>
      </w:r>
      <w:r w:rsidRPr="00EB15CE">
        <w:rPr>
          <w:rFonts w:eastAsia="Times New Roman"/>
          <w:vertAlign w:val="subscript"/>
          <w:lang w:val="fr-FR"/>
        </w:rPr>
        <w:t>2</w:t>
      </w:r>
      <w:r w:rsidRPr="00EB15CE">
        <w:rPr>
          <w:rFonts w:eastAsia="Times New Roman"/>
          <w:lang w:val="fr-FR"/>
        </w:rPr>
        <w:t>G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;</w:t>
      </w:r>
    </w:p>
    <w:p w:rsidR="00E55717" w:rsidRPr="00EB15CE" w:rsidRDefault="00E55717" w:rsidP="007D5AFB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>c)</w:t>
      </w:r>
      <w:r w:rsidRPr="00EB15CE">
        <w:rPr>
          <w:rFonts w:eastAsia="Times New Roman"/>
          <w:lang w:val="fr-FR"/>
        </w:rPr>
        <w:tab/>
        <w:t>25° dans le cas des véhicules des catégories M</w:t>
      </w:r>
      <w:r w:rsidRPr="00EB15CE">
        <w:rPr>
          <w:rFonts w:eastAsia="Times New Roman"/>
          <w:vertAlign w:val="subscript"/>
          <w:lang w:val="fr-FR"/>
        </w:rPr>
        <w:t>3</w:t>
      </w:r>
      <w:r w:rsidRPr="00EB15CE">
        <w:rPr>
          <w:rFonts w:eastAsia="Times New Roman"/>
          <w:lang w:val="fr-FR"/>
        </w:rPr>
        <w:t>G et N</w:t>
      </w:r>
      <w:r w:rsidRPr="00EB15CE">
        <w:rPr>
          <w:rFonts w:eastAsia="Times New Roman"/>
          <w:vertAlign w:val="subscript"/>
          <w:lang w:val="fr-FR"/>
        </w:rPr>
        <w:t>3</w:t>
      </w:r>
      <w:r w:rsidRPr="00EB15CE">
        <w:rPr>
          <w:rFonts w:eastAsia="Times New Roman"/>
          <w:lang w:val="fr-FR"/>
        </w:rPr>
        <w:t>G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;</w:t>
      </w:r>
    </w:p>
    <w:p w:rsidR="00E55717" w:rsidRPr="00EB15CE" w:rsidRDefault="00E55717" w:rsidP="007D5AFB">
      <w:pPr>
        <w:pStyle w:val="SingleTxtG"/>
        <w:ind w:left="2268"/>
        <w:rPr>
          <w:rFonts w:eastAsia="Times New Roman"/>
        </w:rPr>
      </w:pPr>
      <w:r w:rsidRPr="00A3436E">
        <w:rPr>
          <w:rFonts w:eastAsia="Times New Roman"/>
          <w:lang w:val="fr-FR"/>
        </w:rPr>
        <w:t>sur une largeur qui ne doit pas être inférieure de plus de 100</w:t>
      </w:r>
      <w:r w:rsidR="007D5AFB">
        <w:rPr>
          <w:rFonts w:eastAsia="Times New Roman"/>
          <w:lang w:val="fr-FR"/>
        </w:rPr>
        <w:t> </w:t>
      </w:r>
      <w:r w:rsidRPr="00A3436E">
        <w:rPr>
          <w:rFonts w:eastAsia="Times New Roman"/>
          <w:lang w:val="fr-FR"/>
        </w:rPr>
        <w:t>mm à l</w:t>
      </w:r>
      <w:r>
        <w:rPr>
          <w:rFonts w:eastAsia="Times New Roman"/>
          <w:lang w:val="fr-FR"/>
        </w:rPr>
        <w:t>’</w:t>
      </w:r>
      <w:r w:rsidRPr="00A3436E">
        <w:rPr>
          <w:rFonts w:eastAsia="Times New Roman"/>
          <w:lang w:val="fr-FR"/>
        </w:rPr>
        <w:t>essieu arrière de part et d</w:t>
      </w:r>
      <w:r>
        <w:rPr>
          <w:rFonts w:eastAsia="Times New Roman"/>
          <w:lang w:val="fr-FR"/>
        </w:rPr>
        <w:t>’</w:t>
      </w:r>
      <w:r w:rsidRPr="00A3436E">
        <w:rPr>
          <w:rFonts w:eastAsia="Times New Roman"/>
          <w:lang w:val="fr-FR"/>
        </w:rPr>
        <w:t>autre (compte non tenu du renflement des pneumatiques au contact du sol).</w:t>
      </w:r>
    </w:p>
    <w:p w:rsidR="00E55717" w:rsidRPr="00EB15CE" w:rsidRDefault="00E55717" w:rsidP="00412EFA">
      <w:pPr>
        <w:pStyle w:val="SingleTxtG"/>
        <w:keepNext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S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il y a plusieurs essieux arrière, la largeur à prendre en considération est celle de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essieu le plus large. Les prescriptions des alinéas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a) à c) du présent paragraphe doivent au minimum être respectées sur une ligne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7D5AFB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a)</w:t>
      </w:r>
      <w:r w:rsidRPr="00EB15CE">
        <w:rPr>
          <w:rFonts w:eastAsia="Times New Roman"/>
          <w:lang w:val="fr-FR"/>
        </w:rPr>
        <w:tab/>
        <w:t>Située au maximum à 450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mm de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extrémité arrière du véhicule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;</w:t>
      </w:r>
    </w:p>
    <w:p w:rsidR="00E55717" w:rsidRDefault="00E55717" w:rsidP="007D5AFB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b)</w:t>
      </w:r>
      <w:r w:rsidRPr="00EB15CE">
        <w:rPr>
          <w:rFonts w:eastAsia="Times New Roman"/>
          <w:lang w:val="fr-FR"/>
        </w:rPr>
        <w:tab/>
        <w:t>Pouvant présenter des interruptions ne dépassant p</w:t>
      </w:r>
      <w:r>
        <w:rPr>
          <w:rFonts w:eastAsia="Times New Roman"/>
          <w:lang w:val="fr-FR"/>
        </w:rPr>
        <w:t>as au total 200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mm.</w:t>
      </w:r>
      <w:r w:rsidR="007D5AFB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»</w:t>
      </w:r>
      <w:r>
        <w:rPr>
          <w:rFonts w:eastAsia="Times New Roman"/>
          <w:lang w:val="fr-FR"/>
        </w:rPr>
        <w:t>.</w:t>
      </w:r>
    </w:p>
    <w:p w:rsidR="00E55717" w:rsidRPr="007D5AFB" w:rsidRDefault="00E55717" w:rsidP="002A4787">
      <w:pPr>
        <w:pStyle w:val="SingleTxtG"/>
        <w:keepNext/>
        <w:rPr>
          <w:i/>
        </w:rPr>
      </w:pPr>
      <w:r w:rsidRPr="007D5AFB">
        <w:rPr>
          <w:i/>
          <w:lang w:val="fr-FR"/>
        </w:rPr>
        <w:t>Partie II. Homologation d’un véhicule en ce qui concerne le montage d’un dispositif arrière de protection antiencastrement d’un type homologué</w:t>
      </w:r>
    </w:p>
    <w:p w:rsidR="00E55717" w:rsidRPr="00EB15CE" w:rsidRDefault="00E55717" w:rsidP="00412EFA">
      <w:pPr>
        <w:pStyle w:val="SingleTxtG"/>
        <w:keepNext/>
        <w:rPr>
          <w:rFonts w:eastAsia="Times New Roman"/>
        </w:rPr>
      </w:pPr>
      <w:r w:rsidRPr="00412EFA">
        <w:rPr>
          <w:rFonts w:eastAsia="Times New Roman"/>
          <w:i/>
          <w:lang w:val="fr-FR"/>
        </w:rPr>
        <w:t>Paragraphe 16.1</w:t>
      </w:r>
      <w:r w:rsidR="00412EFA">
        <w:rPr>
          <w:rFonts w:eastAsia="Times New Roman"/>
          <w:lang w:val="fr-FR"/>
        </w:rPr>
        <w:t>,</w:t>
      </w:r>
      <w:r w:rsidRPr="00EB15CE">
        <w:rPr>
          <w:rFonts w:eastAsia="Times New Roman"/>
          <w:lang w:val="fr-FR"/>
        </w:rPr>
        <w:t xml:space="preserve"> lire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412EFA">
      <w:pPr>
        <w:pStyle w:val="SingleTxtG"/>
        <w:keepNext/>
        <w:tabs>
          <w:tab w:val="left" w:pos="2268"/>
        </w:tabs>
        <w:ind w:left="2268" w:hanging="1134"/>
        <w:rPr>
          <w:rFonts w:eastAsia="Times New Roman"/>
        </w:rPr>
      </w:pPr>
      <w:r w:rsidRPr="00EB15CE">
        <w:rPr>
          <w:rFonts w:eastAsia="Times New Roman"/>
          <w:lang w:val="fr-FR"/>
        </w:rPr>
        <w:t>«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16.1</w:t>
      </w:r>
      <w:r w:rsidRPr="00EB15CE">
        <w:rPr>
          <w:rFonts w:eastAsia="Times New Roman"/>
          <w:lang w:val="fr-FR"/>
        </w:rPr>
        <w:tab/>
        <w:t>Pour les véhicules des catégories N</w:t>
      </w:r>
      <w:r w:rsidRPr="00EB15CE">
        <w:rPr>
          <w:rFonts w:eastAsia="Times New Roman"/>
          <w:vertAlign w:val="subscript"/>
          <w:lang w:val="fr-FR"/>
        </w:rPr>
        <w:t>2</w:t>
      </w:r>
      <w:r w:rsidRPr="00EB15CE">
        <w:rPr>
          <w:rFonts w:eastAsia="Times New Roman"/>
          <w:lang w:val="fr-FR"/>
        </w:rPr>
        <w:t xml:space="preserve">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un poids total en charge dépassant 8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t, N</w:t>
      </w:r>
      <w:r w:rsidRPr="00EB15CE">
        <w:rPr>
          <w:rFonts w:eastAsia="Times New Roman"/>
          <w:vertAlign w:val="subscript"/>
          <w:lang w:val="fr-FR"/>
        </w:rPr>
        <w:t>3</w:t>
      </w:r>
      <w:r w:rsidRPr="00EB15CE">
        <w:rPr>
          <w:rFonts w:eastAsia="Times New Roman"/>
          <w:lang w:val="fr-FR"/>
        </w:rPr>
        <w:t>, O</w:t>
      </w:r>
      <w:r w:rsidRPr="00EB15CE">
        <w:rPr>
          <w:rFonts w:eastAsia="Times New Roman"/>
          <w:vertAlign w:val="subscript"/>
          <w:lang w:val="fr-FR"/>
        </w:rPr>
        <w:t>3</w:t>
      </w:r>
      <w:r w:rsidRPr="00EB15CE">
        <w:rPr>
          <w:rFonts w:eastAsia="Times New Roman"/>
          <w:lang w:val="fr-FR"/>
        </w:rPr>
        <w:t xml:space="preserve"> et O</w:t>
      </w:r>
      <w:r w:rsidRPr="00EB15CE">
        <w:rPr>
          <w:rFonts w:eastAsia="Times New Roman"/>
          <w:vertAlign w:val="subscript"/>
          <w:lang w:val="fr-FR"/>
        </w:rPr>
        <w:t>4</w:t>
      </w:r>
      <w:r w:rsidRPr="00EB15CE">
        <w:rPr>
          <w:rFonts w:eastAsia="Times New Roman"/>
          <w:lang w:val="fr-FR"/>
        </w:rPr>
        <w:t>, la garde au sol de la partie inférieure du dispositif de protection, même pour un véhicule à vide, ne doit pas dépasser les valeurs suivantes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412EFA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a)</w:t>
      </w:r>
      <w:r w:rsidRPr="00EB15CE">
        <w:rPr>
          <w:rFonts w:eastAsia="Times New Roman"/>
          <w:lang w:val="fr-FR"/>
        </w:rPr>
        <w:tab/>
        <w:t>450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mm pour les véhicules à moteur et les remorques dotés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une suspension hydropneumatique, hydraulique ou pneumatique ou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un dispositif de correction automatique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assiette en fonction de la charge. Dans tous les cas, cette prescription doit être considérée comme satisfaite si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angle de fuite ne dépasse pas 8° selon la norme ISO 612:1978 avec une garde au sol maximale de 550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mm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 xml:space="preserve">; </w:t>
      </w:r>
    </w:p>
    <w:p w:rsidR="00E55717" w:rsidRPr="00EB15CE" w:rsidRDefault="00E55717" w:rsidP="00412EFA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b)</w:t>
      </w:r>
      <w:r w:rsidRPr="00EB15CE">
        <w:rPr>
          <w:rFonts w:eastAsia="Times New Roman"/>
          <w:lang w:val="fr-FR"/>
        </w:rPr>
        <w:tab/>
        <w:t>500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 xml:space="preserve">mm </w:t>
      </w:r>
      <w:r w:rsidRPr="00EB15CE">
        <w:rPr>
          <w:rFonts w:eastAsia="Times New Roman"/>
          <w:strike/>
          <w:lang w:val="fr-FR"/>
        </w:rPr>
        <w:t>ou un angle de fuite de 8° selon la norme ISO 612:1978, la plus faible de ces valeurs étant retenue,</w:t>
      </w:r>
      <w:r w:rsidRPr="00EB15CE">
        <w:rPr>
          <w:rFonts w:eastAsia="Times New Roman"/>
          <w:lang w:val="fr-FR"/>
        </w:rPr>
        <w:t xml:space="preserve"> pour les véhicules autres que ceux qui sont décrits à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alinéa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a) ci-dessus. Dans tous les cas, cette prescription doit être considérée comme satisfaite si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angle de fuite ne dépasse pas 8° selon la norme ISO 612:1978 avec une garde au sol maximale de 550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mm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;</w:t>
      </w:r>
    </w:p>
    <w:p w:rsidR="00E55717" w:rsidRPr="00EB15CE" w:rsidRDefault="00E55717" w:rsidP="00412EFA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Cette prescription s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applique sur toute la largeur du véhicule à moteur ou de la remorque et ne doit pas avoir pour effet de placer les points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application des forces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essai appliquées au dispositif conformément à la partie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I du présent Règlement et indiquées dans la fiche de communication de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homologation (point 7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de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annexe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1) à une hauteur dépassant les valeurs indiquées aux alinéas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a) et b) ci-dessus, augmentées de la moitié de la hauteur de section minimale prescrite pour la traverse du dispositif arrière de protection antiencastrement.</w:t>
      </w:r>
    </w:p>
    <w:p w:rsidR="00E55717" w:rsidRDefault="00E55717" w:rsidP="00412EFA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La hauteur prescrite pour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application des forces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essai doit être adaptée à la garde au sol réglée en application des prescriptions ci-dessus relatives à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angle de fuite.</w:t>
      </w:r>
      <w:r w:rsidR="00A05B16">
        <w:rPr>
          <w:rFonts w:eastAsia="Times New Roman"/>
          <w:lang w:val="fr-FR"/>
        </w:rPr>
        <w:t> ».</w:t>
      </w:r>
    </w:p>
    <w:p w:rsidR="00E55717" w:rsidRPr="00EB15CE" w:rsidRDefault="00E55717" w:rsidP="00412EFA">
      <w:pPr>
        <w:pStyle w:val="SingleTxtG"/>
        <w:keepNext/>
        <w:rPr>
          <w:rFonts w:eastAsia="Times New Roman"/>
          <w:i/>
        </w:rPr>
      </w:pPr>
      <w:r w:rsidRPr="00EB15CE">
        <w:rPr>
          <w:rFonts w:eastAsia="Times New Roman"/>
          <w:i/>
          <w:lang w:val="fr-FR"/>
        </w:rPr>
        <w:lastRenderedPageBreak/>
        <w:t>Partie III</w:t>
      </w:r>
      <w:r w:rsidRPr="00EB15CE">
        <w:rPr>
          <w:rFonts w:eastAsia="Times New Roman"/>
          <w:lang w:val="fr-FR"/>
        </w:rPr>
        <w:t xml:space="preserve"> </w:t>
      </w:r>
      <w:r w:rsidRPr="00EB15CE">
        <w:rPr>
          <w:rFonts w:eastAsia="Times New Roman"/>
          <w:i/>
          <w:iCs/>
          <w:lang w:val="fr-FR"/>
        </w:rPr>
        <w:t>Homologation d</w:t>
      </w:r>
      <w:r>
        <w:rPr>
          <w:rFonts w:eastAsia="Times New Roman"/>
          <w:i/>
          <w:iCs/>
          <w:lang w:val="fr-FR"/>
        </w:rPr>
        <w:t>’</w:t>
      </w:r>
      <w:r w:rsidRPr="00EB15CE">
        <w:rPr>
          <w:rFonts w:eastAsia="Times New Roman"/>
          <w:i/>
          <w:iCs/>
          <w:lang w:val="fr-FR"/>
        </w:rPr>
        <w:t>un véhicule en ce qui concerne</w:t>
      </w:r>
      <w:r>
        <w:rPr>
          <w:rFonts w:eastAsia="Times New Roman"/>
          <w:i/>
          <w:iCs/>
          <w:lang w:val="fr-FR"/>
        </w:rPr>
        <w:t xml:space="preserve"> </w:t>
      </w:r>
      <w:r w:rsidRPr="00EB15CE">
        <w:rPr>
          <w:rFonts w:eastAsia="Times New Roman"/>
          <w:i/>
          <w:iCs/>
          <w:lang w:val="fr-FR"/>
        </w:rPr>
        <w:t>sa protection contre l</w:t>
      </w:r>
      <w:r>
        <w:rPr>
          <w:rFonts w:eastAsia="Times New Roman"/>
          <w:i/>
          <w:iCs/>
          <w:lang w:val="fr-FR"/>
        </w:rPr>
        <w:t>’</w:t>
      </w:r>
      <w:r w:rsidRPr="00EB15CE">
        <w:rPr>
          <w:rFonts w:eastAsia="Times New Roman"/>
          <w:i/>
          <w:iCs/>
          <w:lang w:val="fr-FR"/>
        </w:rPr>
        <w:t>encastrement à l</w:t>
      </w:r>
      <w:r>
        <w:rPr>
          <w:rFonts w:eastAsia="Times New Roman"/>
          <w:i/>
          <w:iCs/>
          <w:lang w:val="fr-FR"/>
        </w:rPr>
        <w:t>’</w:t>
      </w:r>
      <w:r w:rsidRPr="00EB15CE">
        <w:rPr>
          <w:rFonts w:eastAsia="Times New Roman"/>
          <w:i/>
          <w:iCs/>
          <w:lang w:val="fr-FR"/>
        </w:rPr>
        <w:t>arrière</w:t>
      </w:r>
    </w:p>
    <w:p w:rsidR="00E55717" w:rsidRPr="00EB15CE" w:rsidRDefault="00E55717" w:rsidP="00412EFA">
      <w:pPr>
        <w:pStyle w:val="SingleTxtG"/>
        <w:keepNext/>
        <w:rPr>
          <w:rFonts w:eastAsia="Times New Roman"/>
        </w:rPr>
      </w:pPr>
      <w:r w:rsidRPr="00EB15CE">
        <w:rPr>
          <w:rFonts w:eastAsia="Times New Roman"/>
          <w:i/>
          <w:lang w:val="fr-FR"/>
        </w:rPr>
        <w:t>Paragraphe 25.1</w:t>
      </w:r>
      <w:r w:rsidRPr="00EB15CE">
        <w:rPr>
          <w:rFonts w:eastAsia="Times New Roman"/>
          <w:lang w:val="fr-FR"/>
        </w:rPr>
        <w:t>, lire</w:t>
      </w:r>
      <w:r w:rsidR="00412EFA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2A4787">
      <w:pPr>
        <w:pStyle w:val="SingleTxtG"/>
        <w:keepNext/>
        <w:tabs>
          <w:tab w:val="left" w:pos="2268"/>
        </w:tabs>
        <w:ind w:left="2268" w:hanging="1134"/>
        <w:rPr>
          <w:rFonts w:eastAsia="Times New Roman"/>
        </w:rPr>
      </w:pPr>
      <w:r w:rsidRPr="00EB15CE">
        <w:rPr>
          <w:rFonts w:eastAsia="Times New Roman"/>
          <w:lang w:val="fr-FR"/>
        </w:rPr>
        <w:t>«</w:t>
      </w:r>
      <w:r w:rsidR="002A4787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25.1</w:t>
      </w:r>
      <w:r w:rsidRPr="00EB15CE">
        <w:rPr>
          <w:rFonts w:eastAsia="Times New Roman"/>
          <w:lang w:val="fr-FR"/>
        </w:rPr>
        <w:tab/>
        <w:t>Pour les véhicules des catégories N</w:t>
      </w:r>
      <w:r w:rsidRPr="00EB15CE">
        <w:rPr>
          <w:rFonts w:eastAsia="Times New Roman"/>
          <w:vertAlign w:val="subscript"/>
          <w:lang w:val="fr-FR"/>
        </w:rPr>
        <w:t xml:space="preserve">2 </w:t>
      </w:r>
      <w:r w:rsidRPr="00EB15CE">
        <w:rPr>
          <w:rFonts w:eastAsia="Times New Roman"/>
          <w:lang w:val="fr-FR"/>
        </w:rPr>
        <w:t>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un poids total en charge dépassant 8</w:t>
      </w:r>
      <w:r w:rsidR="002A4787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t, N</w:t>
      </w:r>
      <w:r w:rsidRPr="00EB15CE">
        <w:rPr>
          <w:rFonts w:eastAsia="Times New Roman"/>
          <w:vertAlign w:val="subscript"/>
          <w:lang w:val="fr-FR"/>
        </w:rPr>
        <w:t>3</w:t>
      </w:r>
      <w:r w:rsidRPr="00EB15CE">
        <w:rPr>
          <w:rFonts w:eastAsia="Times New Roman"/>
          <w:lang w:val="fr-FR"/>
        </w:rPr>
        <w:t>, O</w:t>
      </w:r>
      <w:r w:rsidRPr="00EB15CE">
        <w:rPr>
          <w:rFonts w:eastAsia="Times New Roman"/>
          <w:vertAlign w:val="subscript"/>
          <w:lang w:val="fr-FR"/>
        </w:rPr>
        <w:t>3</w:t>
      </w:r>
      <w:r w:rsidRPr="00EB15CE">
        <w:rPr>
          <w:rFonts w:eastAsia="Times New Roman"/>
          <w:lang w:val="fr-FR"/>
        </w:rPr>
        <w:t xml:space="preserve"> et O</w:t>
      </w:r>
      <w:r w:rsidRPr="00EB15CE">
        <w:rPr>
          <w:rFonts w:eastAsia="Times New Roman"/>
          <w:vertAlign w:val="subscript"/>
          <w:lang w:val="fr-FR"/>
        </w:rPr>
        <w:t>4</w:t>
      </w:r>
      <w:r w:rsidRPr="00EB15CE">
        <w:rPr>
          <w:rFonts w:eastAsia="Times New Roman"/>
          <w:lang w:val="fr-FR"/>
        </w:rPr>
        <w:t>, la garde au sol de la partie inférieure du dispositif de protection contre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encastrement à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arrière, même pour un véhicule à vide, ne doit pas dépasser les valeurs suivantes</w:t>
      </w:r>
      <w:r w:rsidR="002A4787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2A4787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a)</w:t>
      </w:r>
      <w:r w:rsidRPr="00EB15CE">
        <w:rPr>
          <w:rFonts w:eastAsia="Times New Roman"/>
          <w:lang w:val="fr-FR"/>
        </w:rPr>
        <w:tab/>
      </w:r>
      <w:r w:rsidRPr="00CA6B25">
        <w:rPr>
          <w:rFonts w:eastAsia="Times New Roman"/>
          <w:lang w:val="fr-FR"/>
        </w:rPr>
        <w:t>450</w:t>
      </w:r>
      <w:r w:rsidR="002A4787">
        <w:rPr>
          <w:rFonts w:eastAsia="Times New Roman"/>
          <w:lang w:val="fr-FR"/>
        </w:rPr>
        <w:t> </w:t>
      </w:r>
      <w:r w:rsidRPr="00CA6B25">
        <w:rPr>
          <w:rFonts w:eastAsia="Times New Roman"/>
          <w:lang w:val="fr-FR"/>
        </w:rPr>
        <w:t>mm pour les véhicules à moteur et les remorques dotés d</w:t>
      </w:r>
      <w:r>
        <w:rPr>
          <w:rFonts w:eastAsia="Times New Roman"/>
          <w:lang w:val="fr-FR"/>
        </w:rPr>
        <w:t>’</w:t>
      </w:r>
      <w:r w:rsidRPr="00CA6B25">
        <w:rPr>
          <w:rFonts w:eastAsia="Times New Roman"/>
          <w:lang w:val="fr-FR"/>
        </w:rPr>
        <w:t>une suspension hydropneumatique, hydraulique ou pneumatique ou d</w:t>
      </w:r>
      <w:r>
        <w:rPr>
          <w:rFonts w:eastAsia="Times New Roman"/>
          <w:lang w:val="fr-FR"/>
        </w:rPr>
        <w:t>’</w:t>
      </w:r>
      <w:r w:rsidRPr="00CA6B25">
        <w:rPr>
          <w:rFonts w:eastAsia="Times New Roman"/>
          <w:lang w:val="fr-FR"/>
        </w:rPr>
        <w:t>un dispositif de correction automatique d</w:t>
      </w:r>
      <w:r>
        <w:rPr>
          <w:rFonts w:eastAsia="Times New Roman"/>
          <w:lang w:val="fr-FR"/>
        </w:rPr>
        <w:t>’</w:t>
      </w:r>
      <w:r w:rsidRPr="00CA6B25">
        <w:rPr>
          <w:rFonts w:eastAsia="Times New Roman"/>
          <w:lang w:val="fr-FR"/>
        </w:rPr>
        <w:t>assiette en fonction de la charge. Dans tous les cas, cette prescription doit être considérée comme satisfaite si l</w:t>
      </w:r>
      <w:r>
        <w:rPr>
          <w:rFonts w:eastAsia="Times New Roman"/>
          <w:lang w:val="fr-FR"/>
        </w:rPr>
        <w:t>’</w:t>
      </w:r>
      <w:r w:rsidRPr="00CA6B25">
        <w:rPr>
          <w:rFonts w:eastAsia="Times New Roman"/>
          <w:lang w:val="fr-FR"/>
        </w:rPr>
        <w:t>angle de fuite ne dépasse pas 8° selon la norme ISO 612:1978 avec une garde au sol maximale de 550</w:t>
      </w:r>
      <w:r w:rsidR="002A4787">
        <w:rPr>
          <w:rFonts w:eastAsia="Times New Roman"/>
          <w:lang w:val="fr-FR"/>
        </w:rPr>
        <w:t> </w:t>
      </w:r>
      <w:r w:rsidRPr="00CA6B25">
        <w:rPr>
          <w:rFonts w:eastAsia="Times New Roman"/>
          <w:lang w:val="fr-FR"/>
        </w:rPr>
        <w:t>mm</w:t>
      </w:r>
      <w:r w:rsidR="002A4787">
        <w:rPr>
          <w:rFonts w:eastAsia="Times New Roman"/>
          <w:lang w:val="fr-FR"/>
        </w:rPr>
        <w:t> </w:t>
      </w:r>
      <w:r w:rsidRPr="00CA6B25">
        <w:rPr>
          <w:rFonts w:eastAsia="Times New Roman"/>
          <w:lang w:val="fr-FR"/>
        </w:rPr>
        <w:t>;</w:t>
      </w:r>
    </w:p>
    <w:p w:rsidR="00E55717" w:rsidRPr="00EB15CE" w:rsidRDefault="00E55717" w:rsidP="002A4787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b)</w:t>
      </w:r>
      <w:r w:rsidRPr="00EB15CE">
        <w:rPr>
          <w:rFonts w:eastAsia="Times New Roman"/>
          <w:lang w:val="fr-FR"/>
        </w:rPr>
        <w:tab/>
        <w:t>500</w:t>
      </w:r>
      <w:r w:rsidR="002A4787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 xml:space="preserve">mm </w:t>
      </w:r>
      <w:r w:rsidRPr="00EB15CE">
        <w:rPr>
          <w:rFonts w:eastAsia="Times New Roman"/>
          <w:strike/>
          <w:lang w:val="fr-FR"/>
        </w:rPr>
        <w:t>ou un angle de fuite de 8° selon la norme ISO 612:1978, la plus faible de ces valeurs étant retenue,</w:t>
      </w:r>
      <w:r w:rsidRPr="00EB15CE">
        <w:rPr>
          <w:rFonts w:eastAsia="Times New Roman"/>
          <w:lang w:val="fr-FR"/>
        </w:rPr>
        <w:t xml:space="preserve"> pour les véhicules autres que ceux qui sont décrits à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alinéa a) ci-dessus. Dans tous les cas, cette prescription doit être considérée comme satisfaite si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angle de fuite ne dépasse pas 8° selon la norme ISO 612:1978 avec une garde au sol maximale de 550</w:t>
      </w:r>
      <w:r w:rsidR="002A4787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mm.</w:t>
      </w:r>
    </w:p>
    <w:p w:rsidR="00E55717" w:rsidRPr="00EB15CE" w:rsidRDefault="00E55717" w:rsidP="002A4787">
      <w:pPr>
        <w:pStyle w:val="SingleTxtG"/>
        <w:ind w:left="2268"/>
        <w:rPr>
          <w:rFonts w:eastAsia="Times New Roman"/>
        </w:rPr>
      </w:pPr>
      <w:r w:rsidRPr="00EB15CE">
        <w:rPr>
          <w:rFonts w:eastAsia="Times New Roman"/>
          <w:lang w:val="fr-FR"/>
        </w:rPr>
        <w:tab/>
        <w:t>Cette prescription s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applique sur toute la largeur du véhicule à moteur ou de la remorque et ne doit pas avoir pour effet de placer les points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application des forces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essai appliquées au dispositif conformément à la partie</w:t>
      </w:r>
      <w:r w:rsidR="00A8487E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I du présent Règlement et consignées dans la fiche de communication de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 xml:space="preserve">homologation </w:t>
      </w:r>
      <w:r w:rsidRPr="00CA6B25">
        <w:rPr>
          <w:rFonts w:eastAsia="Times New Roman"/>
          <w:lang w:val="fr-FR"/>
        </w:rPr>
        <w:t>(point 7</w:t>
      </w:r>
      <w:r w:rsidR="002A4787">
        <w:rPr>
          <w:rFonts w:eastAsia="Times New Roman"/>
          <w:lang w:val="fr-FR"/>
        </w:rPr>
        <w:t> </w:t>
      </w:r>
      <w:r w:rsidRPr="00CA6B25">
        <w:rPr>
          <w:rFonts w:eastAsia="Times New Roman"/>
          <w:lang w:val="fr-FR"/>
        </w:rPr>
        <w:t>de l</w:t>
      </w:r>
      <w:r>
        <w:rPr>
          <w:rFonts w:eastAsia="Times New Roman"/>
          <w:lang w:val="fr-FR"/>
        </w:rPr>
        <w:t>’</w:t>
      </w:r>
      <w:r w:rsidRPr="00CA6B25">
        <w:rPr>
          <w:rFonts w:eastAsia="Times New Roman"/>
          <w:lang w:val="fr-FR"/>
        </w:rPr>
        <w:t>annexe</w:t>
      </w:r>
      <w:r w:rsidR="002A4787">
        <w:rPr>
          <w:rFonts w:eastAsia="Times New Roman"/>
          <w:lang w:val="fr-FR"/>
        </w:rPr>
        <w:t> </w:t>
      </w:r>
      <w:r w:rsidRPr="00CA6B25">
        <w:rPr>
          <w:rFonts w:eastAsia="Times New Roman"/>
          <w:lang w:val="fr-FR"/>
        </w:rPr>
        <w:t>1)</w:t>
      </w:r>
      <w:r w:rsidRPr="00EB15CE">
        <w:rPr>
          <w:rFonts w:eastAsia="Times New Roman"/>
          <w:lang w:val="fr-FR"/>
        </w:rPr>
        <w:t xml:space="preserve"> à une hauteur dépassant les valeurs indiquées aux alinéas</w:t>
      </w:r>
      <w:r w:rsidR="002A4787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a) et b) ci-dessus, augmentées de la moitié de la hauteur de section minimale prescrite pour la traverse du dispositif arrière de protection antiencastrement.</w:t>
      </w:r>
    </w:p>
    <w:p w:rsidR="00E55717" w:rsidRDefault="00E55717" w:rsidP="00A8487E">
      <w:pPr>
        <w:pStyle w:val="SingleTxtG"/>
        <w:ind w:left="2268"/>
        <w:rPr>
          <w:rFonts w:eastAsia="Times New Roman"/>
          <w:lang w:val="fr-FR"/>
        </w:rPr>
      </w:pPr>
      <w:r w:rsidRPr="00EB15CE">
        <w:rPr>
          <w:rFonts w:eastAsia="Times New Roman"/>
          <w:lang w:val="fr-FR"/>
        </w:rPr>
        <w:tab/>
        <w:t>La hauteur prescrite pour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application des forces d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essai doit être adaptée à la garde au sol réglée en application des prescriptions ci-dessus relatives à l</w:t>
      </w:r>
      <w:r>
        <w:rPr>
          <w:rFonts w:eastAsia="Times New Roman"/>
          <w:lang w:val="fr-FR"/>
        </w:rPr>
        <w:t>’</w:t>
      </w:r>
      <w:r w:rsidRPr="00EB15CE">
        <w:rPr>
          <w:rFonts w:eastAsia="Times New Roman"/>
          <w:lang w:val="fr-FR"/>
        </w:rPr>
        <w:t>angle de fuite.</w:t>
      </w:r>
      <w:r>
        <w:rPr>
          <w:rFonts w:eastAsia="Times New Roman"/>
          <w:lang w:val="fr-FR"/>
        </w:rPr>
        <w:t> ».</w:t>
      </w:r>
    </w:p>
    <w:p w:rsidR="00E55717" w:rsidRPr="00EB15CE" w:rsidRDefault="00E55717" w:rsidP="00A8487E">
      <w:pPr>
        <w:pStyle w:val="SingleTxtG"/>
        <w:keepNext/>
        <w:rPr>
          <w:rFonts w:eastAsia="Times New Roman"/>
          <w:i/>
          <w:lang w:val="en-GB"/>
        </w:rPr>
      </w:pPr>
      <w:r w:rsidRPr="00EB15CE">
        <w:rPr>
          <w:rFonts w:eastAsia="Times New Roman"/>
          <w:i/>
          <w:lang w:val="fr-FR"/>
        </w:rPr>
        <w:t>Annexe 7</w:t>
      </w:r>
      <w:r w:rsidRPr="00EB15CE">
        <w:rPr>
          <w:rFonts w:eastAsia="Times New Roman"/>
          <w:lang w:val="fr-FR"/>
        </w:rPr>
        <w:t xml:space="preserve">, </w:t>
      </w:r>
      <w:r w:rsidRPr="00EB15CE">
        <w:rPr>
          <w:rFonts w:eastAsia="Times New Roman"/>
          <w:i/>
          <w:iCs/>
          <w:lang w:val="fr-FR"/>
        </w:rPr>
        <w:t>tableau</w:t>
      </w:r>
      <w:r w:rsidRPr="00EB15CE">
        <w:rPr>
          <w:rFonts w:eastAsia="Times New Roman"/>
          <w:lang w:val="fr-FR"/>
        </w:rPr>
        <w:t>, lire</w:t>
      </w:r>
      <w:r w:rsidR="00A8487E">
        <w:rPr>
          <w:rFonts w:eastAsia="Times New Roman"/>
          <w:lang w:val="fr-FR"/>
        </w:rPr>
        <w:t> </w:t>
      </w:r>
      <w:r w:rsidRPr="00EB15CE">
        <w:rPr>
          <w:rFonts w:eastAsia="Times New Roman"/>
          <w:lang w:val="fr-FR"/>
        </w:rPr>
        <w:t>:</w:t>
      </w:r>
    </w:p>
    <w:p w:rsidR="00E55717" w:rsidRPr="00EB15CE" w:rsidRDefault="00E55717" w:rsidP="00A8487E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162"/>
        <w:gridCol w:w="1162"/>
        <w:gridCol w:w="1553"/>
        <w:gridCol w:w="1432"/>
      </w:tblGrid>
      <w:tr w:rsidR="00E55717" w:rsidRPr="00A8487E" w:rsidTr="004A45D9">
        <w:trPr>
          <w:trHeight w:val="355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 xml:space="preserve">Catégorie ou type </w:t>
            </w:r>
            <w:r w:rsid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br/>
            </w: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de véhicule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jc w:val="center"/>
              <w:rPr>
                <w:rFonts w:eastAsia="Times New Roman"/>
                <w:i/>
                <w:sz w:val="16"/>
                <w:szCs w:val="16"/>
                <w:lang w:val="en-GB"/>
              </w:rPr>
            </w:pP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Géométrie visée au paragraphe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jc w:val="right"/>
              <w:rPr>
                <w:rFonts w:eastAsia="Times New Roman"/>
                <w:i/>
                <w:sz w:val="16"/>
                <w:szCs w:val="16"/>
              </w:rPr>
            </w:pP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 xml:space="preserve">Force d’essai mentionnée </w:t>
            </w:r>
            <w:r w:rsidR="00F5169D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br/>
            </w: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au paragraphe</w:t>
            </w:r>
          </w:p>
        </w:tc>
      </w:tr>
      <w:tr w:rsidR="004A45D9" w:rsidRPr="00A8487E" w:rsidTr="004A45D9">
        <w:trPr>
          <w:tblHeader/>
        </w:trPr>
        <w:tc>
          <w:tcPr>
            <w:tcW w:w="206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jc w:val="right"/>
              <w:rPr>
                <w:rFonts w:eastAsia="Times New Roman"/>
                <w:i/>
                <w:sz w:val="16"/>
                <w:szCs w:val="16"/>
                <w:lang w:val="en-GB"/>
              </w:rPr>
            </w:pP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 xml:space="preserve">Hauteur </w:t>
            </w:r>
            <w:r w:rsidR="004A45D9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br/>
            </w: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de section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jc w:val="right"/>
              <w:rPr>
                <w:rFonts w:eastAsia="Times New Roman"/>
                <w:i/>
                <w:sz w:val="16"/>
                <w:szCs w:val="16"/>
              </w:rPr>
            </w:pP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Garde au sol avant l’essai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jc w:val="right"/>
              <w:rPr>
                <w:rFonts w:eastAsia="Times New Roman"/>
                <w:i/>
                <w:sz w:val="16"/>
                <w:szCs w:val="16"/>
              </w:rPr>
            </w:pP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 xml:space="preserve">Distance horizontale entre l’arrière </w:t>
            </w:r>
            <w:r w:rsid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br/>
            </w: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 xml:space="preserve">du dispositif arrière </w:t>
            </w:r>
            <w:r w:rsid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br/>
            </w:r>
            <w:r w:rsidRPr="00A8487E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de protection antiencastrement et l’arrière du véhicule</w:t>
            </w:r>
          </w:p>
        </w:tc>
        <w:tc>
          <w:tcPr>
            <w:tcW w:w="143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80" w:after="80" w:line="200" w:lineRule="exact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4A45D9" w:rsidRPr="00C30A71" w:rsidTr="0020425A">
        <w:tc>
          <w:tcPr>
            <w:tcW w:w="20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5717" w:rsidRPr="00A8487E" w:rsidRDefault="004A45D9" w:rsidP="00A8487E">
            <w:pPr>
              <w:spacing w:before="40" w:after="40" w:line="220" w:lineRule="atLeast"/>
              <w:ind w:left="57" w:right="57"/>
              <w:rPr>
                <w:rFonts w:eastAsia="Times New Roman"/>
                <w:sz w:val="18"/>
                <w:szCs w:val="18"/>
              </w:rPr>
            </w:pPr>
            <w:r w:rsidRPr="00C30A71">
              <w:rPr>
                <w:rFonts w:eastAsia="Times New Roman"/>
                <w:sz w:val="18"/>
                <w:lang w:val="fr-FR"/>
              </w:rPr>
              <w:t xml:space="preserve">M, 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MG</w:t>
            </w:r>
            <w:r w:rsidRPr="00C30A71">
              <w:rPr>
                <w:rFonts w:eastAsia="Times New Roman"/>
                <w:sz w:val="18"/>
                <w:lang w:val="fr-FR"/>
              </w:rPr>
              <w:t>, N</w:t>
            </w:r>
            <w:r w:rsidRPr="00C30A71">
              <w:rPr>
                <w:rFonts w:eastAsia="Times New Roman"/>
                <w:sz w:val="18"/>
                <w:vertAlign w:val="subscript"/>
                <w:lang w:val="fr-FR"/>
              </w:rPr>
              <w:t>1</w:t>
            </w:r>
            <w:r w:rsidRPr="00C30A71">
              <w:rPr>
                <w:rFonts w:eastAsia="Times New Roman"/>
                <w:sz w:val="18"/>
                <w:lang w:val="fr-FR"/>
              </w:rPr>
              <w:t xml:space="preserve">, 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N</w:t>
            </w:r>
            <w:r w:rsidRPr="00C30A71">
              <w:rPr>
                <w:rFonts w:eastAsia="Times New Roman"/>
                <w:b/>
                <w:bCs/>
                <w:sz w:val="18"/>
                <w:vertAlign w:val="subscript"/>
                <w:lang w:val="fr-FR"/>
              </w:rPr>
              <w:t>1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G</w:t>
            </w:r>
            <w:r w:rsidRPr="00C30A71">
              <w:rPr>
                <w:rFonts w:eastAsia="Times New Roman"/>
                <w:sz w:val="18"/>
                <w:lang w:val="fr-FR"/>
              </w:rPr>
              <w:t>,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 xml:space="preserve"> </w:t>
            </w:r>
            <w:r w:rsidRPr="00C30A71">
              <w:rPr>
                <w:rFonts w:eastAsia="Times New Roman"/>
                <w:bCs/>
                <w:sz w:val="18"/>
                <w:lang w:val="fr-FR"/>
              </w:rPr>
              <w:t>N</w:t>
            </w:r>
            <w:r w:rsidRPr="00C30A71">
              <w:rPr>
                <w:rFonts w:eastAsia="Times New Roman"/>
                <w:bCs/>
                <w:sz w:val="18"/>
                <w:vertAlign w:val="subscript"/>
                <w:lang w:val="fr-FR"/>
              </w:rPr>
              <w:t>2</w:t>
            </w:r>
            <w:r w:rsidRPr="00C30A71">
              <w:rPr>
                <w:rFonts w:eastAsia="Times New Roman"/>
                <w:bCs/>
                <w:sz w:val="18"/>
                <w:lang w:val="fr-FR"/>
              </w:rPr>
              <w:t xml:space="preserve"> avec un PTC*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 xml:space="preserve"> </w:t>
            </w:r>
            <w:r w:rsidRPr="00C30A71">
              <w:rPr>
                <w:rFonts w:eastAsia="Times New Roman"/>
                <w:sz w:val="18"/>
                <w:lang w:val="fr-FR"/>
              </w:rPr>
              <w:t xml:space="preserve">&lt; 8 t, 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N</w:t>
            </w:r>
            <w:r w:rsidRPr="00C30A71">
              <w:rPr>
                <w:rFonts w:eastAsia="Times New Roman"/>
                <w:b/>
                <w:bCs/>
                <w:sz w:val="18"/>
                <w:vertAlign w:val="subscript"/>
                <w:lang w:val="fr-FR"/>
              </w:rPr>
              <w:t>2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 xml:space="preserve">G avec un PTC* &lt; 8 t, </w:t>
            </w:r>
            <w:r w:rsidRPr="00C30A71">
              <w:rPr>
                <w:rFonts w:eastAsia="Times New Roman"/>
                <w:sz w:val="18"/>
                <w:lang w:val="fr-FR"/>
              </w:rPr>
              <w:t>O</w:t>
            </w:r>
            <w:r w:rsidRPr="00C30A71">
              <w:rPr>
                <w:rFonts w:eastAsia="Times New Roman"/>
                <w:sz w:val="18"/>
                <w:vertAlign w:val="subscript"/>
                <w:lang w:val="fr-FR"/>
              </w:rPr>
              <w:t>1</w:t>
            </w:r>
            <w:r w:rsidRPr="00C30A71">
              <w:rPr>
                <w:rFonts w:eastAsia="Times New Roman"/>
                <w:sz w:val="18"/>
                <w:lang w:val="fr-FR"/>
              </w:rPr>
              <w:t>, O</w:t>
            </w:r>
            <w:r w:rsidRPr="00C30A71">
              <w:rPr>
                <w:rFonts w:eastAsia="Times New Roman"/>
                <w:sz w:val="18"/>
                <w:vertAlign w:val="subscript"/>
                <w:lang w:val="fr-FR"/>
              </w:rPr>
              <w:t>2</w:t>
            </w:r>
            <w:r w:rsidRPr="00C30A71">
              <w:rPr>
                <w:rFonts w:eastAsia="Times New Roman"/>
                <w:strike/>
                <w:sz w:val="18"/>
                <w:lang w:val="fr-FR"/>
              </w:rPr>
              <w:t>, G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2.3/</w:t>
            </w:r>
            <w:r w:rsidRPr="00A8487E">
              <w:rPr>
                <w:rFonts w:eastAsia="Times New Roman"/>
                <w:strike/>
                <w:sz w:val="18"/>
                <w:szCs w:val="18"/>
                <w:lang w:val="fr-FR"/>
              </w:rPr>
              <w:t>2.4/</w:t>
            </w:r>
            <w:r w:rsidR="00A8487E">
              <w:rPr>
                <w:rFonts w:eastAsia="Times New Roman"/>
                <w:strike/>
                <w:sz w:val="18"/>
                <w:szCs w:val="18"/>
                <w:lang w:val="fr-FR"/>
              </w:rPr>
              <w:br/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7.1/25.5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2.3/2.4/</w:t>
            </w:r>
            <w:r w:rsidR="004A45D9">
              <w:rPr>
                <w:rFonts w:eastAsia="Times New Roman"/>
                <w:sz w:val="18"/>
                <w:szCs w:val="18"/>
                <w:lang w:val="fr-FR"/>
              </w:rPr>
              <w:br/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16.</w:t>
            </w:r>
            <w:r w:rsidR="0020425A">
              <w:rPr>
                <w:rFonts w:eastAsia="Times New Roman"/>
                <w:sz w:val="18"/>
                <w:szCs w:val="18"/>
                <w:lang w:val="fr-FR"/>
              </w:rPr>
              <w:t>2</w:t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/25.2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2.3/</w:t>
            </w:r>
            <w:r w:rsidRPr="00A8487E">
              <w:rPr>
                <w:rFonts w:eastAsia="Times New Roman"/>
                <w:strike/>
                <w:sz w:val="18"/>
                <w:szCs w:val="18"/>
                <w:lang w:val="fr-FR"/>
              </w:rPr>
              <w:t>2.4/</w:t>
            </w:r>
            <w:r w:rsidR="00A8487E">
              <w:rPr>
                <w:rFonts w:eastAsia="Times New Roman"/>
                <w:strike/>
                <w:sz w:val="18"/>
                <w:szCs w:val="18"/>
                <w:lang w:val="fr-FR"/>
              </w:rPr>
              <w:br/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16.4/25.3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2.3/</w:t>
            </w:r>
            <w:r w:rsidRPr="00A8487E">
              <w:rPr>
                <w:rFonts w:eastAsia="Times New Roman"/>
                <w:strike/>
                <w:sz w:val="18"/>
                <w:szCs w:val="18"/>
                <w:lang w:val="fr-FR"/>
              </w:rPr>
              <w:t>2.4</w:t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/</w:t>
            </w:r>
            <w:r w:rsidR="00A8487E">
              <w:rPr>
                <w:rFonts w:eastAsia="Times New Roman"/>
                <w:sz w:val="18"/>
                <w:szCs w:val="18"/>
                <w:lang w:val="fr-FR"/>
              </w:rPr>
              <w:br/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A5/3.1.1 à 3.1.2</w:t>
            </w:r>
          </w:p>
        </w:tc>
      </w:tr>
      <w:tr w:rsidR="004A45D9" w:rsidRPr="00C30A71" w:rsidTr="0020425A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5717" w:rsidRPr="00A8487E" w:rsidRDefault="004A45D9" w:rsidP="00A8487E">
            <w:pPr>
              <w:spacing w:before="40" w:after="40" w:line="220" w:lineRule="atLeast"/>
              <w:ind w:left="57" w:right="57"/>
              <w:rPr>
                <w:rFonts w:eastAsia="Times New Roman"/>
                <w:sz w:val="18"/>
                <w:szCs w:val="18"/>
              </w:rPr>
            </w:pPr>
            <w:r w:rsidRPr="00C30A71">
              <w:rPr>
                <w:rFonts w:eastAsia="Times New Roman"/>
                <w:sz w:val="18"/>
                <w:lang w:val="fr-FR"/>
              </w:rPr>
              <w:t>N</w:t>
            </w:r>
            <w:r w:rsidRPr="00C30A71">
              <w:rPr>
                <w:rFonts w:eastAsia="Times New Roman"/>
                <w:sz w:val="18"/>
                <w:vertAlign w:val="subscript"/>
                <w:lang w:val="fr-FR"/>
              </w:rPr>
              <w:t>2</w:t>
            </w:r>
            <w:r w:rsidRPr="00C30A71">
              <w:rPr>
                <w:rFonts w:eastAsia="Times New Roman"/>
                <w:sz w:val="18"/>
                <w:lang w:val="fr-FR"/>
              </w:rPr>
              <w:t xml:space="preserve"> avec un PTC* &gt; 8 t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, N</w:t>
            </w:r>
            <w:r w:rsidRPr="00C30A71">
              <w:rPr>
                <w:rFonts w:eastAsia="Times New Roman"/>
                <w:b/>
                <w:bCs/>
                <w:sz w:val="18"/>
                <w:vertAlign w:val="subscript"/>
                <w:lang w:val="fr-FR"/>
              </w:rPr>
              <w:t>2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G avec un PTC* &gt; 8 t,</w:t>
            </w:r>
            <w:r w:rsidRPr="00C30A71">
              <w:rPr>
                <w:rFonts w:eastAsia="Times New Roman"/>
                <w:sz w:val="18"/>
                <w:lang w:val="fr-FR"/>
              </w:rPr>
              <w:t xml:space="preserve"> N</w:t>
            </w:r>
            <w:r w:rsidRPr="00C30A71">
              <w:rPr>
                <w:rFonts w:eastAsia="Times New Roman"/>
                <w:sz w:val="18"/>
                <w:vertAlign w:val="subscript"/>
                <w:lang w:val="fr-FR"/>
              </w:rPr>
              <w:t>3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, N</w:t>
            </w:r>
            <w:r w:rsidRPr="00C30A71">
              <w:rPr>
                <w:rFonts w:eastAsia="Times New Roman"/>
                <w:b/>
                <w:bCs/>
                <w:sz w:val="18"/>
                <w:vertAlign w:val="subscript"/>
                <w:lang w:val="fr-FR"/>
              </w:rPr>
              <w:t>3</w:t>
            </w:r>
            <w:r w:rsidRPr="00C30A71">
              <w:rPr>
                <w:rFonts w:eastAsia="Times New Roman"/>
                <w:b/>
                <w:bCs/>
                <w:sz w:val="18"/>
                <w:lang w:val="fr-FR"/>
              </w:rPr>
              <w:t>G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7.1 ou 25.5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4A45D9">
              <w:rPr>
                <w:rFonts w:eastAsia="Times New Roman"/>
                <w:b/>
                <w:sz w:val="18"/>
                <w:szCs w:val="18"/>
                <w:lang w:val="fr-FR"/>
              </w:rPr>
              <w:t>2.4</w:t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/</w:t>
            </w:r>
            <w:r w:rsidR="00A8487E">
              <w:rPr>
                <w:rFonts w:eastAsia="Times New Roman"/>
                <w:sz w:val="18"/>
                <w:szCs w:val="18"/>
                <w:lang w:val="fr-FR"/>
              </w:rPr>
              <w:br/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16.1 ou 25.1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16.4 ou 25.3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A5/3.1.1 à 3.1.2</w:t>
            </w:r>
          </w:p>
        </w:tc>
      </w:tr>
      <w:tr w:rsidR="004A45D9" w:rsidRPr="00C30A71" w:rsidTr="0020425A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O</w:t>
            </w:r>
            <w:r w:rsidRPr="00A8487E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3</w:t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, O</w:t>
            </w:r>
            <w:r w:rsidRPr="00A8487E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7.1 ou 25.5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16.1/16.2 ou 25.1/25.2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16.4 ou 25.3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A5/3.1.1 à 3.1.2</w:t>
            </w:r>
          </w:p>
        </w:tc>
      </w:tr>
      <w:tr w:rsidR="004A45D9" w:rsidRPr="00C30A71" w:rsidTr="0020425A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 xml:space="preserve">Véhicules spéciaux </w:t>
            </w:r>
            <w:r w:rsidR="004A45D9">
              <w:rPr>
                <w:rFonts w:eastAsia="Times New Roman"/>
                <w:sz w:val="18"/>
                <w:szCs w:val="18"/>
                <w:lang w:val="fr-FR"/>
              </w:rPr>
              <w:br/>
            </w:r>
            <w:r w:rsidRPr="00A8487E">
              <w:rPr>
                <w:rFonts w:eastAsia="Times New Roman"/>
                <w:sz w:val="18"/>
                <w:szCs w:val="18"/>
                <w:lang w:val="fr-FR"/>
              </w:rPr>
              <w:t>(voir annexe 6)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7.1 ou 25.5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16.1/16.2 ou 25.1/25.2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16.4 ou 25.3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5717" w:rsidRPr="00A8487E" w:rsidRDefault="00E55717" w:rsidP="00A8487E">
            <w:pPr>
              <w:spacing w:before="40" w:after="40" w:line="220" w:lineRule="atLeast"/>
              <w:ind w:left="57" w:right="57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A8487E">
              <w:rPr>
                <w:rFonts w:eastAsia="Times New Roman"/>
                <w:sz w:val="18"/>
                <w:szCs w:val="18"/>
                <w:lang w:val="fr-FR"/>
              </w:rPr>
              <w:t>A5/3.1.3</w:t>
            </w:r>
          </w:p>
        </w:tc>
      </w:tr>
    </w:tbl>
    <w:p w:rsidR="00E55717" w:rsidRPr="004C1908" w:rsidRDefault="00E55717" w:rsidP="005714FE">
      <w:pPr>
        <w:spacing w:before="120"/>
        <w:ind w:left="1134" w:right="1134" w:firstLine="170"/>
        <w:rPr>
          <w:i/>
          <w:sz w:val="18"/>
          <w:szCs w:val="18"/>
        </w:rPr>
      </w:pPr>
      <w:r w:rsidRPr="004C1908">
        <w:rPr>
          <w:sz w:val="18"/>
          <w:szCs w:val="18"/>
          <w:lang w:val="fr-FR"/>
        </w:rPr>
        <w:t>*</w:t>
      </w:r>
      <w:r w:rsidR="004C1908">
        <w:rPr>
          <w:sz w:val="18"/>
          <w:szCs w:val="18"/>
          <w:lang w:val="fr-FR"/>
        </w:rPr>
        <w:t xml:space="preserve"> </w:t>
      </w:r>
      <w:r w:rsidRPr="004C1908">
        <w:rPr>
          <w:sz w:val="18"/>
          <w:szCs w:val="18"/>
          <w:lang w:val="fr-FR"/>
        </w:rPr>
        <w:t xml:space="preserve"> PTC = poids total en charge.</w:t>
      </w:r>
    </w:p>
    <w:p w:rsidR="00E55717" w:rsidRPr="004C1908" w:rsidRDefault="00E55717" w:rsidP="005714FE">
      <w:pPr>
        <w:spacing w:after="240"/>
        <w:ind w:left="1134" w:right="1134" w:firstLine="170"/>
        <w:rPr>
          <w:rFonts w:eastAsia="Times New Roman"/>
          <w:sz w:val="18"/>
          <w:szCs w:val="18"/>
        </w:rPr>
      </w:pPr>
      <w:r w:rsidRPr="004C1908">
        <w:rPr>
          <w:rFonts w:eastAsia="Times New Roman"/>
          <w:i/>
          <w:sz w:val="18"/>
          <w:szCs w:val="18"/>
          <w:lang w:val="fr-FR"/>
        </w:rPr>
        <w:t>Note</w:t>
      </w:r>
      <w:r w:rsidR="004C1908" w:rsidRPr="004C1908">
        <w:rPr>
          <w:rFonts w:eastAsia="Times New Roman"/>
          <w:sz w:val="18"/>
          <w:szCs w:val="18"/>
          <w:lang w:val="fr-FR"/>
        </w:rPr>
        <w:t> </w:t>
      </w:r>
      <w:r w:rsidRPr="004C1908">
        <w:rPr>
          <w:rFonts w:eastAsia="Times New Roman"/>
          <w:sz w:val="18"/>
          <w:szCs w:val="18"/>
          <w:lang w:val="fr-FR"/>
        </w:rPr>
        <w:t>:</w:t>
      </w:r>
      <w:r w:rsidR="004C1908" w:rsidRPr="004C1908">
        <w:rPr>
          <w:rFonts w:eastAsia="Times New Roman"/>
          <w:sz w:val="18"/>
          <w:szCs w:val="18"/>
          <w:lang w:val="fr-FR"/>
        </w:rPr>
        <w:t xml:space="preserve"> </w:t>
      </w:r>
      <w:r w:rsidRPr="004C1908">
        <w:rPr>
          <w:rFonts w:eastAsia="Times New Roman"/>
          <w:sz w:val="18"/>
          <w:szCs w:val="18"/>
          <w:lang w:val="fr-FR"/>
        </w:rPr>
        <w:t>Une référence comme par exemple A5/3.1.1 dans le tableau renvoie à l’annexe (annexe 5) et au paragraphe (3.1.1) de cette annexe, où le véhicule en question est décrit ou la prescription énoncée. Une référence comme par exemple</w:t>
      </w:r>
      <w:r w:rsidR="005714FE">
        <w:rPr>
          <w:rFonts w:eastAsia="Times New Roman"/>
          <w:sz w:val="18"/>
          <w:szCs w:val="18"/>
          <w:lang w:val="fr-FR"/>
        </w:rPr>
        <w:t> </w:t>
      </w:r>
      <w:r w:rsidRPr="004C1908">
        <w:rPr>
          <w:rFonts w:eastAsia="Times New Roman"/>
          <w:sz w:val="18"/>
          <w:szCs w:val="18"/>
          <w:lang w:val="fr-FR"/>
        </w:rPr>
        <w:t>2.3 dans le tableau renvoie au paragraphe (2.3) du présent Règlement dans lequel la prescription pertinente est énoncée.</w:t>
      </w:r>
      <w:r w:rsidR="004C1908">
        <w:rPr>
          <w:rFonts w:eastAsia="Times New Roman"/>
          <w:sz w:val="18"/>
          <w:szCs w:val="18"/>
          <w:lang w:val="fr-FR"/>
        </w:rPr>
        <w:t> </w:t>
      </w:r>
      <w:r w:rsidRPr="004C1908">
        <w:rPr>
          <w:rFonts w:eastAsia="Times New Roman"/>
          <w:sz w:val="18"/>
          <w:szCs w:val="18"/>
          <w:lang w:val="fr-FR"/>
        </w:rPr>
        <w:t>».</w:t>
      </w:r>
    </w:p>
    <w:p w:rsidR="00E55717" w:rsidRPr="00EB15CE" w:rsidRDefault="00E55717" w:rsidP="004C1908">
      <w:pPr>
        <w:pStyle w:val="HChG"/>
      </w:pPr>
      <w:r>
        <w:rPr>
          <w:lang w:val="fr-FR"/>
        </w:rPr>
        <w:lastRenderedPageBreak/>
        <w:tab/>
      </w:r>
      <w:r w:rsidRPr="00EB15CE">
        <w:rPr>
          <w:lang w:val="fr-FR"/>
        </w:rPr>
        <w:t>II.</w:t>
      </w:r>
      <w:r w:rsidRPr="00EB15CE">
        <w:rPr>
          <w:lang w:val="fr-FR"/>
        </w:rPr>
        <w:tab/>
        <w:t>Justification</w:t>
      </w:r>
    </w:p>
    <w:p w:rsidR="00E55717" w:rsidRPr="00EB15CE" w:rsidRDefault="00E55717" w:rsidP="002F6245">
      <w:pPr>
        <w:pStyle w:val="SingleTxtG"/>
      </w:pPr>
      <w:r w:rsidRPr="00EB15CE">
        <w:rPr>
          <w:lang w:val="fr-FR"/>
        </w:rPr>
        <w:t>1.</w:t>
      </w:r>
      <w:r w:rsidRPr="00EB15CE">
        <w:rPr>
          <w:lang w:val="fr-FR"/>
        </w:rPr>
        <w:tab/>
        <w:t>Le paragraphe</w:t>
      </w:r>
      <w:r w:rsidR="002F6245">
        <w:rPr>
          <w:lang w:val="fr-FR"/>
        </w:rPr>
        <w:t> </w:t>
      </w:r>
      <w:r w:rsidRPr="00EB15CE">
        <w:rPr>
          <w:lang w:val="fr-FR"/>
        </w:rPr>
        <w:t xml:space="preserve">2.4 </w:t>
      </w:r>
      <w:r>
        <w:rPr>
          <w:lang w:val="fr-FR"/>
        </w:rPr>
        <w:t>énonce les cas où</w:t>
      </w:r>
      <w:r w:rsidRPr="00EB15CE">
        <w:rPr>
          <w:lang w:val="fr-FR"/>
        </w:rPr>
        <w:t xml:space="preserve"> les véhicules tout-terrain de la catégorie</w:t>
      </w:r>
      <w:r w:rsidR="002F6245">
        <w:rPr>
          <w:lang w:val="fr-FR"/>
        </w:rPr>
        <w:t> </w:t>
      </w:r>
      <w:r w:rsidRPr="00EB15CE">
        <w:rPr>
          <w:lang w:val="fr-FR"/>
        </w:rPr>
        <w:t>G doivent être considérés comme répondant aux conditions relatives à la garde au sol. La</w:t>
      </w:r>
      <w:r w:rsidR="002F6245">
        <w:rPr>
          <w:lang w:val="fr-FR"/>
        </w:rPr>
        <w:t> </w:t>
      </w:r>
      <w:r>
        <w:rPr>
          <w:lang w:val="fr-FR"/>
        </w:rPr>
        <w:t>mention</w:t>
      </w:r>
      <w:r w:rsidRPr="00EB15CE">
        <w:rPr>
          <w:lang w:val="fr-FR"/>
        </w:rPr>
        <w:t xml:space="preserve"> «</w:t>
      </w:r>
      <w:r w:rsidR="002F6245">
        <w:rPr>
          <w:lang w:val="fr-FR"/>
        </w:rPr>
        <w:t> </w:t>
      </w:r>
      <w:r w:rsidRPr="00EB15CE">
        <w:rPr>
          <w:lang w:val="fr-FR"/>
        </w:rPr>
        <w:t>ci-dessus</w:t>
      </w:r>
      <w:r w:rsidR="002F6245">
        <w:rPr>
          <w:lang w:val="fr-FR"/>
        </w:rPr>
        <w:t> </w:t>
      </w:r>
      <w:r w:rsidRPr="00EB15CE">
        <w:rPr>
          <w:lang w:val="fr-FR"/>
        </w:rPr>
        <w:t xml:space="preserve">» est remplacée par une </w:t>
      </w:r>
      <w:r>
        <w:rPr>
          <w:lang w:val="fr-FR"/>
        </w:rPr>
        <w:t>expression</w:t>
      </w:r>
      <w:r w:rsidRPr="00EB15CE">
        <w:rPr>
          <w:lang w:val="fr-FR"/>
        </w:rPr>
        <w:t xml:space="preserve"> plus générale, à savoir «</w:t>
      </w:r>
      <w:r>
        <w:rPr>
          <w:lang w:val="fr-FR"/>
        </w:rPr>
        <w:t> dans</w:t>
      </w:r>
      <w:r w:rsidRPr="00EB15CE">
        <w:rPr>
          <w:lang w:val="fr-FR"/>
        </w:rPr>
        <w:t xml:space="preserve"> le présent Règlement</w:t>
      </w:r>
      <w:r w:rsidR="002F6245">
        <w:rPr>
          <w:lang w:val="fr-FR"/>
        </w:rPr>
        <w:t> </w:t>
      </w:r>
      <w:r w:rsidRPr="00EB15CE">
        <w:rPr>
          <w:lang w:val="fr-FR"/>
        </w:rPr>
        <w:t>»</w:t>
      </w:r>
      <w:r>
        <w:rPr>
          <w:lang w:val="fr-FR"/>
        </w:rPr>
        <w:t>.</w:t>
      </w:r>
      <w:r w:rsidRPr="00EB15CE">
        <w:rPr>
          <w:lang w:val="fr-FR"/>
        </w:rPr>
        <w:t xml:space="preserve"> En outre, </w:t>
      </w:r>
      <w:r>
        <w:rPr>
          <w:lang w:val="fr-FR"/>
        </w:rPr>
        <w:t>la modification du</w:t>
      </w:r>
      <w:r w:rsidRPr="00EB15CE">
        <w:rPr>
          <w:lang w:val="fr-FR"/>
        </w:rPr>
        <w:t xml:space="preserve"> tableau de l</w:t>
      </w:r>
      <w:r>
        <w:rPr>
          <w:lang w:val="fr-FR"/>
        </w:rPr>
        <w:t>’</w:t>
      </w:r>
      <w:r w:rsidRPr="00EB15CE">
        <w:rPr>
          <w:lang w:val="fr-FR"/>
        </w:rPr>
        <w:t>annexe</w:t>
      </w:r>
      <w:r w:rsidR="002F6245">
        <w:rPr>
          <w:lang w:val="fr-FR"/>
        </w:rPr>
        <w:t> </w:t>
      </w:r>
      <w:r w:rsidRPr="00EB15CE">
        <w:rPr>
          <w:lang w:val="fr-FR"/>
        </w:rPr>
        <w:t xml:space="preserve">7 (Prescriptions applicables aux différentes catégories de véhicules) </w:t>
      </w:r>
      <w:r>
        <w:rPr>
          <w:lang w:val="fr-FR"/>
        </w:rPr>
        <w:t xml:space="preserve">a pour objet </w:t>
      </w:r>
      <w:r w:rsidRPr="00EB15CE">
        <w:rPr>
          <w:lang w:val="fr-FR"/>
        </w:rPr>
        <w:t xml:space="preserve">de </w:t>
      </w:r>
      <w:r>
        <w:rPr>
          <w:lang w:val="fr-FR"/>
        </w:rPr>
        <w:t>préciser les prescriptions</w:t>
      </w:r>
      <w:r w:rsidRPr="00EB15CE">
        <w:rPr>
          <w:lang w:val="fr-FR"/>
        </w:rPr>
        <w:t xml:space="preserve"> du présent Règlement </w:t>
      </w:r>
      <w:r>
        <w:rPr>
          <w:lang w:val="fr-FR"/>
        </w:rPr>
        <w:t xml:space="preserve">qui </w:t>
      </w:r>
      <w:r w:rsidRPr="00EB15CE">
        <w:rPr>
          <w:lang w:val="fr-FR"/>
        </w:rPr>
        <w:t>s</w:t>
      </w:r>
      <w:r>
        <w:rPr>
          <w:lang w:val="fr-FR"/>
        </w:rPr>
        <w:t>’</w:t>
      </w:r>
      <w:r w:rsidRPr="00EB15CE">
        <w:rPr>
          <w:lang w:val="fr-FR"/>
        </w:rPr>
        <w:t>appliquent aux véhicules de catégories M</w:t>
      </w:r>
      <w:r w:rsidRPr="00EB15CE">
        <w:rPr>
          <w:vertAlign w:val="subscript"/>
          <w:lang w:val="fr-FR"/>
        </w:rPr>
        <w:t>1</w:t>
      </w:r>
      <w:r w:rsidRPr="00EB15CE">
        <w:rPr>
          <w:lang w:val="fr-FR"/>
        </w:rPr>
        <w:t>G, N</w:t>
      </w:r>
      <w:r w:rsidRPr="00EB15CE">
        <w:rPr>
          <w:vertAlign w:val="subscript"/>
          <w:lang w:val="fr-FR"/>
        </w:rPr>
        <w:t>1</w:t>
      </w:r>
      <w:r w:rsidRPr="00EB15CE">
        <w:rPr>
          <w:lang w:val="fr-FR"/>
        </w:rPr>
        <w:t>G, M</w:t>
      </w:r>
      <w:r w:rsidRPr="00EB15CE">
        <w:rPr>
          <w:vertAlign w:val="subscript"/>
          <w:lang w:val="fr-FR"/>
        </w:rPr>
        <w:t>2</w:t>
      </w:r>
      <w:r w:rsidRPr="00EB15CE">
        <w:rPr>
          <w:lang w:val="fr-FR"/>
        </w:rPr>
        <w:t>G, N</w:t>
      </w:r>
      <w:r w:rsidRPr="00EB15CE">
        <w:rPr>
          <w:vertAlign w:val="subscript"/>
          <w:lang w:val="fr-FR"/>
        </w:rPr>
        <w:t>2</w:t>
      </w:r>
      <w:r w:rsidRPr="00EB15CE">
        <w:rPr>
          <w:lang w:val="fr-FR"/>
        </w:rPr>
        <w:t xml:space="preserve">G, </w:t>
      </w:r>
      <w:r w:rsidRPr="002F6245">
        <w:rPr>
          <w:lang w:val="fr-FR"/>
        </w:rPr>
        <w:t>M</w:t>
      </w:r>
      <w:r w:rsidRPr="002F6245">
        <w:rPr>
          <w:vertAlign w:val="subscript"/>
          <w:lang w:val="fr-FR"/>
        </w:rPr>
        <w:t>3</w:t>
      </w:r>
      <w:r w:rsidRPr="002F6245">
        <w:rPr>
          <w:lang w:val="fr-FR"/>
        </w:rPr>
        <w:t>G et N</w:t>
      </w:r>
      <w:r w:rsidRPr="002F6245">
        <w:rPr>
          <w:vertAlign w:val="subscript"/>
          <w:lang w:val="fr-FR"/>
        </w:rPr>
        <w:t>3</w:t>
      </w:r>
      <w:r w:rsidRPr="002F6245">
        <w:rPr>
          <w:lang w:val="fr-FR"/>
        </w:rPr>
        <w:t>G. Il n’est fait référence au paragraphe</w:t>
      </w:r>
      <w:r w:rsidR="002F6245">
        <w:rPr>
          <w:lang w:val="fr-FR"/>
        </w:rPr>
        <w:t> </w:t>
      </w:r>
      <w:r w:rsidRPr="002F6245">
        <w:rPr>
          <w:lang w:val="fr-FR"/>
        </w:rPr>
        <w:t>2.4 que dans la colonne du tableau appropriée, «</w:t>
      </w:r>
      <w:r w:rsidR="002F6245">
        <w:rPr>
          <w:lang w:val="fr-FR"/>
        </w:rPr>
        <w:t> </w:t>
      </w:r>
      <w:r w:rsidRPr="002F6245">
        <w:rPr>
          <w:lang w:val="fr-FR"/>
        </w:rPr>
        <w:t>Garde</w:t>
      </w:r>
      <w:r w:rsidRPr="00EB15CE">
        <w:rPr>
          <w:lang w:val="fr-FR"/>
        </w:rPr>
        <w:t xml:space="preserve"> au sol avant l</w:t>
      </w:r>
      <w:r>
        <w:rPr>
          <w:lang w:val="fr-FR"/>
        </w:rPr>
        <w:t>’</w:t>
      </w:r>
      <w:r w:rsidRPr="00EB15CE">
        <w:rPr>
          <w:lang w:val="fr-FR"/>
        </w:rPr>
        <w:t>essai</w:t>
      </w:r>
      <w:r w:rsidR="002F6245">
        <w:rPr>
          <w:lang w:val="fr-FR"/>
        </w:rPr>
        <w:t> </w:t>
      </w:r>
      <w:r w:rsidRPr="00EB15CE">
        <w:rPr>
          <w:lang w:val="fr-FR"/>
        </w:rPr>
        <w:t>».</w:t>
      </w:r>
    </w:p>
    <w:p w:rsidR="00E55717" w:rsidRPr="00EB15CE" w:rsidRDefault="00E55717" w:rsidP="0083275B">
      <w:pPr>
        <w:pStyle w:val="SingleTxtG"/>
        <w:spacing w:after="240"/>
      </w:pPr>
      <w:r w:rsidRPr="00EB15CE">
        <w:rPr>
          <w:lang w:val="fr-FR"/>
        </w:rPr>
        <w:t>2.</w:t>
      </w:r>
      <w:r w:rsidRPr="00EB15CE">
        <w:rPr>
          <w:lang w:val="fr-FR"/>
        </w:rPr>
        <w:tab/>
        <w:t>Le paragraphe</w:t>
      </w:r>
      <w:r w:rsidR="00AD79C2">
        <w:rPr>
          <w:lang w:val="fr-FR"/>
        </w:rPr>
        <w:t> </w:t>
      </w:r>
      <w:r w:rsidRPr="00EB15CE">
        <w:rPr>
          <w:lang w:val="fr-FR"/>
        </w:rPr>
        <w:t>16.1 concerne l</w:t>
      </w:r>
      <w:r>
        <w:rPr>
          <w:lang w:val="fr-FR"/>
        </w:rPr>
        <w:t>’</w:t>
      </w:r>
      <w:r w:rsidRPr="00EB15CE">
        <w:rPr>
          <w:lang w:val="fr-FR"/>
        </w:rPr>
        <w:t xml:space="preserve">installation des dispositifs arrière de protection antiencastrement. La formulation actuelle mène à la situation </w:t>
      </w:r>
      <w:r>
        <w:rPr>
          <w:lang w:val="fr-FR"/>
        </w:rPr>
        <w:t>marqu</w:t>
      </w:r>
      <w:r w:rsidRPr="00EB15CE">
        <w:rPr>
          <w:lang w:val="fr-FR"/>
        </w:rPr>
        <w:t xml:space="preserve">ée en jaune </w:t>
      </w:r>
      <w:r>
        <w:rPr>
          <w:lang w:val="fr-FR"/>
        </w:rPr>
        <w:t>sur</w:t>
      </w:r>
      <w:r w:rsidRPr="00EB15CE">
        <w:rPr>
          <w:lang w:val="fr-FR"/>
        </w:rPr>
        <w:t xml:space="preserve"> le schéma ci-dessous. Un dispositif arrière de protection antiencastrement devrait être installé juste derrière la roue arrière et </w:t>
      </w:r>
      <w:r>
        <w:rPr>
          <w:lang w:val="fr-FR"/>
        </w:rPr>
        <w:t>verticalement près</w:t>
      </w:r>
      <w:r w:rsidRPr="00EB15CE">
        <w:rPr>
          <w:lang w:val="fr-FR"/>
        </w:rPr>
        <w:t xml:space="preserve"> du niveau du sol. La Finlande </w:t>
      </w:r>
      <w:r>
        <w:rPr>
          <w:lang w:val="fr-FR"/>
        </w:rPr>
        <w:t>estime</w:t>
      </w:r>
      <w:r w:rsidRPr="00EB15CE">
        <w:rPr>
          <w:lang w:val="fr-FR"/>
        </w:rPr>
        <w:t xml:space="preserve"> que la position </w:t>
      </w:r>
      <w:r>
        <w:rPr>
          <w:lang w:val="fr-FR"/>
        </w:rPr>
        <w:t xml:space="preserve">prévue à l’origine est celle qui est marquée </w:t>
      </w:r>
      <w:r w:rsidRPr="00EB15CE">
        <w:rPr>
          <w:lang w:val="fr-FR"/>
        </w:rPr>
        <w:t xml:space="preserve">en vert </w:t>
      </w:r>
      <w:r>
        <w:rPr>
          <w:lang w:val="fr-FR"/>
        </w:rPr>
        <w:t>sur</w:t>
      </w:r>
      <w:r w:rsidRPr="00EB15CE">
        <w:rPr>
          <w:lang w:val="fr-FR"/>
        </w:rPr>
        <w:t xml:space="preserve"> le schéma ci-dessous. </w:t>
      </w:r>
      <w:r>
        <w:rPr>
          <w:lang w:val="fr-FR"/>
        </w:rPr>
        <w:t>C’est pourquoi il convient de retirer</w:t>
      </w:r>
      <w:r w:rsidRPr="00EB15CE">
        <w:rPr>
          <w:lang w:val="fr-FR"/>
        </w:rPr>
        <w:t xml:space="preserve"> du paragraphe</w:t>
      </w:r>
      <w:r w:rsidR="0083275B">
        <w:rPr>
          <w:lang w:val="fr-FR"/>
        </w:rPr>
        <w:t> </w:t>
      </w:r>
      <w:r w:rsidRPr="00EB15CE">
        <w:rPr>
          <w:lang w:val="fr-FR"/>
        </w:rPr>
        <w:t>16.1</w:t>
      </w:r>
      <w:r>
        <w:rPr>
          <w:lang w:val="fr-FR"/>
        </w:rPr>
        <w:t xml:space="preserve"> </w:t>
      </w:r>
      <w:r w:rsidRPr="00EB15CE">
        <w:rPr>
          <w:lang w:val="fr-FR"/>
        </w:rPr>
        <w:t xml:space="preserve">le </w:t>
      </w:r>
      <w:r w:rsidRPr="0083275B">
        <w:rPr>
          <w:lang w:val="fr-FR"/>
        </w:rPr>
        <w:t>texte biffé.</w:t>
      </w:r>
    </w:p>
    <w:p w:rsidR="00E55717" w:rsidRPr="00EB15CE" w:rsidRDefault="009670A7" w:rsidP="0083275B">
      <w:pPr>
        <w:spacing w:before="240" w:after="240"/>
        <w:ind w:left="1134"/>
        <w:rPr>
          <w:rFonts w:eastAsia="Times New Roman"/>
          <w:lang w:val="en-GB"/>
        </w:rPr>
      </w:pPr>
      <w:r w:rsidRPr="00EB15CE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15269" wp14:editId="68234947">
                <wp:simplePos x="0" y="0"/>
                <wp:positionH relativeFrom="column">
                  <wp:posOffset>2674620</wp:posOffset>
                </wp:positionH>
                <wp:positionV relativeFrom="paragraph">
                  <wp:posOffset>641350</wp:posOffset>
                </wp:positionV>
                <wp:extent cx="182880" cy="154305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17" w:rsidRPr="009670A7" w:rsidRDefault="00E55717" w:rsidP="00E5571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8 </w:t>
                            </w:r>
                            <w:r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  <w:lang w:val="fr-F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52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0.6pt;margin-top:50.5pt;width:14.4pt;height:12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" stroked="f">
                <v:textbox inset="0,0,0,0">
                  <w:txbxContent>
                    <w:p w:rsidR="00E55717" w:rsidRPr="009670A7" w:rsidRDefault="00E55717" w:rsidP="00E55717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70A7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8 </w:t>
                      </w:r>
                      <w:r w:rsidRPr="009670A7">
                        <w:rPr>
                          <w:b/>
                          <w:bCs/>
                          <w:sz w:val="14"/>
                          <w:szCs w:val="14"/>
                          <w:vertAlign w:val="superscript"/>
                          <w:lang w:val="fr-FR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EB15CE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3C0E16" wp14:editId="25F526A1">
                <wp:simplePos x="0" y="0"/>
                <wp:positionH relativeFrom="column">
                  <wp:posOffset>2823210</wp:posOffset>
                </wp:positionH>
                <wp:positionV relativeFrom="paragraph">
                  <wp:posOffset>687070</wp:posOffset>
                </wp:positionV>
                <wp:extent cx="1280160" cy="140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17" w:rsidRPr="009670A7" w:rsidRDefault="00E55717" w:rsidP="00E5571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Distance depuis l</w:t>
                            </w:r>
                            <w:r w:rsidR="0083275B"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’</w:t>
                            </w:r>
                            <w:r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essieu arrière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0E16" id="Text Box 2" o:spid="_x0000_s1027" type="#_x0000_t202" style="position:absolute;left:0;text-align:left;margin-left:222.3pt;margin-top:54.1pt;width:100.8pt;height:11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" stroked="f">
                <v:textbox inset="0,0,0,0">
                  <w:txbxContent>
                    <w:p w:rsidR="00E55717" w:rsidRPr="009670A7" w:rsidRDefault="00E55717" w:rsidP="00E55717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70A7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Distance depuis l</w:t>
                      </w:r>
                      <w:r w:rsidR="0083275B" w:rsidRPr="009670A7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’</w:t>
                      </w:r>
                      <w:r w:rsidRPr="009670A7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essieu arrière</w:t>
                      </w:r>
                    </w:p>
                  </w:txbxContent>
                </v:textbox>
              </v:shape>
            </w:pict>
          </mc:Fallback>
        </mc:AlternateContent>
      </w:r>
      <w:r w:rsidRPr="00EB15CE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7FE166" wp14:editId="49F6D8A0">
                <wp:simplePos x="0" y="0"/>
                <wp:positionH relativeFrom="column">
                  <wp:posOffset>3863340</wp:posOffset>
                </wp:positionH>
                <wp:positionV relativeFrom="paragraph">
                  <wp:posOffset>29845</wp:posOffset>
                </wp:positionV>
                <wp:extent cx="752475" cy="152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17" w:rsidRPr="009670A7" w:rsidRDefault="00E55717" w:rsidP="00E5571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550 mm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E166" id="_x0000_s1028" type="#_x0000_t202" style="position:absolute;left:0;text-align:left;margin-left:304.2pt;margin-top:2.35pt;width:59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" stroked="f">
                <v:textbox inset="0,0,0,1mm">
                  <w:txbxContent>
                    <w:p w:rsidR="00E55717" w:rsidRPr="009670A7" w:rsidRDefault="00E55717" w:rsidP="00E55717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70A7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550 mm</w:t>
                      </w:r>
                    </w:p>
                  </w:txbxContent>
                </v:textbox>
              </v:shape>
            </w:pict>
          </mc:Fallback>
        </mc:AlternateContent>
      </w:r>
      <w:r w:rsidRPr="00EB15CE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F1F68" wp14:editId="3B24A0DD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132714</wp:posOffset>
                </wp:positionV>
                <wp:extent cx="604520" cy="144145"/>
                <wp:effectExtent l="0" t="0" r="5080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17" w:rsidRPr="009670A7" w:rsidRDefault="00E55717" w:rsidP="00E5571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70A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500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1F68" id="Text Box 4" o:spid="_x0000_s1029" type="#_x0000_t202" style="position:absolute;left:0;text-align:left;margin-left:180pt;margin-top:10.45pt;width:47.6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" stroked="f">
                <v:textbox inset="0,0,0,0">
                  <w:txbxContent>
                    <w:p w:rsidR="00E55717" w:rsidRPr="009670A7" w:rsidRDefault="00E55717" w:rsidP="00E55717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70A7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500 mm</w:t>
                      </w:r>
                    </w:p>
                  </w:txbxContent>
                </v:textbox>
              </v:shape>
            </w:pict>
          </mc:Fallback>
        </mc:AlternateContent>
      </w:r>
      <w:r w:rsidR="00E55717" w:rsidRPr="00EB15CE">
        <w:rPr>
          <w:rFonts w:eastAsia="Times New Roman"/>
        </w:rPr>
        <w:tab/>
      </w:r>
      <w:r w:rsidR="00E55717" w:rsidRPr="00EB15CE">
        <w:rPr>
          <w:rFonts w:eastAsia="Times New Roman"/>
          <w:noProof/>
          <w:lang w:eastAsia="fr-CH"/>
        </w:rPr>
        <w:drawing>
          <wp:inline distT="0" distB="0" distL="0" distR="0" wp14:anchorId="48D7B0A6" wp14:editId="15A0B90F">
            <wp:extent cx="4260427" cy="986155"/>
            <wp:effectExtent l="0" t="0" r="6985" b="4445"/>
            <wp:docPr id="7" name="Kuva 3" descr="cid:image001.png@01D43ADB.E655F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png@01D43ADB.E655F9B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0"/>
                    <a:stretch/>
                  </pic:blipFill>
                  <pic:spPr bwMode="auto">
                    <a:xfrm>
                      <a:off x="0" y="0"/>
                      <a:ext cx="4262400" cy="9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717" w:rsidRDefault="00E55717" w:rsidP="0083275B">
      <w:pPr>
        <w:pStyle w:val="SingleTxtG"/>
        <w:rPr>
          <w:lang w:val="fr-FR"/>
        </w:rPr>
      </w:pPr>
      <w:r w:rsidRPr="00EB15CE">
        <w:rPr>
          <w:lang w:val="fr-FR"/>
        </w:rPr>
        <w:t>3.</w:t>
      </w:r>
      <w:r w:rsidRPr="00EB15CE">
        <w:rPr>
          <w:lang w:val="fr-FR"/>
        </w:rPr>
        <w:tab/>
        <w:t>Le paragraphe</w:t>
      </w:r>
      <w:r w:rsidR="0083275B">
        <w:rPr>
          <w:lang w:val="fr-FR"/>
        </w:rPr>
        <w:t> </w:t>
      </w:r>
      <w:r w:rsidRPr="00EB15CE">
        <w:rPr>
          <w:lang w:val="fr-FR"/>
        </w:rPr>
        <w:t>25.1 porte sur l</w:t>
      </w:r>
      <w:r>
        <w:rPr>
          <w:lang w:val="fr-FR"/>
        </w:rPr>
        <w:t>’</w:t>
      </w:r>
      <w:r w:rsidRPr="00EB15CE">
        <w:rPr>
          <w:lang w:val="fr-FR"/>
        </w:rPr>
        <w:t>homologation du dispositif arrière de protection antiencastrement d</w:t>
      </w:r>
      <w:r>
        <w:rPr>
          <w:lang w:val="fr-FR"/>
        </w:rPr>
        <w:t>’</w:t>
      </w:r>
      <w:r w:rsidRPr="00EB15CE">
        <w:rPr>
          <w:lang w:val="fr-FR"/>
        </w:rPr>
        <w:t>un véhicule. Par conséquent, le changement effectué au paragraphe</w:t>
      </w:r>
      <w:r w:rsidR="0083275B">
        <w:rPr>
          <w:lang w:val="fr-FR"/>
        </w:rPr>
        <w:t> </w:t>
      </w:r>
      <w:r w:rsidRPr="00EB15CE">
        <w:rPr>
          <w:lang w:val="fr-FR"/>
        </w:rPr>
        <w:t>16.1 doit aussi être fait au paragraphe</w:t>
      </w:r>
      <w:r w:rsidR="0083275B">
        <w:rPr>
          <w:lang w:val="fr-FR"/>
        </w:rPr>
        <w:t> </w:t>
      </w:r>
      <w:r w:rsidRPr="00EB15CE">
        <w:rPr>
          <w:lang w:val="fr-FR"/>
        </w:rPr>
        <w:t>25.1.</w:t>
      </w:r>
    </w:p>
    <w:p w:rsidR="0083275B" w:rsidRPr="0083275B" w:rsidRDefault="0083275B" w:rsidP="008327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275B" w:rsidRPr="0083275B" w:rsidSect="004F159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41" w:rsidRDefault="00BE3541" w:rsidP="00F95C08">
      <w:pPr>
        <w:spacing w:line="240" w:lineRule="auto"/>
      </w:pPr>
    </w:p>
  </w:endnote>
  <w:endnote w:type="continuationSeparator" w:id="0">
    <w:p w:rsidR="00BE3541" w:rsidRPr="00AC3823" w:rsidRDefault="00BE3541" w:rsidP="00AC3823">
      <w:pPr>
        <w:pStyle w:val="Footer"/>
      </w:pPr>
    </w:p>
  </w:endnote>
  <w:endnote w:type="continuationNotice" w:id="1">
    <w:p w:rsidR="00BE3541" w:rsidRDefault="00BE35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93" w:rsidRPr="004F1593" w:rsidRDefault="004F1593" w:rsidP="004F1593">
    <w:pPr>
      <w:pStyle w:val="Footer"/>
      <w:tabs>
        <w:tab w:val="right" w:pos="9638"/>
      </w:tabs>
    </w:pPr>
    <w:r w:rsidRPr="004F1593">
      <w:rPr>
        <w:b/>
        <w:sz w:val="18"/>
      </w:rPr>
      <w:fldChar w:fldCharType="begin"/>
    </w:r>
    <w:r w:rsidRPr="004F1593">
      <w:rPr>
        <w:b/>
        <w:sz w:val="18"/>
      </w:rPr>
      <w:instrText xml:space="preserve"> PAGE  \* MERGEFORMAT </w:instrText>
    </w:r>
    <w:r w:rsidRPr="004F1593">
      <w:rPr>
        <w:b/>
        <w:sz w:val="18"/>
      </w:rPr>
      <w:fldChar w:fldCharType="separate"/>
    </w:r>
    <w:r w:rsidRPr="004F1593">
      <w:rPr>
        <w:b/>
        <w:noProof/>
        <w:sz w:val="18"/>
      </w:rPr>
      <w:t>2</w:t>
    </w:r>
    <w:r w:rsidRPr="004F1593">
      <w:rPr>
        <w:b/>
        <w:sz w:val="18"/>
      </w:rPr>
      <w:fldChar w:fldCharType="end"/>
    </w:r>
    <w:r>
      <w:rPr>
        <w:b/>
        <w:sz w:val="18"/>
      </w:rPr>
      <w:tab/>
    </w:r>
    <w:r>
      <w:t>GE.19-00565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93" w:rsidRPr="004F1593" w:rsidRDefault="004F1593" w:rsidP="004F1593">
    <w:pPr>
      <w:pStyle w:val="Footer"/>
      <w:tabs>
        <w:tab w:val="right" w:pos="9638"/>
      </w:tabs>
      <w:rPr>
        <w:b/>
        <w:sz w:val="18"/>
      </w:rPr>
    </w:pPr>
    <w:r>
      <w:t>GE.19-00565</w:t>
    </w:r>
    <w:r>
      <w:tab/>
    </w:r>
    <w:r w:rsidRPr="004F1593">
      <w:rPr>
        <w:b/>
        <w:sz w:val="18"/>
      </w:rPr>
      <w:fldChar w:fldCharType="begin"/>
    </w:r>
    <w:r w:rsidRPr="004F1593">
      <w:rPr>
        <w:b/>
        <w:sz w:val="18"/>
      </w:rPr>
      <w:instrText xml:space="preserve"> PAGE  \* MERGEFORMAT </w:instrText>
    </w:r>
    <w:r w:rsidRPr="004F1593">
      <w:rPr>
        <w:b/>
        <w:sz w:val="18"/>
      </w:rPr>
      <w:fldChar w:fldCharType="separate"/>
    </w:r>
    <w:r w:rsidRPr="004F1593">
      <w:rPr>
        <w:b/>
        <w:noProof/>
        <w:sz w:val="18"/>
      </w:rPr>
      <w:t>3</w:t>
    </w:r>
    <w:r w:rsidRPr="004F15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F1593" w:rsidRDefault="004F1593" w:rsidP="004F159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19-00565  (F)    110219    140219</w:t>
    </w:r>
    <w:r>
      <w:rPr>
        <w:sz w:val="20"/>
      </w:rPr>
      <w:br/>
    </w:r>
    <w:r w:rsidRPr="004F1593">
      <w:rPr>
        <w:rFonts w:ascii="C39T30Lfz" w:hAnsi="C39T30Lfz"/>
        <w:sz w:val="56"/>
      </w:rPr>
      <w:t></w:t>
    </w:r>
    <w:r w:rsidRPr="004F1593">
      <w:rPr>
        <w:rFonts w:ascii="C39T30Lfz" w:hAnsi="C39T30Lfz"/>
        <w:sz w:val="56"/>
      </w:rPr>
      <w:t></w:t>
    </w:r>
    <w:r w:rsidRPr="004F1593">
      <w:rPr>
        <w:rFonts w:ascii="C39T30Lfz" w:hAnsi="C39T30Lfz"/>
        <w:sz w:val="56"/>
      </w:rPr>
      <w:t></w:t>
    </w:r>
    <w:r w:rsidRPr="004F1593">
      <w:rPr>
        <w:rFonts w:ascii="C39T30Lfz" w:hAnsi="C39T30Lfz"/>
        <w:sz w:val="56"/>
      </w:rPr>
      <w:t></w:t>
    </w:r>
    <w:r w:rsidRPr="004F1593">
      <w:rPr>
        <w:rFonts w:ascii="C39T30Lfz" w:hAnsi="C39T30Lfz"/>
        <w:sz w:val="56"/>
      </w:rPr>
      <w:t></w:t>
    </w:r>
    <w:r w:rsidRPr="004F1593">
      <w:rPr>
        <w:rFonts w:ascii="C39T30Lfz" w:hAnsi="C39T30Lfz"/>
        <w:sz w:val="56"/>
      </w:rPr>
      <w:t></w:t>
    </w:r>
    <w:r w:rsidRPr="004F1593">
      <w:rPr>
        <w:rFonts w:ascii="C39T30Lfz" w:hAnsi="C39T30Lfz"/>
        <w:sz w:val="56"/>
      </w:rPr>
      <w:t></w:t>
    </w:r>
    <w:r w:rsidRPr="004F1593">
      <w:rPr>
        <w:rFonts w:ascii="C39T30Lfz" w:hAnsi="C39T30Lfz"/>
        <w:sz w:val="56"/>
      </w:rPr>
      <w:t></w:t>
    </w:r>
    <w:r w:rsidRPr="004F159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41" w:rsidRPr="00AC3823" w:rsidRDefault="00BE35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3541" w:rsidRPr="00AC3823" w:rsidRDefault="00BE35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3541" w:rsidRPr="00AC3823" w:rsidRDefault="00BE3541">
      <w:pPr>
        <w:spacing w:line="240" w:lineRule="auto"/>
        <w:rPr>
          <w:sz w:val="2"/>
          <w:szCs w:val="2"/>
        </w:rPr>
      </w:pPr>
    </w:p>
  </w:footnote>
  <w:footnote w:id="2">
    <w:p w:rsidR="007D5AFB" w:rsidRPr="007D5AFB" w:rsidRDefault="007D5AFB">
      <w:pPr>
        <w:pStyle w:val="FootnoteText"/>
      </w:pPr>
      <w:r>
        <w:rPr>
          <w:rStyle w:val="FootnoteReference"/>
        </w:rPr>
        <w:tab/>
      </w:r>
      <w:r w:rsidRPr="007D5AF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93" w:rsidRPr="004F1593" w:rsidRDefault="009937F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92F7F">
      <w:t>ECE/TRANS/WP.29/GRSG/2019/14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93" w:rsidRPr="004F1593" w:rsidRDefault="009937FE" w:rsidP="004F15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2F7F">
      <w:t>ECE/TRANS/WP.29/GRSG/2019/14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41"/>
    <w:rsid w:val="00017F94"/>
    <w:rsid w:val="00023842"/>
    <w:rsid w:val="000334F9"/>
    <w:rsid w:val="000348A7"/>
    <w:rsid w:val="00045FEB"/>
    <w:rsid w:val="0007796D"/>
    <w:rsid w:val="000B7790"/>
    <w:rsid w:val="00111F2F"/>
    <w:rsid w:val="0014365E"/>
    <w:rsid w:val="00143C66"/>
    <w:rsid w:val="00176178"/>
    <w:rsid w:val="001F525A"/>
    <w:rsid w:val="0020425A"/>
    <w:rsid w:val="00223272"/>
    <w:rsid w:val="0024779E"/>
    <w:rsid w:val="00257168"/>
    <w:rsid w:val="002744B8"/>
    <w:rsid w:val="002832AC"/>
    <w:rsid w:val="002A4787"/>
    <w:rsid w:val="002D7C93"/>
    <w:rsid w:val="002F6245"/>
    <w:rsid w:val="00305801"/>
    <w:rsid w:val="003916DE"/>
    <w:rsid w:val="00412EFA"/>
    <w:rsid w:val="00421996"/>
    <w:rsid w:val="00441C3B"/>
    <w:rsid w:val="00443683"/>
    <w:rsid w:val="00446FE5"/>
    <w:rsid w:val="00452396"/>
    <w:rsid w:val="004837D8"/>
    <w:rsid w:val="004A45D9"/>
    <w:rsid w:val="004C1908"/>
    <w:rsid w:val="004E2EED"/>
    <w:rsid w:val="004E468C"/>
    <w:rsid w:val="004F1593"/>
    <w:rsid w:val="005505B7"/>
    <w:rsid w:val="005714FE"/>
    <w:rsid w:val="00573BE5"/>
    <w:rsid w:val="00586ED3"/>
    <w:rsid w:val="00596AA9"/>
    <w:rsid w:val="005B50BE"/>
    <w:rsid w:val="0071601D"/>
    <w:rsid w:val="00792F7F"/>
    <w:rsid w:val="007A62E6"/>
    <w:rsid w:val="007D5AFB"/>
    <w:rsid w:val="007F20FA"/>
    <w:rsid w:val="0080684C"/>
    <w:rsid w:val="0083275B"/>
    <w:rsid w:val="00871C75"/>
    <w:rsid w:val="008776DC"/>
    <w:rsid w:val="008B13AB"/>
    <w:rsid w:val="009446C0"/>
    <w:rsid w:val="009670A7"/>
    <w:rsid w:val="009705C8"/>
    <w:rsid w:val="00972208"/>
    <w:rsid w:val="009937FE"/>
    <w:rsid w:val="009959F5"/>
    <w:rsid w:val="009C1CF4"/>
    <w:rsid w:val="009F6B74"/>
    <w:rsid w:val="00A05B16"/>
    <w:rsid w:val="00A3029F"/>
    <w:rsid w:val="00A30353"/>
    <w:rsid w:val="00A35BA2"/>
    <w:rsid w:val="00A66642"/>
    <w:rsid w:val="00A8487E"/>
    <w:rsid w:val="00AC3823"/>
    <w:rsid w:val="00AD79C2"/>
    <w:rsid w:val="00AE323C"/>
    <w:rsid w:val="00AF0CB5"/>
    <w:rsid w:val="00B00181"/>
    <w:rsid w:val="00B00B0D"/>
    <w:rsid w:val="00B02C41"/>
    <w:rsid w:val="00B45F2E"/>
    <w:rsid w:val="00B765F7"/>
    <w:rsid w:val="00BA0CA9"/>
    <w:rsid w:val="00BE3541"/>
    <w:rsid w:val="00C02897"/>
    <w:rsid w:val="00C97039"/>
    <w:rsid w:val="00D3439C"/>
    <w:rsid w:val="00DB1831"/>
    <w:rsid w:val="00DD3BFD"/>
    <w:rsid w:val="00DF6678"/>
    <w:rsid w:val="00E0299A"/>
    <w:rsid w:val="00E55717"/>
    <w:rsid w:val="00E85C74"/>
    <w:rsid w:val="00EA6547"/>
    <w:rsid w:val="00EF2E22"/>
    <w:rsid w:val="00F35BAF"/>
    <w:rsid w:val="00F5169D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32D1D2-AE42-48F7-9235-B6680D7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ECE/TRANS/WP.29/GRSG/2019/14</vt:lpstr>
      <vt:lpstr>ECE/TRANS/WP.29/GRSG/2019/14</vt:lpstr>
    </vt:vector>
  </TitlesOfParts>
  <Company>DCM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ECE/TRANS/WP.29/GRSG/2019/14</dc:title>
  <dc:subject/>
  <dc:creator>Christine CHAUTAGNAT</dc:creator>
  <cp:keywords/>
  <cp:lastModifiedBy>Benedicte Boudol</cp:lastModifiedBy>
  <cp:revision>2</cp:revision>
  <cp:lastPrinted>2019-02-14T10:22:00Z</cp:lastPrinted>
  <dcterms:created xsi:type="dcterms:W3CDTF">2019-02-14T14:14:00Z</dcterms:created>
  <dcterms:modified xsi:type="dcterms:W3CDTF">2019-02-14T14:14:00Z</dcterms:modified>
</cp:coreProperties>
</file>