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0ACE" w14:textId="48B2A0C6" w:rsidR="002E0C29" w:rsidRPr="00314063" w:rsidRDefault="003F2B28" w:rsidP="00477882">
      <w:pPr>
        <w:pStyle w:val="H1G"/>
        <w:ind w:firstLine="0"/>
        <w:jc w:val="center"/>
        <w:rPr>
          <w:rFonts w:asciiTheme="majorBidi" w:hAnsiTheme="majorBidi" w:cstheme="majorBidi"/>
        </w:rPr>
      </w:pPr>
      <w:bookmarkStart w:id="0" w:name="OLE_LINK2"/>
      <w:bookmarkEnd w:id="0"/>
      <w:r w:rsidRPr="00314063">
        <w:rPr>
          <w:rFonts w:asciiTheme="majorBidi" w:hAnsiTheme="majorBidi" w:cstheme="majorBidi"/>
        </w:rPr>
        <w:t xml:space="preserve">Running order and tentative timetable for the </w:t>
      </w:r>
      <w:r w:rsidR="002E0C26" w:rsidRPr="00314063">
        <w:rPr>
          <w:rFonts w:asciiTheme="majorBidi" w:hAnsiTheme="majorBidi" w:cstheme="majorBidi"/>
        </w:rPr>
        <w:t>8</w:t>
      </w:r>
      <w:r w:rsidR="00FE07AC" w:rsidRPr="00314063">
        <w:rPr>
          <w:rFonts w:asciiTheme="majorBidi" w:hAnsiTheme="majorBidi" w:cstheme="majorBidi"/>
        </w:rPr>
        <w:t>1st</w:t>
      </w:r>
      <w:r w:rsidR="002E0C26" w:rsidRPr="00314063">
        <w:rPr>
          <w:rFonts w:asciiTheme="majorBidi" w:hAnsiTheme="majorBidi" w:cstheme="majorBidi"/>
        </w:rPr>
        <w:t xml:space="preserve"> </w:t>
      </w:r>
      <w:r w:rsidRPr="00314063">
        <w:rPr>
          <w:rFonts w:asciiTheme="majorBidi" w:hAnsiTheme="majorBidi" w:cstheme="majorBidi"/>
        </w:rPr>
        <w:t>session of GR</w:t>
      </w:r>
      <w:r w:rsidR="002E0C26" w:rsidRPr="00314063">
        <w:rPr>
          <w:rFonts w:asciiTheme="majorBidi" w:hAnsiTheme="majorBidi" w:cstheme="majorBidi"/>
        </w:rPr>
        <w:t>E</w:t>
      </w:r>
    </w:p>
    <w:p w14:paraId="646A3DD3" w14:textId="37F56B5F" w:rsidR="003F2B28" w:rsidRPr="00477882" w:rsidRDefault="00477882" w:rsidP="00477882">
      <w:pPr>
        <w:pStyle w:val="SingleTxtG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 xml:space="preserve">The table </w:t>
      </w:r>
      <w:r w:rsidR="00285E11">
        <w:rPr>
          <w:rFonts w:asciiTheme="majorBidi" w:hAnsiTheme="majorBidi" w:cstheme="majorBidi"/>
          <w:sz w:val="20"/>
          <w:szCs w:val="20"/>
        </w:rPr>
        <w:t>below</w:t>
      </w:r>
      <w:r w:rsidRPr="00477882">
        <w:rPr>
          <w:rFonts w:asciiTheme="majorBidi" w:hAnsiTheme="majorBidi" w:cstheme="majorBidi"/>
          <w:sz w:val="20"/>
          <w:szCs w:val="20"/>
        </w:rPr>
        <w:t xml:space="preserve"> provides an informal guidance on the timing for the agenda items proposed in ECE/TRANS/WP.29/GR</w:t>
      </w:r>
      <w:r w:rsidR="00DF7D27">
        <w:rPr>
          <w:rFonts w:asciiTheme="majorBidi" w:hAnsiTheme="majorBidi" w:cstheme="majorBidi"/>
          <w:sz w:val="20"/>
          <w:szCs w:val="20"/>
        </w:rPr>
        <w:t>E</w:t>
      </w:r>
      <w:r w:rsidRPr="00477882">
        <w:rPr>
          <w:rFonts w:asciiTheme="majorBidi" w:hAnsiTheme="majorBidi" w:cstheme="majorBidi"/>
          <w:sz w:val="20"/>
          <w:szCs w:val="20"/>
        </w:rPr>
        <w:t>/201</w:t>
      </w:r>
      <w:r w:rsidR="00FE07AC">
        <w:rPr>
          <w:rFonts w:asciiTheme="majorBidi" w:hAnsiTheme="majorBidi" w:cstheme="majorBidi"/>
          <w:sz w:val="20"/>
          <w:szCs w:val="20"/>
        </w:rPr>
        <w:t>9</w:t>
      </w:r>
      <w:r w:rsidRPr="00477882">
        <w:rPr>
          <w:rFonts w:asciiTheme="majorBidi" w:hAnsiTheme="majorBidi" w:cstheme="majorBidi"/>
          <w:sz w:val="20"/>
          <w:szCs w:val="20"/>
        </w:rPr>
        <w:t>/</w:t>
      </w:r>
      <w:r w:rsidR="002E0C26">
        <w:rPr>
          <w:rFonts w:asciiTheme="majorBidi" w:hAnsiTheme="majorBidi" w:cstheme="majorBidi"/>
          <w:sz w:val="20"/>
          <w:szCs w:val="20"/>
        </w:rPr>
        <w:t>1</w:t>
      </w:r>
      <w:r w:rsidRPr="00477882">
        <w:rPr>
          <w:rFonts w:asciiTheme="majorBidi" w:hAnsiTheme="majorBidi" w:cstheme="majorBidi"/>
          <w:sz w:val="20"/>
          <w:szCs w:val="20"/>
        </w:rPr>
        <w:t xml:space="preserve">. </w:t>
      </w:r>
      <w:r w:rsidR="009C2729" w:rsidRPr="00033D06">
        <w:rPr>
          <w:rFonts w:asciiTheme="majorBidi" w:hAnsiTheme="majorBidi" w:cstheme="majorBidi"/>
          <w:sz w:val="20"/>
          <w:szCs w:val="20"/>
        </w:rPr>
        <w:t xml:space="preserve">Delegates are advised that the </w:t>
      </w:r>
      <w:r w:rsidR="00FE07AC">
        <w:rPr>
          <w:rFonts w:asciiTheme="majorBidi" w:hAnsiTheme="majorBidi" w:cstheme="majorBidi"/>
          <w:sz w:val="20"/>
          <w:szCs w:val="20"/>
        </w:rPr>
        <w:t xml:space="preserve">time </w:t>
      </w:r>
      <w:r w:rsidR="009C2729" w:rsidRPr="00033D06">
        <w:rPr>
          <w:rFonts w:asciiTheme="majorBidi" w:hAnsiTheme="majorBidi" w:cstheme="majorBidi"/>
          <w:sz w:val="20"/>
          <w:szCs w:val="20"/>
        </w:rPr>
        <w:t>necessary for</w:t>
      </w:r>
      <w:r w:rsidR="00FE07AC">
        <w:rPr>
          <w:rFonts w:asciiTheme="majorBidi" w:hAnsiTheme="majorBidi" w:cstheme="majorBidi"/>
          <w:sz w:val="20"/>
          <w:szCs w:val="20"/>
        </w:rPr>
        <w:t xml:space="preserve"> discussing</w:t>
      </w:r>
      <w:r w:rsidR="009C2729" w:rsidRPr="00033D06">
        <w:rPr>
          <w:rFonts w:asciiTheme="majorBidi" w:hAnsiTheme="majorBidi" w:cstheme="majorBidi"/>
          <w:sz w:val="20"/>
          <w:szCs w:val="20"/>
        </w:rPr>
        <w:t xml:space="preserve"> </w:t>
      </w:r>
      <w:r w:rsidR="00FE07AC">
        <w:rPr>
          <w:rFonts w:asciiTheme="majorBidi" w:hAnsiTheme="majorBidi" w:cstheme="majorBidi"/>
          <w:sz w:val="20"/>
          <w:szCs w:val="20"/>
        </w:rPr>
        <w:t xml:space="preserve">various </w:t>
      </w:r>
      <w:r w:rsidR="009C2729" w:rsidRPr="00033D06">
        <w:rPr>
          <w:rFonts w:asciiTheme="majorBidi" w:hAnsiTheme="majorBidi" w:cstheme="majorBidi"/>
          <w:sz w:val="20"/>
          <w:szCs w:val="20"/>
        </w:rPr>
        <w:t>item</w:t>
      </w:r>
      <w:r w:rsidR="002E0C26">
        <w:rPr>
          <w:rFonts w:asciiTheme="majorBidi" w:hAnsiTheme="majorBidi" w:cstheme="majorBidi"/>
          <w:sz w:val="20"/>
          <w:szCs w:val="20"/>
        </w:rPr>
        <w:t>s</w:t>
      </w:r>
      <w:r w:rsidR="009C2729" w:rsidRPr="00033D06">
        <w:rPr>
          <w:rFonts w:asciiTheme="majorBidi" w:hAnsiTheme="majorBidi" w:cstheme="majorBidi"/>
          <w:sz w:val="20"/>
          <w:szCs w:val="20"/>
        </w:rPr>
        <w:t xml:space="preserve"> </w:t>
      </w:r>
      <w:r w:rsidR="00FE07AC">
        <w:rPr>
          <w:rFonts w:asciiTheme="majorBidi" w:hAnsiTheme="majorBidi" w:cstheme="majorBidi"/>
          <w:sz w:val="20"/>
          <w:szCs w:val="20"/>
        </w:rPr>
        <w:t xml:space="preserve">is </w:t>
      </w:r>
      <w:r w:rsidR="009C2729" w:rsidRPr="00033D06">
        <w:rPr>
          <w:rFonts w:asciiTheme="majorBidi" w:hAnsiTheme="majorBidi" w:cstheme="majorBidi"/>
          <w:sz w:val="20"/>
          <w:szCs w:val="20"/>
        </w:rPr>
        <w:t>difficult to predict with certainty</w:t>
      </w:r>
      <w:r w:rsidR="00FE07AC">
        <w:rPr>
          <w:rFonts w:asciiTheme="majorBidi" w:hAnsiTheme="majorBidi" w:cstheme="majorBidi"/>
          <w:sz w:val="20"/>
          <w:szCs w:val="20"/>
        </w:rPr>
        <w:t>. T</w:t>
      </w:r>
      <w:r w:rsidR="009C2729" w:rsidRPr="00033D06">
        <w:rPr>
          <w:rFonts w:asciiTheme="majorBidi" w:hAnsiTheme="majorBidi" w:cstheme="majorBidi"/>
          <w:sz w:val="20"/>
          <w:szCs w:val="20"/>
        </w:rPr>
        <w:t>herefore</w:t>
      </w:r>
      <w:r w:rsidR="00FE07AC">
        <w:rPr>
          <w:rFonts w:asciiTheme="majorBidi" w:hAnsiTheme="majorBidi" w:cstheme="majorBidi"/>
          <w:sz w:val="20"/>
          <w:szCs w:val="20"/>
        </w:rPr>
        <w:t xml:space="preserve">, they </w:t>
      </w:r>
      <w:r w:rsidR="009C2729" w:rsidRPr="00033D06">
        <w:rPr>
          <w:rFonts w:asciiTheme="majorBidi" w:hAnsiTheme="majorBidi" w:cstheme="majorBidi"/>
          <w:sz w:val="20"/>
          <w:szCs w:val="20"/>
        </w:rPr>
        <w:t xml:space="preserve">should be prepared for this schedule to </w:t>
      </w:r>
      <w:r w:rsidRPr="00477882">
        <w:rPr>
          <w:rFonts w:asciiTheme="majorBidi" w:hAnsiTheme="majorBidi" w:cstheme="majorBidi"/>
          <w:sz w:val="20"/>
          <w:szCs w:val="20"/>
        </w:rPr>
        <w:t>change, depending on the work progress made during the session.</w:t>
      </w:r>
    </w:p>
    <w:p w14:paraId="5AD2C24F" w14:textId="77777777" w:rsidR="00477882" w:rsidRPr="003F2B28" w:rsidRDefault="00477882" w:rsidP="003F2B28">
      <w:pPr>
        <w:rPr>
          <w:lang w:eastAsia="en-US"/>
        </w:rPr>
      </w:pPr>
    </w:p>
    <w:tbl>
      <w:tblPr>
        <w:tblW w:w="73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559"/>
        <w:gridCol w:w="3685"/>
      </w:tblGrid>
      <w:tr w:rsidR="00D06D7D" w:rsidRPr="00314063" w14:paraId="1B345430" w14:textId="77777777" w:rsidTr="00F9742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27537CC" w14:textId="77777777" w:rsidR="00D06D7D" w:rsidRPr="00314063" w:rsidRDefault="00D06D7D" w:rsidP="00D06D7D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1406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5EA8AEA" w14:textId="77777777" w:rsidR="00D06D7D" w:rsidRPr="00314063" w:rsidRDefault="00D06D7D" w:rsidP="00D06D7D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1406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E00BDF" w14:textId="11A599FF" w:rsidR="00D06D7D" w:rsidRPr="00314063" w:rsidRDefault="00D06D7D" w:rsidP="00D06D7D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31406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Tentative</w:t>
            </w:r>
            <w:r w:rsidR="00314063" w:rsidRPr="0031406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r w:rsidRPr="0031406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running order</w:t>
            </w:r>
          </w:p>
        </w:tc>
      </w:tr>
      <w:tr w:rsidR="00D06D7D" w:rsidRPr="00314063" w14:paraId="5A83D01D" w14:textId="77777777" w:rsidTr="00B74ADE">
        <w:trPr>
          <w:jc w:val="center"/>
        </w:trPr>
        <w:tc>
          <w:tcPr>
            <w:tcW w:w="2127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14:paraId="418E77AD" w14:textId="26F7C7A2" w:rsidR="00D06D7D" w:rsidRPr="00314063" w:rsidRDefault="00FE07AC" w:rsidP="00B74ADE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Monday</w:t>
            </w:r>
            <w:r w:rsidR="00D06D7D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15 April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14:paraId="1191F135" w14:textId="4E268187" w:rsidR="00D06D7D" w:rsidRPr="00314063" w:rsidRDefault="00D06D7D" w:rsidP="00B74ADE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9.30 - 12.30 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6DF2B10" w14:textId="64A5DEC5" w:rsidR="00D06D7D" w:rsidRPr="00314063" w:rsidRDefault="00D06D7D" w:rsidP="00F9742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Items </w:t>
            </w:r>
            <w:r w:rsidR="00FE07AC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1, </w:t>
            </w:r>
            <w:proofErr w:type="gramStart"/>
            <w:r w:rsidR="00FE07AC" w:rsidRPr="00314063">
              <w:rPr>
                <w:rFonts w:asciiTheme="majorBidi" w:hAnsiTheme="majorBidi" w:cstheme="majorBidi"/>
                <w:sz w:val="20"/>
                <w:szCs w:val="20"/>
              </w:rPr>
              <w:t>2 ,</w:t>
            </w:r>
            <w:proofErr w:type="gramEnd"/>
            <w:r w:rsidR="00FE07AC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 3 and 4 (</w:t>
            </w:r>
            <w:r w:rsidR="00F9742D" w:rsidRPr="00314063">
              <w:rPr>
                <w:rFonts w:asciiTheme="majorBidi" w:hAnsiTheme="majorBidi" w:cstheme="majorBidi"/>
                <w:sz w:val="20"/>
                <w:szCs w:val="20"/>
              </w:rPr>
              <w:t>ECE/TRANS/WP.29/GRE/</w:t>
            </w:r>
            <w:r w:rsidR="00FE07AC" w:rsidRPr="00314063">
              <w:rPr>
                <w:rFonts w:asciiTheme="majorBidi" w:hAnsiTheme="majorBidi" w:cstheme="majorBidi"/>
                <w:sz w:val="20"/>
                <w:szCs w:val="20"/>
              </w:rPr>
              <w:t>2019/7)</w:t>
            </w:r>
          </w:p>
        </w:tc>
      </w:tr>
      <w:tr w:rsidR="00D06D7D" w:rsidRPr="00B74ADE" w14:paraId="5FF705D5" w14:textId="77777777" w:rsidTr="00B74ADE">
        <w:trPr>
          <w:jc w:val="center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D3D76F" w14:textId="77777777" w:rsidR="00D06D7D" w:rsidRPr="00314063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12FC6A36" w14:textId="174D806D" w:rsidR="00D06D7D" w:rsidRPr="00314063" w:rsidRDefault="00FE07AC" w:rsidP="00B74ADE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14</w:t>
            </w:r>
            <w:r w:rsidR="00D06D7D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.30 - </w:t>
            </w:r>
            <w:r w:rsidRPr="00314063">
              <w:rPr>
                <w:rFonts w:asciiTheme="majorBidi" w:hAnsiTheme="majorBidi" w:cstheme="majorBidi"/>
                <w:sz w:val="20"/>
                <w:szCs w:val="20"/>
              </w:rPr>
              <w:t>17</w:t>
            </w:r>
            <w:r w:rsidR="00D06D7D" w:rsidRPr="00314063">
              <w:rPr>
                <w:rFonts w:asciiTheme="majorBidi" w:hAnsiTheme="majorBidi" w:cstheme="majorBidi"/>
                <w:sz w:val="20"/>
                <w:szCs w:val="20"/>
              </w:rPr>
              <w:t>.30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5F0F1073" w14:textId="1CC9902B" w:rsidR="00D06D7D" w:rsidRPr="00B74ADE" w:rsidRDefault="00D06D7D" w:rsidP="00B74ADE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Item 4</w:t>
            </w:r>
            <w:r w:rsidR="00F9742D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 (ECE/TRANS/WP.29/GRE/2019/6 and ECE/TRANS/WP.29/GRE/2019/3)</w:t>
            </w:r>
          </w:p>
        </w:tc>
      </w:tr>
      <w:tr w:rsidR="00D06D7D" w:rsidRPr="00314063" w14:paraId="4432175C" w14:textId="77777777" w:rsidTr="00F9742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14:paraId="22A7B876" w14:textId="245250F4" w:rsidR="00D06D7D" w:rsidRPr="00314063" w:rsidRDefault="00FE07AC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Tuesday</w:t>
            </w:r>
            <w:r w:rsidR="00D06D7D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314063">
              <w:rPr>
                <w:rFonts w:asciiTheme="majorBidi" w:hAnsiTheme="majorBidi" w:cstheme="majorBidi"/>
                <w:sz w:val="20"/>
                <w:szCs w:val="20"/>
              </w:rPr>
              <w:t>16</w:t>
            </w:r>
            <w:r w:rsidR="00D06D7D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14063">
              <w:rPr>
                <w:rFonts w:asciiTheme="majorBidi" w:hAnsiTheme="majorBidi" w:cstheme="majorBidi"/>
                <w:sz w:val="20"/>
                <w:szCs w:val="20"/>
              </w:rPr>
              <w:t>April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75C58EB" w14:textId="774B52F3" w:rsidR="00D06D7D" w:rsidRPr="00314063" w:rsidRDefault="00FE07AC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9.30 - 12.30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14:paraId="4CCBDEE0" w14:textId="308AC5FF" w:rsidR="00D06D7D" w:rsidRPr="00314063" w:rsidRDefault="00F9742D" w:rsidP="00314063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Items 7 (a, </w:t>
            </w:r>
            <w:proofErr w:type="gramStart"/>
            <w:r w:rsidRPr="00314063">
              <w:rPr>
                <w:rFonts w:asciiTheme="majorBidi" w:hAnsiTheme="majorBidi" w:cstheme="majorBidi"/>
                <w:sz w:val="20"/>
                <w:szCs w:val="20"/>
              </w:rPr>
              <w:t>b ,c</w:t>
            </w:r>
            <w:proofErr w:type="gramEnd"/>
            <w:r w:rsidRPr="00314063">
              <w:rPr>
                <w:rFonts w:asciiTheme="majorBidi" w:hAnsiTheme="majorBidi" w:cstheme="majorBidi"/>
                <w:sz w:val="20"/>
                <w:szCs w:val="20"/>
              </w:rPr>
              <w:t>) and 5</w:t>
            </w:r>
          </w:p>
        </w:tc>
      </w:tr>
      <w:tr w:rsidR="00D06D7D" w:rsidRPr="00314063" w14:paraId="7C0679DB" w14:textId="77777777" w:rsidTr="00314063">
        <w:trPr>
          <w:jc w:val="center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B6F20C" w14:textId="77777777" w:rsidR="00D06D7D" w:rsidRPr="00314063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15709718" w14:textId="65CB0B16" w:rsidR="00D06D7D" w:rsidRPr="00314063" w:rsidRDefault="00FE07AC" w:rsidP="00314063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14.30 - 17.30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1B613A4E" w14:textId="4E74D2FB" w:rsidR="00D06D7D" w:rsidRPr="00314063" w:rsidRDefault="00D06D7D" w:rsidP="00314063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Items </w:t>
            </w:r>
            <w:r w:rsidR="00F9742D" w:rsidRPr="00314063">
              <w:rPr>
                <w:rFonts w:asciiTheme="majorBidi" w:hAnsiTheme="majorBidi" w:cstheme="majorBidi"/>
                <w:sz w:val="20"/>
                <w:szCs w:val="20"/>
              </w:rPr>
              <w:t>6 (a) (ECE/TRANS/WP.29/GRE/2019/8), 6 (b) and other documents from 6 (a)</w:t>
            </w:r>
          </w:p>
        </w:tc>
      </w:tr>
      <w:tr w:rsidR="00D06D7D" w:rsidRPr="00314063" w14:paraId="02EE9B71" w14:textId="77777777" w:rsidTr="00F9742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F7DB741" w14:textId="2FEFE520" w:rsidR="00D06D7D" w:rsidRPr="00314063" w:rsidRDefault="00FE07AC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Wednesday</w:t>
            </w:r>
            <w:r w:rsidR="00D06D7D"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314063">
              <w:rPr>
                <w:rFonts w:asciiTheme="majorBidi" w:hAnsiTheme="majorBidi" w:cstheme="majorBidi"/>
                <w:sz w:val="20"/>
                <w:szCs w:val="20"/>
              </w:rPr>
              <w:t>17 April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4EBF348" w14:textId="5F8ECCD7" w:rsidR="00D06D7D" w:rsidRPr="00314063" w:rsidRDefault="00FE07AC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9.30 - 12.30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14:paraId="5AE0F39C" w14:textId="131E5DE0" w:rsidR="00D06D7D" w:rsidRPr="00314063" w:rsidRDefault="00D06D7D" w:rsidP="00F9742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Item </w:t>
            </w:r>
            <w:r w:rsidR="00F9742D" w:rsidRPr="00314063">
              <w:rPr>
                <w:rFonts w:asciiTheme="majorBidi" w:hAnsiTheme="majorBidi" w:cstheme="majorBidi"/>
                <w:sz w:val="20"/>
                <w:szCs w:val="20"/>
              </w:rPr>
              <w:t>6 (b) and other documents from 6 (a)</w:t>
            </w:r>
          </w:p>
        </w:tc>
      </w:tr>
      <w:tr w:rsidR="00D06D7D" w:rsidRPr="00314063" w14:paraId="2DDD4DB1" w14:textId="77777777" w:rsidTr="00F9742D">
        <w:trPr>
          <w:jc w:val="center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16CDE385" w14:textId="77777777" w:rsidR="00D06D7D" w:rsidRPr="00314063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9E11E6" w14:textId="625E024E" w:rsidR="00D06D7D" w:rsidRPr="00314063" w:rsidRDefault="00FE07AC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14.30 - 17.30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12219852" w14:textId="610EC5EF" w:rsidR="00D06D7D" w:rsidRPr="00314063" w:rsidRDefault="00F9742D" w:rsidP="00F9742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Item 6 (b) and other documents from 6 (a)</w:t>
            </w:r>
          </w:p>
        </w:tc>
      </w:tr>
      <w:tr w:rsidR="00FE07AC" w:rsidRPr="00314063" w14:paraId="6E62C91B" w14:textId="77777777" w:rsidTr="00F9742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93BD91B" w14:textId="77777777" w:rsidR="00FE07AC" w:rsidRPr="00314063" w:rsidRDefault="00FE07AC" w:rsidP="00F5089F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Thursday, 18 April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58048C1E" w14:textId="48158869" w:rsidR="00FE07AC" w:rsidRPr="00314063" w:rsidRDefault="00FE07AC" w:rsidP="00F5089F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9.30 - 12.30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14:paraId="4180344A" w14:textId="33CBCD93" w:rsidR="00FE07AC" w:rsidRPr="00314063" w:rsidRDefault="00FE07AC" w:rsidP="00F9742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Items </w:t>
            </w:r>
            <w:r w:rsidR="00F9742D" w:rsidRPr="00314063">
              <w:rPr>
                <w:rFonts w:asciiTheme="majorBidi" w:hAnsiTheme="majorBidi" w:cstheme="majorBidi"/>
                <w:sz w:val="20"/>
                <w:szCs w:val="20"/>
              </w:rPr>
              <w:t>8 and 10</w:t>
            </w:r>
          </w:p>
        </w:tc>
      </w:tr>
      <w:tr w:rsidR="00D06D7D" w:rsidRPr="00314063" w14:paraId="2DAD6982" w14:textId="77777777" w:rsidTr="00F9742D">
        <w:trPr>
          <w:jc w:val="center"/>
        </w:trPr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  <w:hideMark/>
          </w:tcPr>
          <w:p w14:paraId="1DFA5938" w14:textId="7D1EF237" w:rsidR="00D06D7D" w:rsidRPr="00314063" w:rsidRDefault="00D06D7D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nil"/>
            </w:tcBorders>
          </w:tcPr>
          <w:p w14:paraId="283D6B9F" w14:textId="57722A27" w:rsidR="00D06D7D" w:rsidRPr="00314063" w:rsidRDefault="00FE07AC" w:rsidP="00D06D7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>14.30 - 17.30</w:t>
            </w:r>
          </w:p>
        </w:tc>
        <w:tc>
          <w:tcPr>
            <w:tcW w:w="3685" w:type="dxa"/>
            <w:tcBorders>
              <w:left w:val="nil"/>
              <w:bottom w:val="single" w:sz="12" w:space="0" w:color="auto"/>
              <w:right w:val="nil"/>
            </w:tcBorders>
          </w:tcPr>
          <w:p w14:paraId="57568807" w14:textId="19F1FFE1" w:rsidR="00D06D7D" w:rsidRPr="00314063" w:rsidRDefault="00D06D7D" w:rsidP="00F9742D">
            <w:pPr>
              <w:keepNext/>
              <w:keepLines/>
              <w:spacing w:before="120" w:after="120" w:line="240" w:lineRule="auto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314063">
              <w:rPr>
                <w:rFonts w:asciiTheme="majorBidi" w:hAnsiTheme="majorBidi" w:cstheme="majorBidi"/>
                <w:sz w:val="20"/>
                <w:szCs w:val="20"/>
              </w:rPr>
              <w:t xml:space="preserve">Items </w:t>
            </w:r>
            <w:r w:rsidR="00F9742D" w:rsidRPr="00314063">
              <w:rPr>
                <w:rFonts w:asciiTheme="majorBidi" w:hAnsiTheme="majorBidi" w:cstheme="majorBidi"/>
                <w:sz w:val="20"/>
                <w:szCs w:val="20"/>
              </w:rPr>
              <w:t>9 and 11</w:t>
            </w:r>
          </w:p>
        </w:tc>
      </w:tr>
    </w:tbl>
    <w:p w14:paraId="70B56874" w14:textId="77777777" w:rsidR="003F2B28" w:rsidRDefault="003F2B28" w:rsidP="003F2B28">
      <w:pPr>
        <w:spacing w:line="240" w:lineRule="auto"/>
        <w:ind w:left="567" w:right="567"/>
      </w:pPr>
    </w:p>
    <w:p w14:paraId="7A752E3C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843FE1">
      <w:headerReference w:type="first" r:id="rId8"/>
      <w:pgSz w:w="11907" w:h="16840" w:code="9"/>
      <w:pgMar w:top="1701" w:right="1134" w:bottom="2268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87268" w14:textId="77777777" w:rsidR="00314600" w:rsidRDefault="00314600" w:rsidP="00F20403">
      <w:pPr>
        <w:spacing w:after="0" w:line="240" w:lineRule="auto"/>
      </w:pPr>
      <w:r>
        <w:separator/>
      </w:r>
    </w:p>
  </w:endnote>
  <w:endnote w:type="continuationSeparator" w:id="0">
    <w:p w14:paraId="2041CB4C" w14:textId="77777777" w:rsidR="00314600" w:rsidRDefault="00314600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49FA" w14:textId="77777777" w:rsidR="00314600" w:rsidRDefault="00314600" w:rsidP="00F20403">
      <w:pPr>
        <w:spacing w:after="0" w:line="240" w:lineRule="auto"/>
      </w:pPr>
      <w:r>
        <w:separator/>
      </w:r>
    </w:p>
  </w:footnote>
  <w:footnote w:type="continuationSeparator" w:id="0">
    <w:p w14:paraId="268DE973" w14:textId="77777777" w:rsidR="00314600" w:rsidRDefault="00314600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4536"/>
      <w:gridCol w:w="5103"/>
    </w:tblGrid>
    <w:tr w:rsidR="001E1ACC" w:rsidRPr="001E1ACC" w14:paraId="36C89EA3" w14:textId="77777777" w:rsidTr="003C4B74">
      <w:tc>
        <w:tcPr>
          <w:tcW w:w="4536" w:type="dxa"/>
          <w:vAlign w:val="center"/>
        </w:tcPr>
        <w:p w14:paraId="29C261B7" w14:textId="77777777" w:rsidR="001E1ACC" w:rsidRPr="001E1ACC" w:rsidRDefault="001E1ACC" w:rsidP="001E1ACC">
          <w:pPr>
            <w:tabs>
              <w:tab w:val="center" w:pos="4677"/>
              <w:tab w:val="right" w:pos="9355"/>
            </w:tabs>
            <w:spacing w:after="0" w:line="240" w:lineRule="atLeast"/>
            <w:ind w:hanging="108"/>
            <w:rPr>
              <w:rFonts w:ascii="Times New Roman" w:hAnsi="Times New Roman" w:cs="Times New Roman"/>
              <w:lang w:val="en-TT" w:eastAsia="ar-SA"/>
            </w:rPr>
          </w:pPr>
          <w:r w:rsidRPr="001E1ACC">
            <w:rPr>
              <w:rFonts w:ascii="Times New Roman" w:hAnsi="Times New Roman" w:cs="Times New Roman"/>
              <w:lang w:eastAsia="ar-SA"/>
            </w:rPr>
            <w:t>Transmitted by the GRE Chair</w:t>
          </w:r>
        </w:p>
      </w:tc>
      <w:tc>
        <w:tcPr>
          <w:tcW w:w="5103" w:type="dxa"/>
        </w:tcPr>
        <w:p w14:paraId="7F9BE2CB" w14:textId="45A434E2" w:rsidR="001E1ACC" w:rsidRPr="001E1ACC" w:rsidRDefault="001E1ACC" w:rsidP="001E1ACC">
          <w:pPr>
            <w:spacing w:after="0" w:line="240" w:lineRule="atLeast"/>
            <w:ind w:left="1168"/>
            <w:rPr>
              <w:rFonts w:ascii="Times New Roman" w:hAnsi="Times New Roman" w:cs="Times New Roman"/>
              <w:b/>
              <w:bCs/>
              <w:color w:val="000000"/>
              <w:lang w:val="en-TT" w:eastAsia="ar-SA"/>
            </w:rPr>
          </w:pPr>
          <w:r w:rsidRPr="001E1ACC">
            <w:rPr>
              <w:rFonts w:ascii="Times New Roman" w:hAnsi="Times New Roman" w:cs="Times New Roman"/>
              <w:u w:val="single"/>
              <w:lang w:val="en-TT" w:eastAsia="ar-SA"/>
            </w:rPr>
            <w:t>Informal document</w:t>
          </w:r>
          <w:r w:rsidRPr="001E1ACC">
            <w:rPr>
              <w:rFonts w:ascii="Times New Roman" w:hAnsi="Times New Roman" w:cs="Times New Roman"/>
              <w:lang w:val="en-TT" w:eastAsia="ar-SA"/>
            </w:rPr>
            <w:t xml:space="preserve"> </w:t>
          </w:r>
          <w:r w:rsidRPr="001E1ACC">
            <w:rPr>
              <w:rFonts w:ascii="Times New Roman" w:hAnsi="Times New Roman" w:cs="Times New Roman"/>
              <w:b/>
              <w:bCs/>
              <w:lang w:val="en-TT" w:eastAsia="ar-SA"/>
            </w:rPr>
            <w:t>GRE-</w:t>
          </w:r>
          <w:r>
            <w:rPr>
              <w:rFonts w:ascii="Times New Roman" w:hAnsi="Times New Roman" w:cs="Times New Roman"/>
              <w:b/>
              <w:bCs/>
              <w:lang w:val="en-TT" w:eastAsia="ar-SA"/>
            </w:rPr>
            <w:t>8</w:t>
          </w:r>
          <w:r w:rsidR="00FE07AC">
            <w:rPr>
              <w:rFonts w:ascii="Times New Roman" w:hAnsi="Times New Roman" w:cs="Times New Roman"/>
              <w:b/>
              <w:bCs/>
              <w:lang w:val="ru-RU" w:eastAsia="ar-SA"/>
            </w:rPr>
            <w:t>1</w:t>
          </w:r>
          <w:r w:rsidRPr="001E1ACC">
            <w:rPr>
              <w:rFonts w:ascii="Times New Roman" w:hAnsi="Times New Roman" w:cs="Times New Roman"/>
              <w:b/>
              <w:bCs/>
              <w:color w:val="000000"/>
              <w:lang w:val="en-TT" w:eastAsia="ar-SA"/>
            </w:rPr>
            <w:t>-</w:t>
          </w:r>
          <w:r>
            <w:rPr>
              <w:rFonts w:ascii="Times New Roman" w:hAnsi="Times New Roman" w:cs="Times New Roman"/>
              <w:b/>
              <w:bCs/>
              <w:color w:val="000000"/>
              <w:lang w:val="en-TT" w:eastAsia="ar-SA"/>
            </w:rPr>
            <w:t>11</w:t>
          </w:r>
        </w:p>
        <w:p w14:paraId="1D7C30E9" w14:textId="1B7B252A" w:rsidR="001E1ACC" w:rsidRPr="001E1ACC" w:rsidRDefault="001E1ACC" w:rsidP="001E1ACC">
          <w:pPr>
            <w:spacing w:after="0" w:line="240" w:lineRule="atLeast"/>
            <w:ind w:left="1168"/>
            <w:rPr>
              <w:rFonts w:ascii="Times New Roman" w:hAnsi="Times New Roman" w:cs="Times New Roman"/>
              <w:lang w:val="en-TT" w:eastAsia="ar-SA"/>
            </w:rPr>
          </w:pPr>
          <w:r w:rsidRPr="001E1ACC">
            <w:rPr>
              <w:rFonts w:ascii="Times New Roman" w:hAnsi="Times New Roman" w:cs="Times New Roman"/>
              <w:lang w:val="en-TT" w:eastAsia="ar-SA"/>
            </w:rPr>
            <w:t>(</w:t>
          </w:r>
          <w:r>
            <w:rPr>
              <w:rFonts w:ascii="Times New Roman" w:hAnsi="Times New Roman" w:cs="Times New Roman"/>
              <w:lang w:val="en-TT" w:eastAsia="ar-SA"/>
            </w:rPr>
            <w:t>8</w:t>
          </w:r>
          <w:r w:rsidR="00FE07AC">
            <w:rPr>
              <w:rFonts w:ascii="Times New Roman" w:hAnsi="Times New Roman" w:cs="Times New Roman"/>
              <w:lang w:val="ru-RU" w:eastAsia="ar-SA"/>
            </w:rPr>
            <w:t>1</w:t>
          </w:r>
          <w:proofErr w:type="spellStart"/>
          <w:r w:rsidR="00FE07AC">
            <w:rPr>
              <w:rFonts w:ascii="Times New Roman" w:hAnsi="Times New Roman" w:cs="Times New Roman"/>
              <w:lang w:eastAsia="ar-SA"/>
            </w:rPr>
            <w:t>st</w:t>
          </w:r>
          <w:proofErr w:type="spellEnd"/>
          <w:r w:rsidRPr="001E1ACC">
            <w:rPr>
              <w:rFonts w:ascii="Times New Roman" w:hAnsi="Times New Roman" w:cs="Times New Roman"/>
              <w:lang w:val="en-TT" w:eastAsia="ar-SA"/>
            </w:rPr>
            <w:t xml:space="preserve"> GRE, </w:t>
          </w:r>
          <w:r w:rsidR="00FE07AC">
            <w:rPr>
              <w:rFonts w:ascii="Times New Roman" w:hAnsi="Times New Roman" w:cs="Times New Roman"/>
              <w:lang w:val="en-TT" w:eastAsia="ar-SA"/>
            </w:rPr>
            <w:t>15</w:t>
          </w:r>
          <w:r w:rsidRPr="001E1ACC">
            <w:rPr>
              <w:rFonts w:ascii="Times New Roman" w:hAnsi="Times New Roman" w:cs="Times New Roman"/>
              <w:lang w:val="en-TT" w:eastAsia="ar-SA"/>
            </w:rPr>
            <w:t xml:space="preserve"> </w:t>
          </w:r>
          <w:r w:rsidR="00FE07AC">
            <w:rPr>
              <w:rFonts w:ascii="Times New Roman" w:hAnsi="Times New Roman" w:cs="Times New Roman"/>
              <w:lang w:val="en-TT" w:eastAsia="ar-SA"/>
            </w:rPr>
            <w:t>–</w:t>
          </w:r>
          <w:r w:rsidRPr="001E1ACC">
            <w:rPr>
              <w:rFonts w:ascii="Times New Roman" w:hAnsi="Times New Roman" w:cs="Times New Roman"/>
              <w:lang w:val="en-TT" w:eastAsia="ar-SA"/>
            </w:rPr>
            <w:t xml:space="preserve"> </w:t>
          </w:r>
          <w:r w:rsidR="00FE07AC">
            <w:rPr>
              <w:rFonts w:ascii="Times New Roman" w:hAnsi="Times New Roman" w:cs="Times New Roman"/>
              <w:lang w:val="en-TT" w:eastAsia="ar-SA"/>
            </w:rPr>
            <w:t xml:space="preserve">18 April </w:t>
          </w:r>
          <w:r w:rsidRPr="001E1ACC">
            <w:rPr>
              <w:rFonts w:ascii="Times New Roman" w:hAnsi="Times New Roman" w:cs="Times New Roman"/>
              <w:lang w:val="en-TT" w:eastAsia="ar-SA"/>
            </w:rPr>
            <w:t>201</w:t>
          </w:r>
          <w:r w:rsidR="00FE07AC">
            <w:rPr>
              <w:rFonts w:ascii="Times New Roman" w:hAnsi="Times New Roman" w:cs="Times New Roman"/>
              <w:lang w:val="en-TT" w:eastAsia="ar-SA"/>
            </w:rPr>
            <w:t>9</w:t>
          </w:r>
          <w:r w:rsidRPr="001E1ACC">
            <w:rPr>
              <w:rFonts w:ascii="Times New Roman" w:hAnsi="Times New Roman" w:cs="Times New Roman"/>
              <w:lang w:val="en-TT" w:eastAsia="ar-SA"/>
            </w:rPr>
            <w:t>,</w:t>
          </w:r>
        </w:p>
        <w:p w14:paraId="406D28F2" w14:textId="77777777" w:rsidR="001E1ACC" w:rsidRPr="001E1ACC" w:rsidRDefault="001E1ACC" w:rsidP="001E1ACC">
          <w:pPr>
            <w:tabs>
              <w:tab w:val="center" w:pos="4677"/>
              <w:tab w:val="right" w:pos="9355"/>
            </w:tabs>
            <w:spacing w:after="0" w:line="240" w:lineRule="atLeast"/>
            <w:ind w:left="1168"/>
            <w:rPr>
              <w:rFonts w:ascii="Times New Roman" w:hAnsi="Times New Roman" w:cs="Times New Roman"/>
              <w:lang w:val="en-TT" w:eastAsia="ar-SA"/>
            </w:rPr>
          </w:pPr>
          <w:r w:rsidRPr="001E1ACC">
            <w:rPr>
              <w:rFonts w:ascii="Times New Roman" w:hAnsi="Times New Roman" w:cs="Times New Roman"/>
              <w:lang w:val="en-TT" w:eastAsia="ar-SA"/>
            </w:rPr>
            <w:t xml:space="preserve"> agenda item 1)</w:t>
          </w:r>
        </w:p>
      </w:tc>
    </w:tr>
  </w:tbl>
  <w:p w14:paraId="1B046A1A" w14:textId="77777777" w:rsidR="001E1ACC" w:rsidRDefault="001E1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1520C"/>
    <w:rsid w:val="000230AB"/>
    <w:rsid w:val="00033D06"/>
    <w:rsid w:val="000F6828"/>
    <w:rsid w:val="00181B46"/>
    <w:rsid w:val="001E1ACC"/>
    <w:rsid w:val="001E4E91"/>
    <w:rsid w:val="00250033"/>
    <w:rsid w:val="00285E11"/>
    <w:rsid w:val="002E0C26"/>
    <w:rsid w:val="002E0C29"/>
    <w:rsid w:val="00311279"/>
    <w:rsid w:val="00314063"/>
    <w:rsid w:val="00314600"/>
    <w:rsid w:val="00316BFA"/>
    <w:rsid w:val="003220DE"/>
    <w:rsid w:val="00335122"/>
    <w:rsid w:val="003C7F31"/>
    <w:rsid w:val="003D34DC"/>
    <w:rsid w:val="003F2B28"/>
    <w:rsid w:val="0040656D"/>
    <w:rsid w:val="00410F65"/>
    <w:rsid w:val="004242E9"/>
    <w:rsid w:val="00430917"/>
    <w:rsid w:val="00434428"/>
    <w:rsid w:val="00443A17"/>
    <w:rsid w:val="0044549A"/>
    <w:rsid w:val="00470BB8"/>
    <w:rsid w:val="00473718"/>
    <w:rsid w:val="00477882"/>
    <w:rsid w:val="004C2F89"/>
    <w:rsid w:val="004F0E27"/>
    <w:rsid w:val="00525B22"/>
    <w:rsid w:val="00546AB4"/>
    <w:rsid w:val="0056134B"/>
    <w:rsid w:val="00585C5D"/>
    <w:rsid w:val="005A7CFF"/>
    <w:rsid w:val="00696228"/>
    <w:rsid w:val="007168F5"/>
    <w:rsid w:val="00770C34"/>
    <w:rsid w:val="007A7B02"/>
    <w:rsid w:val="0080004B"/>
    <w:rsid w:val="008158FD"/>
    <w:rsid w:val="00830FA2"/>
    <w:rsid w:val="00843FE1"/>
    <w:rsid w:val="008902A4"/>
    <w:rsid w:val="008D2375"/>
    <w:rsid w:val="00910F5A"/>
    <w:rsid w:val="00923020"/>
    <w:rsid w:val="009C2729"/>
    <w:rsid w:val="009E1FD7"/>
    <w:rsid w:val="00AD341B"/>
    <w:rsid w:val="00B15BB6"/>
    <w:rsid w:val="00B218C7"/>
    <w:rsid w:val="00B74ADE"/>
    <w:rsid w:val="00BE1F7F"/>
    <w:rsid w:val="00C047C1"/>
    <w:rsid w:val="00C629D1"/>
    <w:rsid w:val="00C83FFE"/>
    <w:rsid w:val="00CF2DC8"/>
    <w:rsid w:val="00D06D7D"/>
    <w:rsid w:val="00DF7D27"/>
    <w:rsid w:val="00E23AE0"/>
    <w:rsid w:val="00EF145C"/>
    <w:rsid w:val="00F20403"/>
    <w:rsid w:val="00F87F7A"/>
    <w:rsid w:val="00F9742D"/>
    <w:rsid w:val="00FB7594"/>
    <w:rsid w:val="00FE07AC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6BEA084"/>
  <w15:docId w15:val="{3F833EC3-09D9-4C06-A9D2-1546E6D6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0BD1-38B4-4B0B-AB57-8B175624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827</Characters>
  <Application>Microsoft Office Word</Application>
  <DocSecurity>0</DocSecurity>
  <Lines>41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Van Impe</dc:creator>
  <cp:lastModifiedBy>Konstantin Glukhenkiy</cp:lastModifiedBy>
  <cp:revision>5</cp:revision>
  <dcterms:created xsi:type="dcterms:W3CDTF">2019-04-01T15:14:00Z</dcterms:created>
  <dcterms:modified xsi:type="dcterms:W3CDTF">2019-04-01T16:44:00Z</dcterms:modified>
</cp:coreProperties>
</file>