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1E6893" w14:textId="77777777" w:rsidTr="00C97039">
        <w:trPr>
          <w:trHeight w:hRule="exact" w:val="851"/>
        </w:trPr>
        <w:tc>
          <w:tcPr>
            <w:tcW w:w="1276" w:type="dxa"/>
            <w:tcBorders>
              <w:bottom w:val="single" w:sz="4" w:space="0" w:color="auto"/>
            </w:tcBorders>
          </w:tcPr>
          <w:p w14:paraId="3332742C" w14:textId="77777777" w:rsidR="00F35BAF" w:rsidRPr="00DB58B5" w:rsidRDefault="00F35BAF" w:rsidP="00B35F58"/>
        </w:tc>
        <w:tc>
          <w:tcPr>
            <w:tcW w:w="2268" w:type="dxa"/>
            <w:tcBorders>
              <w:bottom w:val="single" w:sz="4" w:space="0" w:color="auto"/>
            </w:tcBorders>
            <w:vAlign w:val="bottom"/>
          </w:tcPr>
          <w:p w14:paraId="319F972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774EFF" w14:textId="77777777" w:rsidR="00F35BAF" w:rsidRPr="00DB58B5" w:rsidRDefault="00B35F58" w:rsidP="00B35F58">
            <w:pPr>
              <w:jc w:val="right"/>
            </w:pPr>
            <w:r w:rsidRPr="00B35F58">
              <w:rPr>
                <w:sz w:val="40"/>
              </w:rPr>
              <w:t>ECE</w:t>
            </w:r>
            <w:r>
              <w:t>/TRANS/WP.29/GRE/2019/22</w:t>
            </w:r>
          </w:p>
        </w:tc>
      </w:tr>
      <w:tr w:rsidR="00F35BAF" w:rsidRPr="00DB58B5" w14:paraId="670B8F26" w14:textId="77777777" w:rsidTr="00C97039">
        <w:trPr>
          <w:trHeight w:hRule="exact" w:val="2835"/>
        </w:trPr>
        <w:tc>
          <w:tcPr>
            <w:tcW w:w="1276" w:type="dxa"/>
            <w:tcBorders>
              <w:top w:val="single" w:sz="4" w:space="0" w:color="auto"/>
              <w:bottom w:val="single" w:sz="12" w:space="0" w:color="auto"/>
            </w:tcBorders>
          </w:tcPr>
          <w:p w14:paraId="179EA460" w14:textId="77777777" w:rsidR="00F35BAF" w:rsidRPr="00DB58B5" w:rsidRDefault="00F35BAF" w:rsidP="00C97039">
            <w:pPr>
              <w:spacing w:before="120"/>
              <w:jc w:val="center"/>
            </w:pPr>
            <w:r>
              <w:rPr>
                <w:noProof/>
                <w:lang w:eastAsia="fr-CH"/>
              </w:rPr>
              <w:drawing>
                <wp:inline distT="0" distB="0" distL="0" distR="0" wp14:anchorId="5D629AC6" wp14:editId="2AD87F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14A99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FBB51A8" w14:textId="77777777" w:rsidR="00F35BAF" w:rsidRDefault="00B35F58" w:rsidP="00C97039">
            <w:pPr>
              <w:spacing w:before="240"/>
            </w:pPr>
            <w:proofErr w:type="spellStart"/>
            <w:r>
              <w:t>Distr</w:t>
            </w:r>
            <w:proofErr w:type="spellEnd"/>
            <w:r>
              <w:t>. générale</w:t>
            </w:r>
          </w:p>
          <w:p w14:paraId="50389CA1" w14:textId="77777777" w:rsidR="00B35F58" w:rsidRDefault="00B35F58" w:rsidP="00B35F58">
            <w:pPr>
              <w:spacing w:line="240" w:lineRule="exact"/>
            </w:pPr>
            <w:r>
              <w:t>7 août 2019</w:t>
            </w:r>
          </w:p>
          <w:p w14:paraId="26DDBD68" w14:textId="77777777" w:rsidR="00B35F58" w:rsidRDefault="00B35F58" w:rsidP="00B35F58">
            <w:pPr>
              <w:spacing w:line="240" w:lineRule="exact"/>
            </w:pPr>
            <w:r>
              <w:t>Français</w:t>
            </w:r>
          </w:p>
          <w:p w14:paraId="23B80E5B" w14:textId="77777777" w:rsidR="00B35F58" w:rsidRPr="00DB58B5" w:rsidRDefault="00B35F58" w:rsidP="00B35F58">
            <w:pPr>
              <w:spacing w:line="240" w:lineRule="exact"/>
            </w:pPr>
            <w:r>
              <w:t>Original : anglais</w:t>
            </w:r>
          </w:p>
        </w:tc>
      </w:tr>
    </w:tbl>
    <w:p w14:paraId="417F99B1" w14:textId="77777777" w:rsidR="007F20FA" w:rsidRPr="000312C0" w:rsidRDefault="007F20FA" w:rsidP="007F20FA">
      <w:pPr>
        <w:spacing w:before="120"/>
        <w:rPr>
          <w:b/>
          <w:sz w:val="28"/>
          <w:szCs w:val="28"/>
        </w:rPr>
      </w:pPr>
      <w:r w:rsidRPr="000312C0">
        <w:rPr>
          <w:b/>
          <w:sz w:val="28"/>
          <w:szCs w:val="28"/>
        </w:rPr>
        <w:t>Commission économique pour l</w:t>
      </w:r>
      <w:r w:rsidR="00227BB0">
        <w:rPr>
          <w:b/>
          <w:sz w:val="28"/>
          <w:szCs w:val="28"/>
        </w:rPr>
        <w:t>’</w:t>
      </w:r>
      <w:r w:rsidRPr="000312C0">
        <w:rPr>
          <w:b/>
          <w:sz w:val="28"/>
          <w:szCs w:val="28"/>
        </w:rPr>
        <w:t>Europe</w:t>
      </w:r>
    </w:p>
    <w:p w14:paraId="573802ED" w14:textId="77777777" w:rsidR="007F20FA" w:rsidRDefault="007F20FA" w:rsidP="007F20FA">
      <w:pPr>
        <w:spacing w:before="120"/>
        <w:rPr>
          <w:sz w:val="28"/>
          <w:szCs w:val="28"/>
        </w:rPr>
      </w:pPr>
      <w:r w:rsidRPr="00685843">
        <w:rPr>
          <w:sz w:val="28"/>
          <w:szCs w:val="28"/>
        </w:rPr>
        <w:t>Comité des transports intérieurs</w:t>
      </w:r>
    </w:p>
    <w:p w14:paraId="1AD51FF5" w14:textId="77777777" w:rsidR="00B35F58" w:rsidRDefault="00B35F58" w:rsidP="00AF0CB5">
      <w:pPr>
        <w:spacing w:before="120"/>
        <w:rPr>
          <w:b/>
          <w:sz w:val="24"/>
          <w:szCs w:val="24"/>
        </w:rPr>
      </w:pPr>
      <w:r w:rsidRPr="00685843">
        <w:rPr>
          <w:b/>
          <w:sz w:val="24"/>
          <w:szCs w:val="24"/>
        </w:rPr>
        <w:t>Forum mondial de l</w:t>
      </w:r>
      <w:r w:rsidR="00227BB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D37B605" w14:textId="77777777" w:rsidR="00B35F58" w:rsidRDefault="00B35F58" w:rsidP="00257168">
      <w:pPr>
        <w:spacing w:before="120" w:after="120" w:line="240" w:lineRule="exact"/>
        <w:rPr>
          <w:b/>
        </w:rPr>
      </w:pPr>
      <w:r>
        <w:rPr>
          <w:b/>
        </w:rPr>
        <w:t>Groupe de travail de l</w:t>
      </w:r>
      <w:r w:rsidR="00227BB0">
        <w:rPr>
          <w:b/>
        </w:rPr>
        <w:t>’</w:t>
      </w:r>
      <w:r>
        <w:rPr>
          <w:b/>
        </w:rPr>
        <w:t>éclairage et de la signalisation lumineuse</w:t>
      </w:r>
    </w:p>
    <w:p w14:paraId="5D4ECA9C" w14:textId="77777777" w:rsidR="00B35F58" w:rsidRDefault="00B35F58" w:rsidP="00257168">
      <w:pPr>
        <w:spacing w:before="120" w:line="240" w:lineRule="exact"/>
        <w:rPr>
          <w:b/>
        </w:rPr>
      </w:pPr>
      <w:r w:rsidRPr="00B35F58">
        <w:rPr>
          <w:b/>
        </w:rPr>
        <w:t>Quatre-vingt-deuxième</w:t>
      </w:r>
      <w:r>
        <w:rPr>
          <w:b/>
        </w:rPr>
        <w:t xml:space="preserve"> session</w:t>
      </w:r>
    </w:p>
    <w:p w14:paraId="32BFB8FC" w14:textId="77777777" w:rsidR="00B35F58" w:rsidRDefault="00B35F58" w:rsidP="00257168">
      <w:pPr>
        <w:spacing w:line="240" w:lineRule="exact"/>
      </w:pPr>
      <w:r>
        <w:t xml:space="preserve">Genève, </w:t>
      </w:r>
      <w:r>
        <w:rPr>
          <w:lang w:val="fr-FR"/>
        </w:rPr>
        <w:t>22-25 octobre 2019</w:t>
      </w:r>
    </w:p>
    <w:p w14:paraId="00286E1F" w14:textId="77777777" w:rsidR="00B35F58" w:rsidRDefault="00B35F58" w:rsidP="00257168">
      <w:pPr>
        <w:spacing w:line="240" w:lineRule="exact"/>
      </w:pPr>
      <w:r>
        <w:t>Point 4 de l</w:t>
      </w:r>
      <w:r w:rsidR="00227BB0">
        <w:t>’</w:t>
      </w:r>
      <w:r>
        <w:t>ordre du jour provisoire</w:t>
      </w:r>
    </w:p>
    <w:p w14:paraId="2A15552F" w14:textId="77777777" w:rsidR="00B35F58" w:rsidRPr="00B35F58" w:rsidRDefault="00B35F58" w:rsidP="00B35F58">
      <w:pPr>
        <w:rPr>
          <w:b/>
        </w:rPr>
      </w:pPr>
      <w:r w:rsidRPr="00B35F58">
        <w:rPr>
          <w:b/>
          <w:lang w:val="fr-FR"/>
        </w:rPr>
        <w:t xml:space="preserve">Simplification des Règlements ONU relatifs </w:t>
      </w:r>
      <w:r>
        <w:rPr>
          <w:b/>
          <w:lang w:val="fr-FR"/>
        </w:rPr>
        <w:br/>
      </w:r>
      <w:r w:rsidRPr="00B35F58">
        <w:rPr>
          <w:b/>
          <w:lang w:val="fr-FR"/>
        </w:rPr>
        <w:t>à l</w:t>
      </w:r>
      <w:r w:rsidR="00227BB0">
        <w:rPr>
          <w:b/>
          <w:lang w:val="fr-FR"/>
        </w:rPr>
        <w:t>’</w:t>
      </w:r>
      <w:r w:rsidRPr="00B35F58">
        <w:rPr>
          <w:b/>
          <w:lang w:val="fr-FR"/>
        </w:rPr>
        <w:t>éclairage et à la signalisation lumineuse</w:t>
      </w:r>
    </w:p>
    <w:p w14:paraId="0F71AF37" w14:textId="77777777" w:rsidR="00B35F58" w:rsidRPr="006E617F" w:rsidRDefault="00B35F58" w:rsidP="00B35F58">
      <w:pPr>
        <w:pStyle w:val="HChG"/>
        <w:rPr>
          <w:szCs w:val="28"/>
        </w:rPr>
      </w:pPr>
      <w:r>
        <w:rPr>
          <w:lang w:val="fr-FR"/>
        </w:rPr>
        <w:tab/>
      </w:r>
      <w:r>
        <w:rPr>
          <w:lang w:val="fr-FR"/>
        </w:rPr>
        <w:tab/>
        <w:t xml:space="preserve">Proposition de </w:t>
      </w:r>
      <w:r w:rsidRPr="00B35F58">
        <w:rPr>
          <w:lang w:val="fr-FR"/>
        </w:rPr>
        <w:t>compléments au nouveau Règlement ONU n</w:t>
      </w:r>
      <w:r w:rsidRPr="00B35F58">
        <w:rPr>
          <w:vertAlign w:val="superscript"/>
          <w:lang w:val="fr-FR"/>
        </w:rPr>
        <w:t>o</w:t>
      </w:r>
      <w:r w:rsidRPr="00B35F58">
        <w:rPr>
          <w:lang w:val="fr-FR"/>
        </w:rPr>
        <w:t> [148] et aux séries 06</w:t>
      </w:r>
      <w:r>
        <w:rPr>
          <w:lang w:val="fr-FR"/>
        </w:rPr>
        <w:t xml:space="preserve"> et [07] d</w:t>
      </w:r>
      <w:r w:rsidR="00227BB0">
        <w:rPr>
          <w:lang w:val="fr-FR"/>
        </w:rPr>
        <w:t>’</w:t>
      </w:r>
      <w:r>
        <w:rPr>
          <w:lang w:val="fr-FR"/>
        </w:rPr>
        <w:t xml:space="preserve">amendements </w:t>
      </w:r>
      <w:r w:rsidR="00227BB0">
        <w:rPr>
          <w:lang w:val="fr-FR"/>
        </w:rPr>
        <w:br/>
      </w:r>
      <w:r>
        <w:rPr>
          <w:lang w:val="fr-FR"/>
        </w:rPr>
        <w:t>au Règlement ONU n</w:t>
      </w:r>
      <w:r>
        <w:rPr>
          <w:vertAlign w:val="superscript"/>
          <w:lang w:val="fr-FR"/>
        </w:rPr>
        <w:t>o</w:t>
      </w:r>
      <w:r w:rsidRPr="00B35F58">
        <w:rPr>
          <w:b w:val="0"/>
          <w:lang w:val="fr-FR"/>
        </w:rPr>
        <w:t> </w:t>
      </w:r>
      <w:r>
        <w:rPr>
          <w:lang w:val="fr-FR"/>
        </w:rPr>
        <w:t>48</w:t>
      </w:r>
    </w:p>
    <w:p w14:paraId="175B8941" w14:textId="77777777" w:rsidR="00B35F58" w:rsidRPr="00525E6C" w:rsidRDefault="00B35F58" w:rsidP="00B35F58">
      <w:pPr>
        <w:pStyle w:val="H1G"/>
        <w:rPr>
          <w:szCs w:val="24"/>
        </w:rPr>
      </w:pPr>
      <w:r>
        <w:rPr>
          <w:lang w:val="fr-FR"/>
        </w:rPr>
        <w:tab/>
      </w:r>
      <w:r>
        <w:rPr>
          <w:lang w:val="fr-FR"/>
        </w:rPr>
        <w:tab/>
        <w:t>Communication de l</w:t>
      </w:r>
      <w:r w:rsidR="00227BB0">
        <w:rPr>
          <w:lang w:val="fr-FR"/>
        </w:rPr>
        <w:t>’</w:t>
      </w:r>
      <w:r>
        <w:rPr>
          <w:lang w:val="fr-FR"/>
        </w:rPr>
        <w:t>expert de l</w:t>
      </w:r>
      <w:r w:rsidR="00227BB0">
        <w:rPr>
          <w:lang w:val="fr-FR"/>
        </w:rPr>
        <w:t>’</w:t>
      </w:r>
      <w:r>
        <w:rPr>
          <w:lang w:val="fr-FR"/>
        </w:rPr>
        <w:t>Allemagne</w:t>
      </w:r>
      <w:r w:rsidRPr="00B35F58">
        <w:rPr>
          <w:rStyle w:val="Appelnotedebasdep"/>
          <w:b w:val="0"/>
          <w:sz w:val="20"/>
          <w:vertAlign w:val="baseline"/>
        </w:rPr>
        <w:footnoteReference w:customMarkFollows="1" w:id="2"/>
        <w:t>*</w:t>
      </w:r>
    </w:p>
    <w:p w14:paraId="2DAD45E6" w14:textId="77777777" w:rsidR="00F9573C" w:rsidRDefault="00B35F58" w:rsidP="00B35F58">
      <w:pPr>
        <w:pStyle w:val="SingleTxtG"/>
        <w:ind w:firstLine="567"/>
        <w:rPr>
          <w:lang w:val="fr-FR"/>
        </w:rPr>
      </w:pPr>
      <w:r>
        <w:rPr>
          <w:lang w:val="fr-FR"/>
        </w:rPr>
        <w:t>Le texte ci-après, établi par l</w:t>
      </w:r>
      <w:r w:rsidR="00227BB0">
        <w:rPr>
          <w:lang w:val="fr-FR"/>
        </w:rPr>
        <w:t>’</w:t>
      </w:r>
      <w:r>
        <w:rPr>
          <w:lang w:val="fr-FR"/>
        </w:rPr>
        <w:t>expert de l</w:t>
      </w:r>
      <w:r w:rsidR="00227BB0">
        <w:rPr>
          <w:lang w:val="fr-FR"/>
        </w:rPr>
        <w:t>’</w:t>
      </w:r>
      <w:r>
        <w:rPr>
          <w:lang w:val="fr-FR"/>
        </w:rPr>
        <w:t>Allemagne, vise à ajouter des prescriptions relatives aux essais sur l</w:t>
      </w:r>
      <w:r w:rsidR="00227BB0">
        <w:rPr>
          <w:lang w:val="fr-FR"/>
        </w:rPr>
        <w:t>’</w:t>
      </w:r>
      <w:r>
        <w:rPr>
          <w:lang w:val="fr-FR"/>
        </w:rPr>
        <w:t>effet du soleil, un phénomène qui peut retarder la perception d</w:t>
      </w:r>
      <w:r w:rsidR="00227BB0">
        <w:rPr>
          <w:lang w:val="fr-FR"/>
        </w:rPr>
        <w:t>’</w:t>
      </w:r>
      <w:r>
        <w:rPr>
          <w:lang w:val="fr-FR"/>
        </w:rPr>
        <w:t xml:space="preserve">un signal au point de poser un grave problème de sécurité si </w:t>
      </w:r>
      <w:r w:rsidRPr="00B709CF">
        <w:rPr>
          <w:lang w:val="fr-FR"/>
        </w:rPr>
        <w:t>l</w:t>
      </w:r>
      <w:r w:rsidR="00227BB0">
        <w:rPr>
          <w:lang w:val="fr-FR"/>
        </w:rPr>
        <w:t>’</w:t>
      </w:r>
      <w:r w:rsidRPr="00B709CF">
        <w:rPr>
          <w:lang w:val="fr-FR"/>
        </w:rPr>
        <w:t xml:space="preserve">éclat </w:t>
      </w:r>
      <w:r>
        <w:rPr>
          <w:lang w:val="fr-FR"/>
        </w:rPr>
        <w:t>du soleil dépasse une certaine intensité. Les modifications qu</w:t>
      </w:r>
      <w:r w:rsidR="00227BB0">
        <w:rPr>
          <w:lang w:val="fr-FR"/>
        </w:rPr>
        <w:t>’</w:t>
      </w:r>
      <w:r>
        <w:rPr>
          <w:lang w:val="fr-FR"/>
        </w:rPr>
        <w:t>il est proposé d</w:t>
      </w:r>
      <w:r w:rsidR="00227BB0">
        <w:rPr>
          <w:lang w:val="fr-FR"/>
        </w:rPr>
        <w:t>’</w:t>
      </w:r>
      <w:r>
        <w:rPr>
          <w:lang w:val="fr-FR"/>
        </w:rPr>
        <w:t>apporter au texte actuel du Règlement figurent en caractères gras pour les ajouts et biffés pour les suppressions.</w:t>
      </w:r>
    </w:p>
    <w:p w14:paraId="6B5F66BD" w14:textId="77777777" w:rsidR="00B35F58" w:rsidRDefault="00B35F58" w:rsidP="00B35F58">
      <w:pPr>
        <w:pStyle w:val="HChG"/>
      </w:pPr>
      <w:r>
        <w:br w:type="page"/>
      </w:r>
      <w:r>
        <w:lastRenderedPageBreak/>
        <w:tab/>
      </w:r>
      <w:r w:rsidR="00227BB0">
        <w:t>I.</w:t>
      </w:r>
      <w:r>
        <w:tab/>
      </w:r>
      <w:r>
        <w:rPr>
          <w:lang w:val="fr-FR"/>
        </w:rPr>
        <w:t>Proposition</w:t>
      </w:r>
    </w:p>
    <w:p w14:paraId="45F546DD" w14:textId="77777777" w:rsidR="00B35F58" w:rsidRPr="00C610F3" w:rsidRDefault="00B35F58" w:rsidP="00B35F58">
      <w:pPr>
        <w:pStyle w:val="H1G"/>
        <w:rPr>
          <w:szCs w:val="24"/>
        </w:rPr>
      </w:pPr>
      <w:r>
        <w:rPr>
          <w:lang w:val="fr-FR"/>
        </w:rPr>
        <w:tab/>
      </w:r>
      <w:r w:rsidR="00227BB0">
        <w:rPr>
          <w:lang w:val="fr-FR"/>
        </w:rPr>
        <w:t>A.</w:t>
      </w:r>
      <w:r>
        <w:rPr>
          <w:lang w:val="fr-FR"/>
        </w:rPr>
        <w:tab/>
        <w:t>Proposition de complément au Règlement ONU n</w:t>
      </w:r>
      <w:r>
        <w:rPr>
          <w:vertAlign w:val="superscript"/>
          <w:lang w:val="fr-FR"/>
        </w:rPr>
        <w:t>o</w:t>
      </w:r>
      <w:r>
        <w:rPr>
          <w:lang w:val="fr-FR"/>
        </w:rPr>
        <w:t> [148]</w:t>
      </w:r>
    </w:p>
    <w:p w14:paraId="6DAC5CD5" w14:textId="77777777" w:rsidR="00B35F58" w:rsidRPr="00B84207" w:rsidRDefault="00B35F58" w:rsidP="00B35F58">
      <w:pPr>
        <w:pStyle w:val="SingleTxtG"/>
      </w:pPr>
      <w:r w:rsidRPr="00B35F58">
        <w:rPr>
          <w:i/>
          <w:lang w:val="fr-FR"/>
        </w:rPr>
        <w:t>Ajouter le nouveau paragraphe 5.5.5</w:t>
      </w:r>
      <w:r>
        <w:rPr>
          <w:lang w:val="fr-FR"/>
        </w:rPr>
        <w:t>, libellé comme suit :</w:t>
      </w:r>
    </w:p>
    <w:p w14:paraId="08723B56" w14:textId="77777777" w:rsidR="00B35F58" w:rsidRPr="00B35F58" w:rsidRDefault="00B35F58" w:rsidP="00B35F58">
      <w:pPr>
        <w:pStyle w:val="SingleTxtG"/>
        <w:ind w:left="2268" w:hanging="1134"/>
        <w:rPr>
          <w:b/>
        </w:rPr>
      </w:pPr>
      <w:r>
        <w:rPr>
          <w:lang w:val="fr-FR"/>
        </w:rPr>
        <w:t>« </w:t>
      </w:r>
      <w:r w:rsidRPr="00B35F58">
        <w:rPr>
          <w:b/>
          <w:lang w:val="fr-FR"/>
        </w:rPr>
        <w:t>5.5.5</w:t>
      </w:r>
      <w:r w:rsidRPr="00B35F58">
        <w:rPr>
          <w:b/>
          <w:lang w:val="fr-FR"/>
        </w:rPr>
        <w:tab/>
      </w:r>
      <w:r w:rsidRPr="00B35F58">
        <w:rPr>
          <w:b/>
          <w:lang w:val="fr-FR"/>
        </w:rPr>
        <w:tab/>
        <w:t>Dans le cas où la glace extérieure est en verre clair et où son taux de transmission de la lumière est supérieur à 40 %, l</w:t>
      </w:r>
      <w:r w:rsidR="00227BB0">
        <w:rPr>
          <w:b/>
          <w:lang w:val="fr-FR"/>
        </w:rPr>
        <w:t>’</w:t>
      </w:r>
      <w:r w:rsidRPr="00B35F58">
        <w:rPr>
          <w:b/>
          <w:lang w:val="fr-FR"/>
        </w:rPr>
        <w:t>effet du soleil (effet fantôme) sur les feux-stop des catégories S1 à S4 doit être mesuré conformément à l</w:t>
      </w:r>
      <w:r w:rsidR="00227BB0">
        <w:rPr>
          <w:b/>
          <w:lang w:val="fr-FR"/>
        </w:rPr>
        <w:t>’</w:t>
      </w:r>
      <w:r w:rsidRPr="00B35F58">
        <w:rPr>
          <w:b/>
          <w:lang w:val="fr-FR"/>
        </w:rPr>
        <w:t>annexe 8 du présent Règlement. S</w:t>
      </w:r>
      <w:r w:rsidR="00227BB0">
        <w:rPr>
          <w:b/>
          <w:lang w:val="fr-FR"/>
        </w:rPr>
        <w:t>’</w:t>
      </w:r>
      <w:r w:rsidRPr="00B35F58">
        <w:rPr>
          <w:b/>
          <w:lang w:val="fr-FR"/>
        </w:rPr>
        <w:t>agissant des catégories S2 et S4 à intensité variable, seule l</w:t>
      </w:r>
      <w:r w:rsidR="00227BB0">
        <w:rPr>
          <w:b/>
          <w:lang w:val="fr-FR"/>
        </w:rPr>
        <w:t>’</w:t>
      </w:r>
      <w:r w:rsidRPr="00B35F58">
        <w:rPr>
          <w:b/>
          <w:lang w:val="fr-FR"/>
        </w:rPr>
        <w:t>intensité la plus forte sera mesurée. Dans le cas d</w:t>
      </w:r>
      <w:r w:rsidR="00227BB0">
        <w:rPr>
          <w:b/>
          <w:lang w:val="fr-FR"/>
        </w:rPr>
        <w:t>’</w:t>
      </w:r>
      <w:r w:rsidRPr="00B35F58">
        <w:rPr>
          <w:b/>
          <w:lang w:val="fr-FR"/>
        </w:rPr>
        <w:t>un feu-stop des catégories S3 ou S4 destiné à être monté à l</w:t>
      </w:r>
      <w:r w:rsidR="00227BB0">
        <w:rPr>
          <w:b/>
          <w:lang w:val="fr-FR"/>
        </w:rPr>
        <w:t>’</w:t>
      </w:r>
      <w:r w:rsidRPr="00B35F58">
        <w:rPr>
          <w:b/>
          <w:lang w:val="fr-FR"/>
        </w:rPr>
        <w:t xml:space="preserve">intérieur du véhicule, le taux de transmission de la glace arrière peut également être pris en compte. Le ratio </w:t>
      </w:r>
      <w:proofErr w:type="spellStart"/>
      <w:r w:rsidRPr="00B35F58">
        <w:rPr>
          <w:b/>
          <w:lang w:val="fr-FR"/>
        </w:rPr>
        <w:t>F</w:t>
      </w:r>
      <w:r w:rsidRPr="00B35F58">
        <w:rPr>
          <w:b/>
          <w:vertAlign w:val="subscript"/>
          <w:lang w:val="fr-FR"/>
        </w:rPr>
        <w:t>ph</w:t>
      </w:r>
      <w:proofErr w:type="spellEnd"/>
      <w:r w:rsidRPr="00B35F58">
        <w:rPr>
          <w:b/>
          <w:lang w:val="fr-FR"/>
        </w:rPr>
        <w:t>, déterminé par des essais en séquence sur la surface de sortie de la lumière du feu, conformément au paragraphe 2 de l</w:t>
      </w:r>
      <w:r w:rsidR="00227BB0">
        <w:rPr>
          <w:b/>
          <w:lang w:val="fr-FR"/>
        </w:rPr>
        <w:t>’</w:t>
      </w:r>
      <w:r w:rsidRPr="00B35F58">
        <w:rPr>
          <w:b/>
          <w:lang w:val="fr-FR"/>
        </w:rPr>
        <w:t>annexe 8, ne doit pas être inférieur à 3.</w:t>
      </w:r>
      <w:bookmarkStart w:id="1" w:name="OLE_LINK1"/>
      <w:bookmarkEnd w:id="1"/>
    </w:p>
    <w:p w14:paraId="215B11B5" w14:textId="77777777" w:rsidR="00B35F58" w:rsidRPr="00B35F58" w:rsidRDefault="00B35F58" w:rsidP="00B35F58">
      <w:pPr>
        <w:pStyle w:val="SingleTxtG"/>
        <w:ind w:left="2268"/>
        <w:rPr>
          <w:b/>
        </w:rPr>
      </w:pPr>
      <w:r w:rsidRPr="00B35F58">
        <w:rPr>
          <w:b/>
          <w:lang w:val="fr-FR"/>
        </w:rPr>
        <w:t>Il incombe au demandeur d</w:t>
      </w:r>
      <w:r w:rsidR="00227BB0">
        <w:rPr>
          <w:b/>
          <w:lang w:val="fr-FR"/>
        </w:rPr>
        <w:t>’</w:t>
      </w:r>
      <w:r w:rsidRPr="00B35F58">
        <w:rPr>
          <w:b/>
          <w:lang w:val="fr-FR"/>
        </w:rPr>
        <w:t>établir le taux de transmission de la glace extérieure et, si le feu est destiné à être monté à l</w:t>
      </w:r>
      <w:r w:rsidR="00227BB0">
        <w:rPr>
          <w:b/>
          <w:lang w:val="fr-FR"/>
        </w:rPr>
        <w:t>’</w:t>
      </w:r>
      <w:r w:rsidRPr="00B35F58">
        <w:rPr>
          <w:b/>
          <w:lang w:val="fr-FR"/>
        </w:rPr>
        <w:t>intérieur du véhicule, celui de la glace arrière, par simulation ou par tout autre moyen de vérification agréé par l</w:t>
      </w:r>
      <w:r w:rsidR="00227BB0">
        <w:rPr>
          <w:b/>
          <w:lang w:val="fr-FR"/>
        </w:rPr>
        <w:t>’</w:t>
      </w:r>
      <w:r w:rsidRPr="00B35F58">
        <w:rPr>
          <w:b/>
          <w:lang w:val="fr-FR"/>
        </w:rPr>
        <w:t>autorité responsable de l</w:t>
      </w:r>
      <w:r w:rsidR="00227BB0">
        <w:rPr>
          <w:b/>
          <w:lang w:val="fr-FR"/>
        </w:rPr>
        <w:t>’</w:t>
      </w:r>
      <w:r w:rsidRPr="00B35F58">
        <w:rPr>
          <w:b/>
          <w:lang w:val="fr-FR"/>
        </w:rPr>
        <w:t>homologation de type.</w:t>
      </w:r>
    </w:p>
    <w:p w14:paraId="3DC320D3" w14:textId="77777777" w:rsidR="00B35F58" w:rsidRPr="00B84207" w:rsidRDefault="00B35F58" w:rsidP="00B35F58">
      <w:pPr>
        <w:pStyle w:val="SingleTxtG"/>
        <w:ind w:left="2268"/>
      </w:pPr>
      <w:r w:rsidRPr="00B35F58">
        <w:rPr>
          <w:b/>
          <w:lang w:val="fr-FR"/>
        </w:rPr>
        <w:t>La réalisation de cette mesure et la température de couleur proximale du projecteur utilisé doivent être mentionnées à la rubrique “Observations” (point 9.4) de la fiche de communication figurant à l</w:t>
      </w:r>
      <w:r w:rsidR="00227BB0">
        <w:rPr>
          <w:b/>
          <w:lang w:val="fr-FR"/>
        </w:rPr>
        <w:t>’</w:t>
      </w:r>
      <w:r w:rsidRPr="00B35F58">
        <w:rPr>
          <w:b/>
          <w:lang w:val="fr-FR"/>
        </w:rPr>
        <w:t>annexe 1.</w:t>
      </w:r>
      <w:r w:rsidR="00227BB0" w:rsidRPr="00227BB0">
        <w:rPr>
          <w:lang w:val="fr-FR"/>
        </w:rPr>
        <w:t> ».</w:t>
      </w:r>
    </w:p>
    <w:p w14:paraId="01CF10DA" w14:textId="77777777" w:rsidR="00B35F58" w:rsidRPr="003B0CEF" w:rsidRDefault="00B35F58" w:rsidP="00B35F58">
      <w:pPr>
        <w:pStyle w:val="SingleTxtG"/>
      </w:pPr>
      <w:r>
        <w:rPr>
          <w:i/>
          <w:iCs/>
          <w:lang w:val="fr-FR"/>
        </w:rPr>
        <w:t>Ajouter le nouveau paragraphe 5.6.12</w:t>
      </w:r>
      <w:r>
        <w:rPr>
          <w:lang w:val="fr-FR"/>
        </w:rPr>
        <w:t>, libellé comme suit :</w:t>
      </w:r>
    </w:p>
    <w:p w14:paraId="7FC638A2" w14:textId="77777777" w:rsidR="00B35F58" w:rsidRPr="00B35F58" w:rsidRDefault="00B35F58" w:rsidP="00B35F58">
      <w:pPr>
        <w:pStyle w:val="SingleTxtG"/>
        <w:ind w:left="2268" w:hanging="1134"/>
        <w:rPr>
          <w:b/>
        </w:rPr>
      </w:pPr>
      <w:r>
        <w:rPr>
          <w:lang w:val="fr-FR"/>
        </w:rPr>
        <w:t>« </w:t>
      </w:r>
      <w:r w:rsidRPr="00B35F58">
        <w:rPr>
          <w:b/>
          <w:lang w:val="fr-FR"/>
        </w:rPr>
        <w:t>5.6.12</w:t>
      </w:r>
      <w:r>
        <w:rPr>
          <w:lang w:val="fr-FR"/>
        </w:rPr>
        <w:tab/>
      </w:r>
      <w:r w:rsidRPr="00B35F58">
        <w:rPr>
          <w:b/>
          <w:lang w:val="fr-FR"/>
        </w:rPr>
        <w:t>Dans le cas où la glace extérieure est en verre clair et où son taux de transmission de la lumière est supérieur à 70</w:t>
      </w:r>
      <w:r w:rsidR="00227BB0">
        <w:rPr>
          <w:b/>
          <w:lang w:val="fr-FR"/>
        </w:rPr>
        <w:t> </w:t>
      </w:r>
      <w:r w:rsidRPr="00B35F58">
        <w:rPr>
          <w:b/>
          <w:lang w:val="fr-FR"/>
        </w:rPr>
        <w:t>%, l</w:t>
      </w:r>
      <w:r w:rsidR="00227BB0">
        <w:rPr>
          <w:b/>
          <w:lang w:val="fr-FR"/>
        </w:rPr>
        <w:t>’</w:t>
      </w:r>
      <w:r w:rsidRPr="00B35F58">
        <w:rPr>
          <w:b/>
          <w:lang w:val="fr-FR"/>
        </w:rPr>
        <w:t>effet du soleil (effet fantôme) sur les feux indicateurs de direction des catégories 2a et 2b doit être mesuré conformément à l</w:t>
      </w:r>
      <w:r w:rsidR="00227BB0">
        <w:rPr>
          <w:b/>
          <w:lang w:val="fr-FR"/>
        </w:rPr>
        <w:t>’</w:t>
      </w:r>
      <w:r w:rsidRPr="00B35F58">
        <w:rPr>
          <w:b/>
          <w:lang w:val="fr-FR"/>
        </w:rPr>
        <w:t>annexe</w:t>
      </w:r>
      <w:r w:rsidR="00227BB0">
        <w:rPr>
          <w:b/>
          <w:lang w:val="fr-FR"/>
        </w:rPr>
        <w:t> </w:t>
      </w:r>
      <w:r w:rsidRPr="00B35F58">
        <w:rPr>
          <w:b/>
          <w:lang w:val="fr-FR"/>
        </w:rPr>
        <w:t>8 du présent Règlement. S</w:t>
      </w:r>
      <w:r w:rsidR="00227BB0">
        <w:rPr>
          <w:b/>
          <w:lang w:val="fr-FR"/>
        </w:rPr>
        <w:t>’</w:t>
      </w:r>
      <w:r w:rsidRPr="00B35F58">
        <w:rPr>
          <w:b/>
          <w:lang w:val="fr-FR"/>
        </w:rPr>
        <w:t>agissant de la catégorie 2b à intensité variable, seule l</w:t>
      </w:r>
      <w:r w:rsidR="00227BB0">
        <w:rPr>
          <w:b/>
          <w:lang w:val="fr-FR"/>
        </w:rPr>
        <w:t>’</w:t>
      </w:r>
      <w:r w:rsidRPr="00B35F58">
        <w:rPr>
          <w:b/>
          <w:lang w:val="fr-FR"/>
        </w:rPr>
        <w:t xml:space="preserve">intensité la plus forte sera mesurée. Le ratio </w:t>
      </w:r>
      <w:proofErr w:type="spellStart"/>
      <w:r w:rsidRPr="00B35F58">
        <w:rPr>
          <w:b/>
          <w:lang w:val="fr-FR"/>
        </w:rPr>
        <w:t>F</w:t>
      </w:r>
      <w:r w:rsidRPr="00B35F58">
        <w:rPr>
          <w:b/>
          <w:vertAlign w:val="subscript"/>
          <w:lang w:val="fr-FR"/>
        </w:rPr>
        <w:t>ph</w:t>
      </w:r>
      <w:proofErr w:type="spellEnd"/>
      <w:r w:rsidRPr="00B35F58">
        <w:rPr>
          <w:b/>
          <w:lang w:val="fr-FR"/>
        </w:rPr>
        <w:t>, déterminé sur la surface de sortie de la lumière du feu, ne doit pas être inférieur à 3.</w:t>
      </w:r>
      <w:bookmarkStart w:id="2" w:name="_Toc473483485"/>
    </w:p>
    <w:p w14:paraId="72779CF5" w14:textId="77777777" w:rsidR="00B35F58" w:rsidRPr="00B35F58" w:rsidRDefault="00B35F58" w:rsidP="00B35F58">
      <w:pPr>
        <w:pStyle w:val="SingleTxtG"/>
        <w:ind w:left="2268"/>
        <w:rPr>
          <w:b/>
        </w:rPr>
      </w:pPr>
      <w:r w:rsidRPr="00B35F58">
        <w:rPr>
          <w:b/>
          <w:lang w:val="fr-FR"/>
        </w:rPr>
        <w:t>Il incombe au demandeur d</w:t>
      </w:r>
      <w:r w:rsidR="00227BB0">
        <w:rPr>
          <w:b/>
          <w:lang w:val="fr-FR"/>
        </w:rPr>
        <w:t>’</w:t>
      </w:r>
      <w:r w:rsidRPr="00B35F58">
        <w:rPr>
          <w:b/>
          <w:lang w:val="fr-FR"/>
        </w:rPr>
        <w:t>établir le taux de transmission de la glace extérieure par l</w:t>
      </w:r>
      <w:r w:rsidR="00227BB0">
        <w:rPr>
          <w:b/>
          <w:lang w:val="fr-FR"/>
        </w:rPr>
        <w:t>’</w:t>
      </w:r>
      <w:r w:rsidRPr="00B35F58">
        <w:rPr>
          <w:b/>
          <w:lang w:val="fr-FR"/>
        </w:rPr>
        <w:t>intermédiaire d</w:t>
      </w:r>
      <w:r w:rsidR="00227BB0">
        <w:rPr>
          <w:b/>
          <w:lang w:val="fr-FR"/>
        </w:rPr>
        <w:t>’</w:t>
      </w:r>
      <w:r w:rsidRPr="00B35F58">
        <w:rPr>
          <w:b/>
          <w:lang w:val="fr-FR"/>
        </w:rPr>
        <w:t>une simulation ou par tout autre moyen de vérification agréé par l</w:t>
      </w:r>
      <w:r w:rsidR="00227BB0">
        <w:rPr>
          <w:b/>
          <w:lang w:val="fr-FR"/>
        </w:rPr>
        <w:t>’</w:t>
      </w:r>
      <w:r w:rsidRPr="00B35F58">
        <w:rPr>
          <w:b/>
          <w:lang w:val="fr-FR"/>
        </w:rPr>
        <w:t>autorité responsable de l</w:t>
      </w:r>
      <w:r w:rsidR="00227BB0">
        <w:rPr>
          <w:b/>
          <w:lang w:val="fr-FR"/>
        </w:rPr>
        <w:t>’</w:t>
      </w:r>
      <w:r w:rsidRPr="00B35F58">
        <w:rPr>
          <w:b/>
          <w:lang w:val="fr-FR"/>
        </w:rPr>
        <w:t>homologation de type.</w:t>
      </w:r>
    </w:p>
    <w:p w14:paraId="71CD4861" w14:textId="77777777" w:rsidR="00B35F58" w:rsidRPr="00B84207" w:rsidRDefault="00B35F58" w:rsidP="00B35F58">
      <w:pPr>
        <w:pStyle w:val="SingleTxtG"/>
        <w:ind w:left="2268"/>
      </w:pPr>
      <w:r w:rsidRPr="00B35F58">
        <w:rPr>
          <w:b/>
          <w:lang w:val="fr-FR"/>
        </w:rPr>
        <w:t>La réalisation de cette mesure et la température de couleur proximale du projecteur utilisé doivent être mentionnées à la rubrique “Observations” (point 9.4) de la fiche de communication figurant à l</w:t>
      </w:r>
      <w:r w:rsidR="00227BB0">
        <w:rPr>
          <w:b/>
          <w:lang w:val="fr-FR"/>
        </w:rPr>
        <w:t>’</w:t>
      </w:r>
      <w:r w:rsidRPr="00B35F58">
        <w:rPr>
          <w:b/>
          <w:lang w:val="fr-FR"/>
        </w:rPr>
        <w:t>annexe 1.</w:t>
      </w:r>
      <w:r>
        <w:rPr>
          <w:b/>
          <w:lang w:val="fr-FR"/>
        </w:rPr>
        <w:t> </w:t>
      </w:r>
      <w:r w:rsidRPr="00B35F58">
        <w:rPr>
          <w:lang w:val="fr-FR"/>
        </w:rPr>
        <w:t>».</w:t>
      </w:r>
    </w:p>
    <w:bookmarkEnd w:id="2"/>
    <w:p w14:paraId="6B5EA84C" w14:textId="77777777" w:rsidR="00B35F58" w:rsidRPr="00B84207" w:rsidRDefault="00B35F58" w:rsidP="00B35F58">
      <w:pPr>
        <w:pStyle w:val="SingleTxtG"/>
        <w:rPr>
          <w:i/>
        </w:rPr>
      </w:pPr>
      <w:r>
        <w:rPr>
          <w:i/>
          <w:iCs/>
          <w:lang w:val="fr-FR"/>
        </w:rPr>
        <w:t>Créer une annexe 8</w:t>
      </w:r>
      <w:r>
        <w:rPr>
          <w:lang w:val="fr-FR"/>
        </w:rPr>
        <w:t>, libellée comme suit :</w:t>
      </w:r>
    </w:p>
    <w:p w14:paraId="296B5D94" w14:textId="77777777" w:rsidR="00B35F58" w:rsidRPr="004B01A0" w:rsidRDefault="00B35F58" w:rsidP="00B35F58">
      <w:pPr>
        <w:pStyle w:val="HChG"/>
      </w:pPr>
      <w:r w:rsidRPr="00B35F58">
        <w:rPr>
          <w:b w:val="0"/>
          <w:sz w:val="20"/>
          <w:lang w:val="fr-FR"/>
        </w:rPr>
        <w:t>«</w:t>
      </w:r>
      <w:r>
        <w:rPr>
          <w:b w:val="0"/>
          <w:sz w:val="20"/>
          <w:lang w:val="fr-FR"/>
        </w:rPr>
        <w:t> </w:t>
      </w:r>
      <w:r>
        <w:rPr>
          <w:lang w:val="fr-FR"/>
        </w:rPr>
        <w:t>Annexe 8</w:t>
      </w:r>
    </w:p>
    <w:p w14:paraId="16F1B4E2" w14:textId="77777777" w:rsidR="00B35F58" w:rsidRPr="004B01A0" w:rsidRDefault="00B35F58" w:rsidP="00B35F58">
      <w:pPr>
        <w:pStyle w:val="HChG"/>
        <w:rPr>
          <w:szCs w:val="28"/>
        </w:rPr>
      </w:pPr>
      <w:r>
        <w:rPr>
          <w:lang w:val="fr-FR"/>
        </w:rPr>
        <w:tab/>
      </w:r>
      <w:r>
        <w:rPr>
          <w:lang w:val="fr-FR"/>
        </w:rPr>
        <w:tab/>
        <w:t>Mesure de l</w:t>
      </w:r>
      <w:r w:rsidR="00227BB0">
        <w:rPr>
          <w:lang w:val="fr-FR"/>
        </w:rPr>
        <w:t>’</w:t>
      </w:r>
      <w:r>
        <w:rPr>
          <w:lang w:val="fr-FR"/>
        </w:rPr>
        <w:t>effet du soleil</w:t>
      </w:r>
    </w:p>
    <w:p w14:paraId="51B50BD5" w14:textId="77777777" w:rsidR="00B35F58" w:rsidRPr="00B35F58" w:rsidRDefault="00B35F58" w:rsidP="00B35F58">
      <w:pPr>
        <w:pStyle w:val="SingleTxtG"/>
        <w:tabs>
          <w:tab w:val="left" w:pos="2268"/>
        </w:tabs>
        <w:rPr>
          <w:b/>
        </w:rPr>
      </w:pPr>
      <w:r w:rsidRPr="00B35F58">
        <w:rPr>
          <w:b/>
          <w:lang w:val="fr-FR"/>
        </w:rPr>
        <w:t>1.</w:t>
      </w:r>
      <w:r w:rsidRPr="00B35F58">
        <w:rPr>
          <w:b/>
          <w:lang w:val="fr-FR"/>
        </w:rPr>
        <w:tab/>
        <w:t>Conditions de mesure</w:t>
      </w:r>
    </w:p>
    <w:p w14:paraId="2993BA08" w14:textId="77777777" w:rsidR="00B35F58" w:rsidRPr="00B35F58" w:rsidRDefault="00B35F58" w:rsidP="00B35F58">
      <w:pPr>
        <w:pStyle w:val="SingleTxtG"/>
        <w:ind w:left="2268"/>
        <w:rPr>
          <w:b/>
          <w:lang w:val="fr-FR"/>
        </w:rPr>
      </w:pPr>
      <w:r w:rsidRPr="00B35F58">
        <w:rPr>
          <w:b/>
          <w:lang w:val="fr-FR"/>
        </w:rPr>
        <w:t>Pour évaluer l</w:t>
      </w:r>
      <w:r w:rsidR="00227BB0">
        <w:rPr>
          <w:b/>
          <w:lang w:val="fr-FR"/>
        </w:rPr>
        <w:t>’</w:t>
      </w:r>
      <w:r w:rsidRPr="00B35F58">
        <w:rPr>
          <w:b/>
          <w:lang w:val="fr-FR"/>
        </w:rPr>
        <w:t xml:space="preserve">effet du soleil (effet fantôme), il convient de prendre les mesures sur le feu avec une source lumineuse, comme prescrit au paragraphe 4.7 du présent Règlement. </w:t>
      </w:r>
    </w:p>
    <w:p w14:paraId="23547B9B" w14:textId="77777777" w:rsidR="00B35F58" w:rsidRPr="00B35F58" w:rsidRDefault="00B35F58" w:rsidP="00B35F58">
      <w:pPr>
        <w:pStyle w:val="SingleTxtG"/>
        <w:ind w:left="2268"/>
        <w:rPr>
          <w:b/>
          <w:lang w:val="fr-FR"/>
        </w:rPr>
      </w:pPr>
      <w:r w:rsidRPr="00B35F58">
        <w:rPr>
          <w:b/>
          <w:lang w:val="fr-FR"/>
        </w:rPr>
        <w:t>Conformément à la figure 1 ci-après, la source lumineuse reproduisant l</w:t>
      </w:r>
      <w:r w:rsidR="00227BB0">
        <w:rPr>
          <w:b/>
          <w:lang w:val="fr-FR"/>
        </w:rPr>
        <w:t>’</w:t>
      </w:r>
      <w:r w:rsidRPr="00B35F58">
        <w:rPr>
          <w:b/>
          <w:lang w:val="fr-FR"/>
        </w:rPr>
        <w:t xml:space="preserve">effet du soleil est une source lumineuse dont la température de couleur proximale est comprise entre 4 500 K et 6 500 K ou une source lumineuse </w:t>
      </w:r>
      <w:r w:rsidRPr="00B35F58">
        <w:rPr>
          <w:b/>
          <w:lang w:val="fr-FR"/>
        </w:rPr>
        <w:lastRenderedPageBreak/>
        <w:t>dont la température de couleur proximale est de 2</w:t>
      </w:r>
      <w:r w:rsidR="00227BB0">
        <w:rPr>
          <w:b/>
          <w:lang w:val="fr-FR"/>
        </w:rPr>
        <w:t> </w:t>
      </w:r>
      <w:r w:rsidRPr="00B35F58">
        <w:rPr>
          <w:b/>
          <w:lang w:val="fr-FR"/>
        </w:rPr>
        <w:t>856 K, ce qui correspond à la source standard A de la CIE (ISO 11664-2:2007(E)/CIE S 014-2/E:2006).</w:t>
      </w:r>
    </w:p>
    <w:p w14:paraId="7B16B3B6" w14:textId="77777777" w:rsidR="00B35F58" w:rsidRPr="00B35F58" w:rsidRDefault="00B35F58" w:rsidP="00B35F58">
      <w:pPr>
        <w:pStyle w:val="SingleTxtG"/>
        <w:ind w:left="2268"/>
        <w:rPr>
          <w:b/>
          <w:lang w:val="fr-FR"/>
        </w:rPr>
      </w:pPr>
      <w:r w:rsidRPr="00B35F58">
        <w:rPr>
          <w:b/>
          <w:lang w:val="fr-FR"/>
        </w:rPr>
        <w:t>La lumière de la source lumineuse doit, au minimum, illuminer la surface de sortie de la lumière de l</w:t>
      </w:r>
      <w:r w:rsidR="00227BB0">
        <w:rPr>
          <w:b/>
          <w:lang w:val="fr-FR"/>
        </w:rPr>
        <w:t>’</w:t>
      </w:r>
      <w:r w:rsidRPr="00B35F58">
        <w:rPr>
          <w:b/>
          <w:lang w:val="fr-FR"/>
        </w:rPr>
        <w:t xml:space="preserve">unité optique avec un éclairement lumineux </w:t>
      </w:r>
      <w:r w:rsidRPr="00227BB0">
        <w:rPr>
          <w:b/>
          <w:i/>
          <w:lang w:val="fr-FR"/>
        </w:rPr>
        <w:t>E</w:t>
      </w:r>
      <w:r w:rsidRPr="00B35F58">
        <w:rPr>
          <w:b/>
          <w:lang w:val="fr-FR"/>
        </w:rPr>
        <w:t xml:space="preserve"> de 40 000 lx et une uniformité de 10 % (dans la surface de sortie de la lumière). </w:t>
      </w:r>
    </w:p>
    <w:p w14:paraId="30F9351E" w14:textId="77777777" w:rsidR="00B35F58" w:rsidRPr="00B35F58" w:rsidRDefault="00B35F58" w:rsidP="00B35F58">
      <w:pPr>
        <w:pStyle w:val="SingleTxtG"/>
        <w:ind w:left="2268"/>
        <w:rPr>
          <w:b/>
          <w:lang w:val="fr-FR"/>
        </w:rPr>
      </w:pPr>
      <w:r w:rsidRPr="00B35F58">
        <w:rPr>
          <w:b/>
          <w:lang w:val="fr-FR"/>
        </w:rPr>
        <w:t>L</w:t>
      </w:r>
      <w:r w:rsidR="00227BB0">
        <w:rPr>
          <w:b/>
          <w:lang w:val="fr-FR"/>
        </w:rPr>
        <w:t>’</w:t>
      </w:r>
      <w:r w:rsidRPr="00B35F58">
        <w:rPr>
          <w:b/>
          <w:lang w:val="fr-FR"/>
        </w:rPr>
        <w:t>axe de référence du feu et l</w:t>
      </w:r>
      <w:r w:rsidR="00227BB0">
        <w:rPr>
          <w:b/>
          <w:lang w:val="fr-FR"/>
        </w:rPr>
        <w:t>’</w:t>
      </w:r>
      <w:r w:rsidRPr="00B35F58">
        <w:rPr>
          <w:b/>
          <w:lang w:val="fr-FR"/>
        </w:rPr>
        <w:t xml:space="preserve">axe du projecteur doivent former un angle de 10°. </w:t>
      </w:r>
    </w:p>
    <w:p w14:paraId="63779E3B" w14:textId="77777777" w:rsidR="00B35F58" w:rsidRPr="00B35F58" w:rsidRDefault="00B35F58" w:rsidP="00B35F58">
      <w:pPr>
        <w:pStyle w:val="SingleTxtG"/>
        <w:ind w:left="2268"/>
        <w:rPr>
          <w:b/>
          <w:lang w:val="fr-FR"/>
        </w:rPr>
      </w:pPr>
      <w:r w:rsidRPr="00B35F58">
        <w:rPr>
          <w:b/>
          <w:lang w:val="fr-FR"/>
        </w:rPr>
        <w:t>Le plan formé par les deux axes doit être un plan vertical fonctionnel. Le projecteur doit être positionné de façon à diffuser la lumière par le dessus du feu de signalisation.</w:t>
      </w:r>
    </w:p>
    <w:p w14:paraId="7EFE3192" w14:textId="77777777" w:rsidR="00B35F58" w:rsidRPr="00352BFD" w:rsidRDefault="00B35F58" w:rsidP="00B35F58">
      <w:pPr>
        <w:pStyle w:val="SingleTxtG"/>
        <w:ind w:left="2268"/>
      </w:pPr>
      <w:r w:rsidRPr="00B35F58">
        <w:rPr>
          <w:b/>
          <w:lang w:val="fr-FR"/>
        </w:rPr>
        <w:t>Si l</w:t>
      </w:r>
      <w:r w:rsidR="00227BB0">
        <w:rPr>
          <w:b/>
          <w:lang w:val="fr-FR"/>
        </w:rPr>
        <w:t>’</w:t>
      </w:r>
      <w:r w:rsidRPr="00B35F58">
        <w:rPr>
          <w:b/>
          <w:lang w:val="fr-FR"/>
        </w:rPr>
        <w:t xml:space="preserve">éclairement lumineux </w:t>
      </w:r>
      <w:r w:rsidRPr="00227BB0">
        <w:rPr>
          <w:b/>
          <w:i/>
          <w:lang w:val="fr-FR"/>
        </w:rPr>
        <w:t>E</w:t>
      </w:r>
      <w:r w:rsidRPr="00227BB0">
        <w:rPr>
          <w:b/>
          <w:vertAlign w:val="subscript"/>
          <w:lang w:val="fr-FR"/>
        </w:rPr>
        <w:t>l</w:t>
      </w:r>
      <w:r w:rsidRPr="00B35F58">
        <w:rPr>
          <w:b/>
          <w:lang w:val="fr-FR"/>
        </w:rPr>
        <w:t xml:space="preserve"> sur la surface de sortie de la lumière du feu ne peut atteindre la valeur d</w:t>
      </w:r>
      <w:r w:rsidR="00227BB0">
        <w:rPr>
          <w:b/>
          <w:lang w:val="fr-FR"/>
        </w:rPr>
        <w:t>’</w:t>
      </w:r>
      <w:r w:rsidRPr="00B35F58">
        <w:rPr>
          <w:b/>
          <w:lang w:val="fr-FR"/>
        </w:rPr>
        <w:t xml:space="preserve">éclairement lumineux </w:t>
      </w:r>
      <w:r w:rsidRPr="00227BB0">
        <w:rPr>
          <w:b/>
          <w:i/>
          <w:lang w:val="fr-FR"/>
        </w:rPr>
        <w:t>E</w:t>
      </w:r>
      <w:r w:rsidRPr="00B35F58">
        <w:rPr>
          <w:b/>
          <w:lang w:val="fr-FR"/>
        </w:rPr>
        <w:t xml:space="preserve"> = 40 000 lx correspondant à l</w:t>
      </w:r>
      <w:r w:rsidR="00227BB0">
        <w:rPr>
          <w:b/>
          <w:lang w:val="fr-FR"/>
        </w:rPr>
        <w:t>’</w:t>
      </w:r>
      <w:r w:rsidRPr="00B35F58">
        <w:rPr>
          <w:b/>
          <w:lang w:val="fr-FR"/>
        </w:rPr>
        <w:t xml:space="preserve">effet du soleil (effet fantôme), la luminance </w:t>
      </w:r>
      <w:proofErr w:type="spellStart"/>
      <w:r w:rsidRPr="00227BB0">
        <w:rPr>
          <w:b/>
          <w:i/>
          <w:lang w:val="fr-FR"/>
        </w:rPr>
        <w:t>L</w:t>
      </w:r>
      <w:r w:rsidRPr="00227BB0">
        <w:rPr>
          <w:b/>
          <w:vertAlign w:val="subscript"/>
          <w:lang w:val="fr-FR"/>
        </w:rPr>
        <w:t>ph</w:t>
      </w:r>
      <w:proofErr w:type="spellEnd"/>
      <w:r w:rsidRPr="00B35F58">
        <w:rPr>
          <w:b/>
          <w:lang w:val="fr-FR"/>
        </w:rPr>
        <w:t xml:space="preserve"> peut également être calculée pour l</w:t>
      </w:r>
      <w:r w:rsidR="00227BB0">
        <w:rPr>
          <w:b/>
          <w:lang w:val="fr-FR"/>
        </w:rPr>
        <w:t>’</w:t>
      </w:r>
      <w:r w:rsidRPr="00B35F58">
        <w:rPr>
          <w:b/>
          <w:lang w:val="fr-FR"/>
        </w:rPr>
        <w:t>éclairement lumineux plus faible</w:t>
      </w:r>
      <w:r w:rsidRPr="00B35F58" w:rsidDel="008E2210">
        <w:rPr>
          <w:b/>
          <w:lang w:val="fr-FR"/>
        </w:rPr>
        <w:t xml:space="preserve"> </w:t>
      </w:r>
      <w:r w:rsidRPr="00227BB0">
        <w:rPr>
          <w:b/>
          <w:i/>
          <w:lang w:val="fr-FR"/>
        </w:rPr>
        <w:t>E</w:t>
      </w:r>
      <w:r w:rsidRPr="00227BB0">
        <w:rPr>
          <w:b/>
          <w:vertAlign w:val="subscript"/>
          <w:lang w:val="fr-FR"/>
        </w:rPr>
        <w:t>l</w:t>
      </w:r>
      <w:r w:rsidRPr="00B35F58">
        <w:rPr>
          <w:b/>
          <w:lang w:val="fr-FR"/>
        </w:rPr>
        <w:t xml:space="preserve"> à partir de la luminance plus faible </w:t>
      </w:r>
      <w:proofErr w:type="spellStart"/>
      <w:r w:rsidRPr="00227BB0">
        <w:rPr>
          <w:b/>
          <w:i/>
          <w:lang w:val="fr-FR"/>
        </w:rPr>
        <w:t>L</w:t>
      </w:r>
      <w:r w:rsidRPr="00227BB0">
        <w:rPr>
          <w:b/>
          <w:vertAlign w:val="subscript"/>
          <w:lang w:val="fr-FR"/>
        </w:rPr>
        <w:t>phl</w:t>
      </w:r>
      <w:proofErr w:type="spellEnd"/>
      <w:r w:rsidRPr="00B35F58">
        <w:rPr>
          <w:b/>
          <w:lang w:val="fr-FR"/>
        </w:rPr>
        <w:t xml:space="preserve"> telle que mesurée, comme suit :</w:t>
      </w:r>
    </w:p>
    <w:p w14:paraId="78C09CB4" w14:textId="77777777" w:rsidR="00B35F58" w:rsidRPr="00B84207" w:rsidRDefault="00B35F58" w:rsidP="00B35F58">
      <w:pPr>
        <w:pStyle w:val="SingleTxtG"/>
        <w:jc w:val="center"/>
      </w:pPr>
      <w:r w:rsidRPr="00B84207">
        <w:rPr>
          <w:lang w:eastAsia="ja-JP"/>
        </w:rPr>
        <w:object w:dxaOrig="2040" w:dyaOrig="680" w14:anchorId="4E9FA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33.5pt" o:ole="">
            <v:imagedata r:id="rId8" o:title=""/>
          </v:shape>
          <o:OLEObject Type="Embed" ProgID="Equation.3" ShapeID="_x0000_i1025" DrawAspect="Content" ObjectID="_1629264198" r:id="rId9"/>
        </w:object>
      </w:r>
    </w:p>
    <w:p w14:paraId="1048B089" w14:textId="77777777" w:rsidR="00B35F58" w:rsidRDefault="00B35F58" w:rsidP="00B35F58">
      <w:pPr>
        <w:pStyle w:val="SingleTxtG"/>
        <w:ind w:left="2268"/>
        <w:rPr>
          <w:iCs/>
        </w:rPr>
      </w:pPr>
      <w:r w:rsidRPr="00B35F58">
        <w:rPr>
          <w:b/>
          <w:lang w:val="fr-FR"/>
        </w:rPr>
        <w:t>Toutefois, l</w:t>
      </w:r>
      <w:r w:rsidR="00227BB0">
        <w:rPr>
          <w:b/>
          <w:lang w:val="fr-FR"/>
        </w:rPr>
        <w:t>’</w:t>
      </w:r>
      <w:r w:rsidRPr="00B35F58">
        <w:rPr>
          <w:b/>
          <w:lang w:val="fr-FR"/>
        </w:rPr>
        <w:t>éclairement lumineux E</w:t>
      </w:r>
      <w:r w:rsidR="00227BB0" w:rsidRPr="00227BB0">
        <w:rPr>
          <w:b/>
          <w:vertAlign w:val="subscript"/>
          <w:lang w:val="fr-FR"/>
        </w:rPr>
        <w:t>l</w:t>
      </w:r>
      <w:r w:rsidRPr="00B35F58">
        <w:rPr>
          <w:b/>
          <w:lang w:val="fr-FR"/>
        </w:rPr>
        <w:t xml:space="preserve"> ne pourra être inférieur à 10 000 lx</w:t>
      </w:r>
      <w:r>
        <w:rPr>
          <w:lang w:val="fr-FR"/>
        </w:rPr>
        <w:t>.</w:t>
      </w:r>
    </w:p>
    <w:p w14:paraId="4FA93715" w14:textId="77777777" w:rsidR="00B35F58" w:rsidRPr="00B35F58" w:rsidRDefault="00B35F58" w:rsidP="00B35F58">
      <w:pPr>
        <w:pStyle w:val="Titre1"/>
        <w:rPr>
          <w:b/>
          <w:iCs/>
        </w:rPr>
      </w:pPr>
      <w:r w:rsidRPr="00B35F58">
        <w:rPr>
          <w:b/>
          <w:lang w:val="fr-FR"/>
        </w:rPr>
        <w:t xml:space="preserve">Figure 1 </w:t>
      </w:r>
      <w:r w:rsidRPr="00B35F58">
        <w:rPr>
          <w:b/>
          <w:lang w:val="fr-FR"/>
        </w:rPr>
        <w:br/>
        <w:t xml:space="preserve">Disposition type pour la mesure de la luminance produite </w:t>
      </w:r>
      <w:r>
        <w:rPr>
          <w:b/>
          <w:lang w:val="fr-FR"/>
        </w:rPr>
        <w:br/>
      </w:r>
      <w:r w:rsidRPr="00B35F58">
        <w:rPr>
          <w:b/>
          <w:lang w:val="fr-FR"/>
        </w:rPr>
        <w:t>par l</w:t>
      </w:r>
      <w:r w:rsidR="00227BB0">
        <w:rPr>
          <w:b/>
          <w:lang w:val="fr-FR"/>
        </w:rPr>
        <w:t>’</w:t>
      </w:r>
      <w:r w:rsidRPr="00B35F58">
        <w:rPr>
          <w:b/>
          <w:lang w:val="fr-FR"/>
        </w:rPr>
        <w:t>effet du soleil (effet fantôme)</w:t>
      </w:r>
    </w:p>
    <w:p w14:paraId="29B30D20" w14:textId="77777777" w:rsidR="00B35F58" w:rsidRPr="00B84207" w:rsidRDefault="00B35F58" w:rsidP="00B35F58">
      <w:pPr>
        <w:rPr>
          <w:i/>
          <w:iCs/>
          <w:lang w:val="it-IT"/>
        </w:rPr>
      </w:pPr>
      <w:r w:rsidRPr="00B84207">
        <w:rPr>
          <w:noProof/>
          <w:lang w:eastAsia="fr-CH"/>
        </w:rPr>
        <mc:AlternateContent>
          <mc:Choice Requires="wps">
            <w:drawing>
              <wp:anchor distT="0" distB="0" distL="114300" distR="114300" simplePos="0" relativeHeight="251657216" behindDoc="0" locked="0" layoutInCell="1" allowOverlap="1" wp14:anchorId="0D85F384" wp14:editId="66DBC26D">
                <wp:simplePos x="0" y="0"/>
                <wp:positionH relativeFrom="column">
                  <wp:posOffset>2667635</wp:posOffset>
                </wp:positionH>
                <wp:positionV relativeFrom="paragraph">
                  <wp:posOffset>1994535</wp:posOffset>
                </wp:positionV>
                <wp:extent cx="1958975" cy="290830"/>
                <wp:effectExtent l="635" t="3810" r="254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DD0F1" w14:textId="77777777" w:rsidR="00B35F58" w:rsidRPr="00183786" w:rsidRDefault="00B35F58" w:rsidP="00B35F58">
                            <w:pPr>
                              <w:rPr>
                                <w:b/>
                              </w:rPr>
                            </w:pPr>
                            <w:r>
                              <w:rPr>
                                <w:b/>
                                <w:bCs/>
                                <w:lang w:val="fr-FR"/>
                              </w:rPr>
                              <w:t>Axe de référence du feu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5F384" id="_x0000_t202" coordsize="21600,21600" o:spt="202" path="m,l,21600r21600,l21600,xe">
                <v:stroke joinstyle="miter"/>
                <v:path gradientshapeok="t" o:connecttype="rect"/>
              </v:shapetype>
              <v:shape id="Textfeld 4" o:spid="_x0000_s1026" type="#_x0000_t202" style="position:absolute;margin-left:210.05pt;margin-top:157.05pt;width:154.25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e0ggIAAA8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" stroked="f">
                <v:textbox>
                  <w:txbxContent>
                    <w:p w14:paraId="200DD0F1" w14:textId="77777777" w:rsidR="00B35F58" w:rsidRPr="00183786" w:rsidRDefault="00B35F58" w:rsidP="00B35F58">
                      <w:pPr>
                        <w:rPr>
                          <w:b/>
                        </w:rPr>
                      </w:pPr>
                      <w:r>
                        <w:rPr>
                          <w:b/>
                          <w:bCs/>
                          <w:lang w:val="fr-FR"/>
                        </w:rPr>
                        <w:t>Axe de référence du feu</w:t>
                      </w:r>
                    </w:p>
                  </w:txbxContent>
                </v:textbox>
              </v:shape>
            </w:pict>
          </mc:Fallback>
        </mc:AlternateContent>
      </w:r>
      <w:r w:rsidRPr="00B84207">
        <w:rPr>
          <w:noProof/>
          <w:lang w:eastAsia="fr-CH"/>
        </w:rPr>
        <mc:AlternateContent>
          <mc:Choice Requires="wps">
            <w:drawing>
              <wp:anchor distT="0" distB="0" distL="114300" distR="114300" simplePos="0" relativeHeight="251659264" behindDoc="0" locked="0" layoutInCell="1" allowOverlap="1" wp14:anchorId="17BEC7A3" wp14:editId="0CFD6B3F">
                <wp:simplePos x="0" y="0"/>
                <wp:positionH relativeFrom="column">
                  <wp:posOffset>3627755</wp:posOffset>
                </wp:positionH>
                <wp:positionV relativeFrom="paragraph">
                  <wp:posOffset>1480185</wp:posOffset>
                </wp:positionV>
                <wp:extent cx="520700" cy="476250"/>
                <wp:effectExtent l="8255" t="51435" r="52070" b="5715"/>
                <wp:wrapNone/>
                <wp:docPr id="5"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7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FF58A" id="_x0000_t32" coordsize="21600,21600" o:spt="32" o:oned="t" path="m,l21600,21600e" filled="f">
                <v:path arrowok="t" fillok="f" o:connecttype="none"/>
                <o:lock v:ext="edit" shapetype="t"/>
              </v:shapetype>
              <v:shape id="Gerade Verbindung mit Pfeil 3" o:spid="_x0000_s1026" type="#_x0000_t32" style="position:absolute;margin-left:285.65pt;margin-top:116.55pt;width:41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">
                <v:stroke endarrow="block"/>
              </v:shape>
            </w:pict>
          </mc:Fallback>
        </mc:AlternateContent>
      </w:r>
      <w:r w:rsidRPr="00B84207">
        <w:rPr>
          <w:i/>
          <w:iCs/>
          <w:noProof/>
          <w:lang w:eastAsia="fr-CH"/>
        </w:rPr>
        <w:drawing>
          <wp:inline distT="0" distB="0" distL="0" distR="0" wp14:anchorId="7107F7BF" wp14:editId="59B84C80">
            <wp:extent cx="5773479" cy="2181225"/>
            <wp:effectExtent l="0" t="0" r="0" b="0"/>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6043" cy="2185972"/>
                    </a:xfrm>
                    <a:prstGeom prst="rect">
                      <a:avLst/>
                    </a:prstGeom>
                    <a:noFill/>
                    <a:ln>
                      <a:noFill/>
                    </a:ln>
                  </pic:spPr>
                </pic:pic>
              </a:graphicData>
            </a:graphic>
          </wp:inline>
        </w:drawing>
      </w:r>
    </w:p>
    <w:p w14:paraId="550B5F10" w14:textId="77777777" w:rsidR="00B35F58" w:rsidRPr="008E6A14" w:rsidRDefault="00B35F58" w:rsidP="008E6A14">
      <w:pPr>
        <w:pStyle w:val="SingleTxtG"/>
        <w:spacing w:before="240" w:after="0"/>
        <w:rPr>
          <w:b/>
        </w:rPr>
      </w:pPr>
      <w:r w:rsidRPr="008E6A14">
        <w:rPr>
          <w:b/>
          <w:lang w:val="fr-FR"/>
        </w:rPr>
        <w:t>Légende :</w:t>
      </w:r>
    </w:p>
    <w:p w14:paraId="304ACBDE" w14:textId="77777777" w:rsidR="00B35F58" w:rsidRPr="008E6A14" w:rsidRDefault="00B35F58" w:rsidP="008E6A14">
      <w:pPr>
        <w:pStyle w:val="SingleTxtG"/>
        <w:spacing w:after="0"/>
        <w:rPr>
          <w:b/>
        </w:rPr>
      </w:pPr>
      <w:r w:rsidRPr="008E6A14">
        <w:rPr>
          <w:b/>
          <w:lang w:val="fr-FR"/>
        </w:rPr>
        <w:t>1. Projecteur</w:t>
      </w:r>
    </w:p>
    <w:p w14:paraId="407BE26F" w14:textId="77777777" w:rsidR="00B35F58" w:rsidRPr="008E6A14" w:rsidRDefault="00B35F58" w:rsidP="008E6A14">
      <w:pPr>
        <w:pStyle w:val="SingleTxtG"/>
        <w:spacing w:after="0"/>
        <w:rPr>
          <w:b/>
        </w:rPr>
      </w:pPr>
      <w:r w:rsidRPr="008E6A14">
        <w:rPr>
          <w:b/>
          <w:lang w:val="fr-FR"/>
        </w:rPr>
        <w:t>2. Feu de signalisation</w:t>
      </w:r>
    </w:p>
    <w:p w14:paraId="6BAA8D8B" w14:textId="77777777" w:rsidR="00B35F58" w:rsidRPr="008E6A14" w:rsidRDefault="00B35F58" w:rsidP="008E6A14">
      <w:pPr>
        <w:pStyle w:val="SingleTxtG"/>
        <w:spacing w:after="0"/>
        <w:rPr>
          <w:b/>
        </w:rPr>
      </w:pPr>
      <w:r w:rsidRPr="008E6A14">
        <w:rPr>
          <w:b/>
          <w:lang w:val="fr-FR"/>
        </w:rPr>
        <w:t>3. Surface de sortie de la lumière</w:t>
      </w:r>
    </w:p>
    <w:p w14:paraId="090509CE" w14:textId="77777777" w:rsidR="00B35F58" w:rsidRPr="00352BFD" w:rsidRDefault="00B35F58" w:rsidP="008E6A14">
      <w:pPr>
        <w:pStyle w:val="SingleTxtG"/>
      </w:pPr>
      <w:r w:rsidRPr="008E6A14">
        <w:rPr>
          <w:b/>
          <w:lang w:val="fr-FR"/>
        </w:rPr>
        <w:t>4. Tête de mesure</w:t>
      </w:r>
    </w:p>
    <w:p w14:paraId="2155E480" w14:textId="77777777" w:rsidR="00B35F58" w:rsidRPr="008E6A14" w:rsidRDefault="00B35F58" w:rsidP="008E6A14">
      <w:pPr>
        <w:pStyle w:val="SingleTxtG"/>
        <w:ind w:left="2268"/>
        <w:rPr>
          <w:b/>
          <w:lang w:val="fr-FR"/>
        </w:rPr>
      </w:pPr>
      <w:r w:rsidRPr="008E6A14">
        <w:rPr>
          <w:b/>
          <w:lang w:val="fr-FR"/>
        </w:rPr>
        <w:t>Les mesures de l</w:t>
      </w:r>
      <w:r w:rsidR="00227BB0">
        <w:rPr>
          <w:b/>
          <w:lang w:val="fr-FR"/>
        </w:rPr>
        <w:t>’</w:t>
      </w:r>
      <w:r w:rsidRPr="008E6A14">
        <w:rPr>
          <w:b/>
          <w:lang w:val="fr-FR"/>
        </w:rPr>
        <w:t>effet du soleil (effet fantôme) dépendent fortement de la géométrie de l</w:t>
      </w:r>
      <w:r w:rsidR="00227BB0">
        <w:rPr>
          <w:b/>
          <w:lang w:val="fr-FR"/>
        </w:rPr>
        <w:t>’</w:t>
      </w:r>
      <w:r w:rsidRPr="008E6A14">
        <w:rPr>
          <w:b/>
          <w:lang w:val="fr-FR"/>
        </w:rPr>
        <w:t xml:space="preserve">opération de mesure. Pour obtenir des mesures comparables, la distance recommandée est de 10 m. </w:t>
      </w:r>
    </w:p>
    <w:p w14:paraId="772BD2F8" w14:textId="77777777" w:rsidR="00B35F58" w:rsidRPr="008E6A14" w:rsidRDefault="00B35F58" w:rsidP="008E6A14">
      <w:pPr>
        <w:pStyle w:val="SingleTxtG"/>
        <w:ind w:left="2268"/>
        <w:rPr>
          <w:b/>
          <w:lang w:val="fr-FR"/>
        </w:rPr>
      </w:pPr>
      <w:r w:rsidRPr="008E6A14">
        <w:rPr>
          <w:b/>
          <w:lang w:val="fr-FR"/>
        </w:rPr>
        <w:t>Cette distance peut être raccourcie à condition que les exigences d</w:t>
      </w:r>
      <w:r w:rsidR="00227BB0">
        <w:rPr>
          <w:b/>
          <w:lang w:val="fr-FR"/>
        </w:rPr>
        <w:t>’</w:t>
      </w:r>
      <w:r w:rsidRPr="008E6A14">
        <w:rPr>
          <w:b/>
          <w:lang w:val="fr-FR"/>
        </w:rPr>
        <w:t>uniformité de l</w:t>
      </w:r>
      <w:r w:rsidR="00227BB0">
        <w:rPr>
          <w:b/>
          <w:lang w:val="fr-FR"/>
        </w:rPr>
        <w:t>’</w:t>
      </w:r>
      <w:r w:rsidRPr="008E6A14">
        <w:rPr>
          <w:b/>
          <w:lang w:val="fr-FR"/>
        </w:rPr>
        <w:t>éclairage produit par le projecteur soient respectées, de même que tous les autres paramètres mentionnés dans la présente annexe, et que le mode d</w:t>
      </w:r>
      <w:r w:rsidR="00227BB0">
        <w:rPr>
          <w:b/>
          <w:lang w:val="fr-FR"/>
        </w:rPr>
        <w:t>’</w:t>
      </w:r>
      <w:r w:rsidRPr="008E6A14">
        <w:rPr>
          <w:b/>
          <w:lang w:val="fr-FR"/>
        </w:rPr>
        <w:t>emploi de la tête de mesure le permette.</w:t>
      </w:r>
    </w:p>
    <w:p w14:paraId="67497771" w14:textId="77777777" w:rsidR="00B35F58" w:rsidRPr="008E6A14" w:rsidRDefault="00B35F58" w:rsidP="008E6A14">
      <w:pPr>
        <w:pStyle w:val="SingleTxtG"/>
        <w:ind w:left="2268"/>
        <w:rPr>
          <w:b/>
          <w:lang w:val="fr-FR"/>
        </w:rPr>
      </w:pPr>
      <w:r w:rsidRPr="008E6A14">
        <w:rPr>
          <w:b/>
          <w:lang w:val="fr-FR"/>
        </w:rPr>
        <w:t>La tête de mesure utilisée pour déterminer la luminance doit être placée de telle sorte que l</w:t>
      </w:r>
      <w:r w:rsidR="00227BB0">
        <w:rPr>
          <w:b/>
          <w:lang w:val="fr-FR"/>
        </w:rPr>
        <w:t>’</w:t>
      </w:r>
      <w:r w:rsidRPr="008E6A14">
        <w:rPr>
          <w:b/>
          <w:lang w:val="fr-FR"/>
        </w:rPr>
        <w:t>axe de référence du feu et l</w:t>
      </w:r>
      <w:r w:rsidR="00227BB0">
        <w:rPr>
          <w:b/>
          <w:lang w:val="fr-FR"/>
        </w:rPr>
        <w:t>’</w:t>
      </w:r>
      <w:r w:rsidRPr="008E6A14">
        <w:rPr>
          <w:b/>
          <w:lang w:val="fr-FR"/>
        </w:rPr>
        <w:t xml:space="preserve">axe de la tête de mesure coïncident. </w:t>
      </w:r>
    </w:p>
    <w:p w14:paraId="087813EE" w14:textId="77777777" w:rsidR="00B35F58" w:rsidRPr="008E6A14" w:rsidRDefault="008E6A14" w:rsidP="008E6A14">
      <w:pPr>
        <w:pStyle w:val="SingleTxtG"/>
        <w:tabs>
          <w:tab w:val="left" w:pos="2268"/>
        </w:tabs>
        <w:rPr>
          <w:b/>
          <w:lang w:val="fr-FR"/>
        </w:rPr>
      </w:pPr>
      <w:r>
        <w:rPr>
          <w:b/>
          <w:lang w:val="fr-FR"/>
        </w:rPr>
        <w:lastRenderedPageBreak/>
        <w:t>2.</w:t>
      </w:r>
      <w:r>
        <w:rPr>
          <w:b/>
          <w:lang w:val="fr-FR"/>
        </w:rPr>
        <w:tab/>
      </w:r>
      <w:r w:rsidR="00B35F58" w:rsidRPr="008E6A14">
        <w:rPr>
          <w:b/>
          <w:lang w:val="fr-FR"/>
        </w:rPr>
        <w:t>Les mesures doivent être réalisées selon la procédure suivante :</w:t>
      </w:r>
    </w:p>
    <w:p w14:paraId="01A137D4" w14:textId="77777777" w:rsidR="00B35F58" w:rsidRPr="008E6A14" w:rsidRDefault="008E6A14" w:rsidP="008E6A14">
      <w:pPr>
        <w:pStyle w:val="SingleTxtG"/>
        <w:tabs>
          <w:tab w:val="left" w:pos="2268"/>
        </w:tabs>
        <w:ind w:left="2268" w:hanging="1134"/>
        <w:rPr>
          <w:b/>
          <w:lang w:val="fr-FR"/>
        </w:rPr>
      </w:pPr>
      <w:r>
        <w:rPr>
          <w:b/>
          <w:lang w:val="fr-FR"/>
        </w:rPr>
        <w:t>2.1</w:t>
      </w:r>
      <w:r>
        <w:rPr>
          <w:b/>
          <w:lang w:val="fr-FR"/>
        </w:rPr>
        <w:tab/>
      </w:r>
      <w:r w:rsidR="00B35F58" w:rsidRPr="008E6A14">
        <w:rPr>
          <w:b/>
          <w:lang w:val="fr-FR"/>
        </w:rPr>
        <w:t xml:space="preserve">En premier lieu, il convient de mesurer la surface de sortie de la lumière du feu avec : </w:t>
      </w:r>
    </w:p>
    <w:p w14:paraId="20E7737E" w14:textId="77777777" w:rsidR="00B35F58" w:rsidRPr="008E6A14" w:rsidRDefault="008E6A14" w:rsidP="008E6A14">
      <w:pPr>
        <w:pStyle w:val="SingleTxtG"/>
        <w:ind w:left="2268"/>
        <w:rPr>
          <w:b/>
          <w:lang w:val="fr-FR"/>
        </w:rPr>
      </w:pPr>
      <w:r w:rsidRPr="008E6A14">
        <w:rPr>
          <w:b/>
          <w:lang w:val="fr-FR"/>
        </w:rPr>
        <w:t>–</w:t>
      </w:r>
      <w:r>
        <w:rPr>
          <w:b/>
          <w:lang w:val="fr-FR"/>
        </w:rPr>
        <w:tab/>
      </w:r>
      <w:r w:rsidR="00B35F58" w:rsidRPr="008E6A14">
        <w:rPr>
          <w:b/>
          <w:lang w:val="fr-FR"/>
        </w:rPr>
        <w:t>Le feu allumé ; et</w:t>
      </w:r>
    </w:p>
    <w:p w14:paraId="6A467A72" w14:textId="77777777" w:rsidR="00B35F58" w:rsidRPr="008E6A14" w:rsidRDefault="008E6A14" w:rsidP="008E6A14">
      <w:pPr>
        <w:pStyle w:val="SingleTxtG"/>
        <w:ind w:left="2268"/>
        <w:rPr>
          <w:b/>
          <w:lang w:val="fr-FR"/>
        </w:rPr>
      </w:pPr>
      <w:r w:rsidRPr="005C51C1">
        <w:rPr>
          <w:rFonts w:eastAsia="Calibri"/>
          <w:b/>
        </w:rPr>
        <w:t>–</w:t>
      </w:r>
      <w:r>
        <w:rPr>
          <w:rFonts w:eastAsia="Calibri"/>
          <w:b/>
        </w:rPr>
        <w:tab/>
      </w:r>
      <w:r w:rsidR="00B35F58" w:rsidRPr="008E6A14">
        <w:rPr>
          <w:b/>
          <w:lang w:val="fr-FR"/>
        </w:rPr>
        <w:t xml:space="preserve">Le projecteur éteint. </w:t>
      </w:r>
    </w:p>
    <w:p w14:paraId="2CD44C4E" w14:textId="77777777" w:rsidR="00B35F58" w:rsidRPr="00387BA6" w:rsidRDefault="00387BA6" w:rsidP="00387BA6">
      <w:pPr>
        <w:pStyle w:val="SingleTxtG"/>
        <w:tabs>
          <w:tab w:val="left" w:pos="2268"/>
        </w:tabs>
        <w:ind w:left="2268" w:hanging="1134"/>
        <w:rPr>
          <w:b/>
          <w:lang w:val="fr-FR"/>
        </w:rPr>
      </w:pPr>
      <w:r>
        <w:rPr>
          <w:b/>
          <w:lang w:val="fr-FR"/>
        </w:rPr>
        <w:t>2.2</w:t>
      </w:r>
      <w:r>
        <w:rPr>
          <w:b/>
          <w:lang w:val="fr-FR"/>
        </w:rPr>
        <w:tab/>
      </w:r>
      <w:r w:rsidR="00B35F58" w:rsidRPr="00387BA6">
        <w:rPr>
          <w:b/>
          <w:lang w:val="fr-FR"/>
        </w:rPr>
        <w:t xml:space="preserve">En deuxième lieu, il convient de mesurer la luminance moyenne </w:t>
      </w:r>
      <w:r w:rsidR="00B35F58" w:rsidRPr="00227BB0">
        <w:rPr>
          <w:b/>
          <w:i/>
          <w:lang w:val="fr-FR"/>
        </w:rPr>
        <w:t>L</w:t>
      </w:r>
      <w:r w:rsidR="00B35F58" w:rsidRPr="00227BB0">
        <w:rPr>
          <w:b/>
          <w:vertAlign w:val="subscript"/>
          <w:lang w:val="fr-FR"/>
        </w:rPr>
        <w:t>S</w:t>
      </w:r>
      <w:r w:rsidR="00B35F58" w:rsidRPr="00387BA6">
        <w:rPr>
          <w:b/>
          <w:lang w:val="fr-FR"/>
        </w:rPr>
        <w:t xml:space="preserve"> de la surface de sortie de la lumière du feu telle que déterminée au paragraphe</w:t>
      </w:r>
      <w:r>
        <w:rPr>
          <w:b/>
          <w:lang w:val="fr-FR"/>
        </w:rPr>
        <w:t> </w:t>
      </w:r>
      <w:r w:rsidR="00B35F58" w:rsidRPr="00387BA6">
        <w:rPr>
          <w:b/>
          <w:lang w:val="fr-FR"/>
        </w:rPr>
        <w:t>2.1 avec :</w:t>
      </w:r>
    </w:p>
    <w:p w14:paraId="6780293F" w14:textId="77777777" w:rsidR="00B35F58" w:rsidRPr="00FA5855" w:rsidRDefault="00FA5855" w:rsidP="00FA5855">
      <w:pPr>
        <w:pStyle w:val="SingleTxtG"/>
        <w:ind w:left="2268"/>
        <w:rPr>
          <w:b/>
          <w:lang w:val="fr-FR"/>
        </w:rPr>
      </w:pPr>
      <w:r w:rsidRPr="005C51C1">
        <w:rPr>
          <w:rFonts w:eastAsia="Calibri"/>
          <w:b/>
        </w:rPr>
        <w:t>–</w:t>
      </w:r>
      <w:r>
        <w:rPr>
          <w:rFonts w:eastAsia="Calibri"/>
          <w:b/>
        </w:rPr>
        <w:tab/>
      </w:r>
      <w:r w:rsidR="00B35F58" w:rsidRPr="00FA5855">
        <w:rPr>
          <w:b/>
          <w:lang w:val="fr-FR"/>
        </w:rPr>
        <w:t>Le feu (fonction) allumé ; et</w:t>
      </w:r>
    </w:p>
    <w:p w14:paraId="3ABB38B8" w14:textId="77777777" w:rsidR="00B35F58" w:rsidRPr="00933F0C" w:rsidRDefault="00FA5855" w:rsidP="00FA5855">
      <w:pPr>
        <w:pStyle w:val="SingleTxtG"/>
        <w:ind w:left="2268"/>
        <w:rPr>
          <w:sz w:val="24"/>
        </w:rPr>
      </w:pPr>
      <w:r w:rsidRPr="005C51C1">
        <w:rPr>
          <w:rFonts w:eastAsia="Calibri"/>
          <w:b/>
        </w:rPr>
        <w:t>–</w:t>
      </w:r>
      <w:r>
        <w:rPr>
          <w:rFonts w:eastAsia="Calibri"/>
          <w:b/>
        </w:rPr>
        <w:tab/>
      </w:r>
      <w:r w:rsidR="00B35F58" w:rsidRPr="00FA5855">
        <w:rPr>
          <w:b/>
          <w:lang w:val="fr-FR"/>
        </w:rPr>
        <w:t>Le projecteur éteint.</w:t>
      </w:r>
      <w:r w:rsidR="00B35F58" w:rsidRPr="00933F0C">
        <w:rPr>
          <w:sz w:val="24"/>
          <w:lang w:val="fr-FR"/>
        </w:rPr>
        <w:t xml:space="preserve"> </w:t>
      </w:r>
    </w:p>
    <w:p w14:paraId="3B7BB4B9" w14:textId="77777777" w:rsidR="00B35F58" w:rsidRPr="00FA5855" w:rsidRDefault="00FA5855" w:rsidP="00FA5855">
      <w:pPr>
        <w:pStyle w:val="SingleTxtG"/>
        <w:tabs>
          <w:tab w:val="left" w:pos="2268"/>
        </w:tabs>
        <w:ind w:left="2268" w:hanging="1134"/>
        <w:rPr>
          <w:b/>
          <w:lang w:val="fr-FR"/>
        </w:rPr>
      </w:pPr>
      <w:r>
        <w:rPr>
          <w:b/>
          <w:lang w:val="fr-FR"/>
        </w:rPr>
        <w:t>2.3</w:t>
      </w:r>
      <w:r>
        <w:rPr>
          <w:b/>
          <w:lang w:val="fr-FR"/>
        </w:rPr>
        <w:tab/>
      </w:r>
      <w:r w:rsidR="00B35F58" w:rsidRPr="00FA5855">
        <w:rPr>
          <w:b/>
          <w:lang w:val="fr-FR"/>
        </w:rPr>
        <w:t xml:space="preserve">En troisième lieu, il convient de mesurer la luminance moyenne </w:t>
      </w:r>
      <w:proofErr w:type="spellStart"/>
      <w:r w:rsidR="00B35F58" w:rsidRPr="00227BB0">
        <w:rPr>
          <w:b/>
          <w:i/>
          <w:lang w:val="fr-FR"/>
        </w:rPr>
        <w:t>L</w:t>
      </w:r>
      <w:r w:rsidR="00B35F58" w:rsidRPr="00FA5855">
        <w:rPr>
          <w:b/>
          <w:vertAlign w:val="subscript"/>
          <w:lang w:val="fr-FR"/>
        </w:rPr>
        <w:t>ph</w:t>
      </w:r>
      <w:proofErr w:type="spellEnd"/>
      <w:r w:rsidR="00B35F58" w:rsidRPr="00FA5855">
        <w:rPr>
          <w:b/>
          <w:lang w:val="fr-FR"/>
        </w:rPr>
        <w:t xml:space="preserve"> de la surface de sortie de la lumière du feu telle que déterminée au paragraphe 2.1 avec : </w:t>
      </w:r>
    </w:p>
    <w:p w14:paraId="13D0FACC" w14:textId="77777777" w:rsidR="00B35F58" w:rsidRPr="00FA5855" w:rsidRDefault="00FA5855" w:rsidP="00FA5855">
      <w:pPr>
        <w:pStyle w:val="SingleTxtG"/>
        <w:ind w:left="2268"/>
        <w:rPr>
          <w:b/>
          <w:lang w:val="fr-FR"/>
        </w:rPr>
      </w:pPr>
      <w:r w:rsidRPr="005C51C1">
        <w:rPr>
          <w:rFonts w:eastAsia="Calibri"/>
          <w:b/>
        </w:rPr>
        <w:t>–</w:t>
      </w:r>
      <w:r>
        <w:rPr>
          <w:rFonts w:eastAsia="Calibri"/>
          <w:b/>
        </w:rPr>
        <w:tab/>
      </w:r>
      <w:r w:rsidR="00B35F58" w:rsidRPr="00FA5855">
        <w:rPr>
          <w:b/>
          <w:lang w:val="fr-FR"/>
        </w:rPr>
        <w:t>Le projecteur allumé ; et</w:t>
      </w:r>
    </w:p>
    <w:p w14:paraId="53321290" w14:textId="77777777" w:rsidR="00B35F58" w:rsidRPr="00FA5855" w:rsidRDefault="00FA5855" w:rsidP="00FA5855">
      <w:pPr>
        <w:pStyle w:val="SingleTxtG"/>
        <w:ind w:left="2268"/>
        <w:rPr>
          <w:b/>
          <w:lang w:val="fr-FR"/>
        </w:rPr>
      </w:pPr>
      <w:r w:rsidRPr="005C51C1">
        <w:rPr>
          <w:rFonts w:eastAsia="Calibri"/>
          <w:b/>
        </w:rPr>
        <w:t>–</w:t>
      </w:r>
      <w:r>
        <w:rPr>
          <w:rFonts w:eastAsia="Calibri"/>
          <w:b/>
        </w:rPr>
        <w:tab/>
      </w:r>
      <w:r w:rsidR="00B35F58" w:rsidRPr="00FA5855">
        <w:rPr>
          <w:b/>
          <w:lang w:val="fr-FR"/>
        </w:rPr>
        <w:t xml:space="preserve">Le feu éteint. </w:t>
      </w:r>
    </w:p>
    <w:p w14:paraId="42FF0FD4" w14:textId="77777777" w:rsidR="00B35F58" w:rsidRPr="00FA5855" w:rsidRDefault="00FA5855" w:rsidP="00FA5855">
      <w:pPr>
        <w:pStyle w:val="SingleTxtG"/>
        <w:tabs>
          <w:tab w:val="left" w:pos="2268"/>
        </w:tabs>
        <w:ind w:left="2268" w:hanging="1134"/>
        <w:rPr>
          <w:b/>
          <w:lang w:val="fr-FR"/>
        </w:rPr>
      </w:pPr>
      <w:r>
        <w:rPr>
          <w:b/>
          <w:lang w:val="fr-FR"/>
        </w:rPr>
        <w:t>2.4</w:t>
      </w:r>
      <w:r>
        <w:rPr>
          <w:b/>
          <w:lang w:val="fr-FR"/>
        </w:rPr>
        <w:tab/>
      </w:r>
      <w:r w:rsidR="00B35F58" w:rsidRPr="00FA5855">
        <w:rPr>
          <w:b/>
          <w:lang w:val="fr-FR"/>
        </w:rPr>
        <w:t>Aux deux dernières étapes (par. 2.2 et 2.3), on s</w:t>
      </w:r>
      <w:r w:rsidR="00227BB0">
        <w:rPr>
          <w:b/>
          <w:lang w:val="fr-FR"/>
        </w:rPr>
        <w:t>’</w:t>
      </w:r>
      <w:r w:rsidR="00B35F58" w:rsidRPr="00FA5855">
        <w:rPr>
          <w:b/>
          <w:lang w:val="fr-FR"/>
        </w:rPr>
        <w:t>assurera que la tête de mesure ou le système de mesure de la luminance moyenne couvre toute la zone d</w:t>
      </w:r>
      <w:r w:rsidR="00227BB0">
        <w:rPr>
          <w:b/>
          <w:lang w:val="fr-FR"/>
        </w:rPr>
        <w:t>’</w:t>
      </w:r>
      <w:r w:rsidR="00B35F58" w:rsidRPr="00FA5855">
        <w:rPr>
          <w:b/>
          <w:lang w:val="fr-FR"/>
        </w:rPr>
        <w:t>émission de la lumière du feu.</w:t>
      </w:r>
    </w:p>
    <w:p w14:paraId="4E0F18F9" w14:textId="77777777" w:rsidR="00B35F58" w:rsidRPr="00D516C7" w:rsidRDefault="005A7B52" w:rsidP="00FA5855">
      <w:pPr>
        <w:pStyle w:val="SingleTxtG"/>
        <w:tabs>
          <w:tab w:val="left" w:pos="2268"/>
        </w:tabs>
        <w:ind w:left="2268" w:hanging="1134"/>
        <w:rPr>
          <w:sz w:val="24"/>
        </w:rPr>
      </w:pPr>
      <w:r>
        <w:rPr>
          <w:b/>
          <w:lang w:val="fr-FR"/>
        </w:rPr>
        <w:object w:dxaOrig="1440" w:dyaOrig="1440" w14:anchorId="5119C492">
          <v:shape id="_x0000_s1026" type="#_x0000_t75" style="position:absolute;left:0;text-align:left;margin-left:189pt;margin-top:27.25pt;width:73.5pt;height:50.45pt;z-index:251658240" stroked="t" strokecolor="white">
            <v:imagedata r:id="rId11" o:title=""/>
          </v:shape>
          <o:OLEObject Type="Embed" ProgID="Equation.3" ShapeID="_x0000_s1026" DrawAspect="Content" ObjectID="_1629264199" r:id="rId12"/>
        </w:object>
      </w:r>
      <w:r w:rsidR="00FA5855">
        <w:rPr>
          <w:b/>
          <w:lang w:val="fr-FR"/>
        </w:rPr>
        <w:t>2.5</w:t>
      </w:r>
      <w:r w:rsidR="00FA5855">
        <w:rPr>
          <w:b/>
          <w:lang w:val="fr-FR"/>
        </w:rPr>
        <w:tab/>
      </w:r>
      <w:r w:rsidR="00B35F58" w:rsidRPr="00FA5855">
        <w:rPr>
          <w:b/>
          <w:lang w:val="fr-FR"/>
        </w:rPr>
        <w:t xml:space="preserve">Le ratio </w:t>
      </w:r>
      <w:proofErr w:type="spellStart"/>
      <w:r w:rsidR="00B35F58" w:rsidRPr="00FA5855">
        <w:rPr>
          <w:b/>
          <w:lang w:val="fr-FR"/>
        </w:rPr>
        <w:t>F</w:t>
      </w:r>
      <w:r w:rsidR="00B35F58" w:rsidRPr="00FA5855">
        <w:rPr>
          <w:b/>
          <w:vertAlign w:val="subscript"/>
          <w:lang w:val="fr-FR"/>
        </w:rPr>
        <w:t>ph</w:t>
      </w:r>
      <w:proofErr w:type="spellEnd"/>
      <w:r w:rsidR="00B35F58" w:rsidRPr="00FA5855">
        <w:rPr>
          <w:b/>
          <w:lang w:val="fr-FR"/>
        </w:rPr>
        <w:t xml:space="preserve"> entre la luminance </w:t>
      </w:r>
      <w:r w:rsidR="00B35F58" w:rsidRPr="00227BB0">
        <w:rPr>
          <w:b/>
          <w:i/>
          <w:lang w:val="fr-FR"/>
        </w:rPr>
        <w:t>L</w:t>
      </w:r>
      <w:r w:rsidR="00B35F58" w:rsidRPr="00227BB0">
        <w:rPr>
          <w:b/>
          <w:vertAlign w:val="subscript"/>
          <w:lang w:val="fr-FR"/>
        </w:rPr>
        <w:t>S</w:t>
      </w:r>
      <w:r w:rsidR="00B35F58" w:rsidRPr="00FA5855">
        <w:rPr>
          <w:b/>
          <w:lang w:val="fr-FR"/>
        </w:rPr>
        <w:t xml:space="preserve"> du signal réel et la luminance </w:t>
      </w:r>
      <w:proofErr w:type="spellStart"/>
      <w:r w:rsidR="00B35F58" w:rsidRPr="00227BB0">
        <w:rPr>
          <w:b/>
          <w:i/>
          <w:lang w:val="fr-FR"/>
        </w:rPr>
        <w:t>L</w:t>
      </w:r>
      <w:r w:rsidR="00B35F58" w:rsidRPr="00FA5855">
        <w:rPr>
          <w:b/>
          <w:vertAlign w:val="subscript"/>
          <w:lang w:val="fr-FR"/>
        </w:rPr>
        <w:t>ph</w:t>
      </w:r>
      <w:proofErr w:type="spellEnd"/>
      <w:r w:rsidR="00B35F58" w:rsidRPr="00FA5855">
        <w:rPr>
          <w:b/>
          <w:lang w:val="fr-FR"/>
        </w:rPr>
        <w:t xml:space="preserve"> de l</w:t>
      </w:r>
      <w:r w:rsidR="00227BB0">
        <w:rPr>
          <w:b/>
          <w:lang w:val="fr-FR"/>
        </w:rPr>
        <w:t>’</w:t>
      </w:r>
      <w:r w:rsidR="00B35F58" w:rsidRPr="00FA5855">
        <w:rPr>
          <w:b/>
          <w:lang w:val="fr-FR"/>
        </w:rPr>
        <w:t>effet fantôme est calculé comme suit :</w:t>
      </w:r>
    </w:p>
    <w:p w14:paraId="343DE3F2" w14:textId="77777777" w:rsidR="00B35F58" w:rsidRPr="00352BFD" w:rsidRDefault="00B35F58" w:rsidP="00B35F58"/>
    <w:p w14:paraId="455E8C70" w14:textId="77777777" w:rsidR="00B35F58" w:rsidRPr="00352BFD" w:rsidRDefault="00B35F58" w:rsidP="00B35F58"/>
    <w:p w14:paraId="573E7024" w14:textId="77777777" w:rsidR="00B35F58" w:rsidRPr="00352BFD" w:rsidRDefault="00B35F58" w:rsidP="00B35F58">
      <w:pPr>
        <w:rPr>
          <w:i/>
        </w:rPr>
      </w:pPr>
    </w:p>
    <w:p w14:paraId="1160EB8C" w14:textId="77777777" w:rsidR="00B35F58" w:rsidRPr="00C610F3" w:rsidRDefault="00FA5855" w:rsidP="00FA5855">
      <w:pPr>
        <w:pStyle w:val="HChG"/>
        <w:rPr>
          <w:sz w:val="24"/>
          <w:szCs w:val="24"/>
        </w:rPr>
      </w:pPr>
      <w:r>
        <w:rPr>
          <w:lang w:val="fr-FR"/>
        </w:rPr>
        <w:tab/>
        <w:t>B.</w:t>
      </w:r>
      <w:r>
        <w:rPr>
          <w:lang w:val="fr-FR"/>
        </w:rPr>
        <w:tab/>
      </w:r>
      <w:r w:rsidR="00B35F58">
        <w:rPr>
          <w:lang w:val="fr-FR"/>
        </w:rPr>
        <w:t>Proposition de complément aux séries 06 et [07] d</w:t>
      </w:r>
      <w:r w:rsidR="00227BB0">
        <w:rPr>
          <w:lang w:val="fr-FR"/>
        </w:rPr>
        <w:t>’</w:t>
      </w:r>
      <w:r w:rsidR="00B35F58">
        <w:rPr>
          <w:lang w:val="fr-FR"/>
        </w:rPr>
        <w:t>amendements au Règlement ONU n</w:t>
      </w:r>
      <w:r w:rsidR="00B35F58">
        <w:rPr>
          <w:vertAlign w:val="superscript"/>
          <w:lang w:val="fr-FR"/>
        </w:rPr>
        <w:t>o</w:t>
      </w:r>
      <w:r w:rsidR="00B35F58">
        <w:rPr>
          <w:lang w:val="fr-FR"/>
        </w:rPr>
        <w:t xml:space="preserve"> 48</w:t>
      </w:r>
    </w:p>
    <w:p w14:paraId="4E3924DD" w14:textId="77777777" w:rsidR="00B35F58" w:rsidRDefault="00B35F58" w:rsidP="00FA5855">
      <w:pPr>
        <w:pStyle w:val="SingleTxtG"/>
      </w:pPr>
      <w:r w:rsidRPr="00FA5855">
        <w:rPr>
          <w:i/>
          <w:lang w:val="fr-FR"/>
        </w:rPr>
        <w:t>Ajouter le nouveau paragraphe 2.8.4</w:t>
      </w:r>
      <w:r>
        <w:rPr>
          <w:lang w:val="fr-FR"/>
        </w:rPr>
        <w:t>, libellé comme suit :</w:t>
      </w:r>
    </w:p>
    <w:p w14:paraId="0148054F" w14:textId="77777777" w:rsidR="00B35F58" w:rsidRPr="000D5BBD" w:rsidRDefault="00B35F58" w:rsidP="00FA5855">
      <w:pPr>
        <w:pStyle w:val="SingleTxtG"/>
        <w:tabs>
          <w:tab w:val="left" w:pos="2268"/>
        </w:tabs>
        <w:ind w:left="2268" w:hanging="1134"/>
      </w:pPr>
      <w:r>
        <w:rPr>
          <w:lang w:val="fr-FR"/>
        </w:rPr>
        <w:t>«</w:t>
      </w:r>
      <w:r w:rsidR="00FA5855">
        <w:rPr>
          <w:lang w:val="fr-FR"/>
        </w:rPr>
        <w:t> </w:t>
      </w:r>
      <w:r w:rsidRPr="00FA5855">
        <w:rPr>
          <w:b/>
          <w:lang w:val="fr-FR"/>
        </w:rPr>
        <w:t>2.8.4</w:t>
      </w:r>
      <w:r w:rsidRPr="00FA5855">
        <w:rPr>
          <w:b/>
          <w:lang w:val="fr-FR"/>
        </w:rPr>
        <w:tab/>
      </w:r>
      <w:r w:rsidR="00FA5855">
        <w:rPr>
          <w:b/>
          <w:lang w:val="fr-FR"/>
        </w:rPr>
        <w:t>“</w:t>
      </w:r>
      <w:r w:rsidRPr="00FA5855">
        <w:rPr>
          <w:b/>
          <w:i/>
          <w:lang w:val="fr-FR"/>
        </w:rPr>
        <w:t xml:space="preserve">Feu à </w:t>
      </w:r>
      <w:r w:rsidRPr="00FA5855">
        <w:rPr>
          <w:b/>
          <w:i/>
          <w:iCs/>
          <w:lang w:val="fr-FR"/>
        </w:rPr>
        <w:t>glace claire</w:t>
      </w:r>
      <w:r w:rsidR="00FA5855">
        <w:rPr>
          <w:b/>
          <w:lang w:val="fr-FR"/>
        </w:rPr>
        <w:t>”</w:t>
      </w:r>
      <w:r w:rsidRPr="00FA5855">
        <w:rPr>
          <w:b/>
          <w:lang w:val="fr-FR"/>
        </w:rPr>
        <w:t>, un feu muni d</w:t>
      </w:r>
      <w:r w:rsidR="00227BB0">
        <w:rPr>
          <w:b/>
          <w:lang w:val="fr-FR"/>
        </w:rPr>
        <w:t>’</w:t>
      </w:r>
      <w:r w:rsidRPr="00FA5855">
        <w:rPr>
          <w:b/>
          <w:lang w:val="fr-FR"/>
        </w:rPr>
        <w:t>une glace extérieure claire. Dans ce type de feux, la couleur correspondant à une fonction donnée est produite par la source lumineuse elle-même ou par des filtres internes. La glace extérieure n</w:t>
      </w:r>
      <w:r w:rsidR="00227BB0">
        <w:rPr>
          <w:b/>
          <w:lang w:val="fr-FR"/>
        </w:rPr>
        <w:t>’</w:t>
      </w:r>
      <w:r w:rsidRPr="00FA5855">
        <w:rPr>
          <w:b/>
          <w:lang w:val="fr-FR"/>
        </w:rPr>
        <w:t>est pas nécessairement incolore.</w:t>
      </w:r>
      <w:r w:rsidR="00FA5855" w:rsidRPr="00FA5855">
        <w:rPr>
          <w:b/>
          <w:lang w:val="fr-FR"/>
        </w:rPr>
        <w:t> </w:t>
      </w:r>
      <w:r w:rsidRPr="00FA5855">
        <w:rPr>
          <w:lang w:val="fr-FR"/>
        </w:rPr>
        <w:t>»</w:t>
      </w:r>
      <w:r w:rsidR="00FA5855" w:rsidRPr="00FA5855">
        <w:rPr>
          <w:lang w:val="fr-FR"/>
        </w:rPr>
        <w:t>.</w:t>
      </w:r>
    </w:p>
    <w:p w14:paraId="43006511" w14:textId="77777777" w:rsidR="00B35F58" w:rsidRDefault="002F1B27" w:rsidP="002F1B27">
      <w:pPr>
        <w:pStyle w:val="HChG"/>
      </w:pPr>
      <w:r>
        <w:rPr>
          <w:lang w:val="fr-FR"/>
        </w:rPr>
        <w:tab/>
        <w:t>II.</w:t>
      </w:r>
      <w:r>
        <w:rPr>
          <w:lang w:val="fr-FR"/>
        </w:rPr>
        <w:tab/>
      </w:r>
      <w:r w:rsidR="00B35F58">
        <w:rPr>
          <w:lang w:val="fr-FR"/>
        </w:rPr>
        <w:t>Justification</w:t>
      </w:r>
    </w:p>
    <w:p w14:paraId="01320DF4" w14:textId="77777777" w:rsidR="00B35F58" w:rsidRDefault="00B35F58" w:rsidP="002F1B27">
      <w:pPr>
        <w:pStyle w:val="SingleTxtG"/>
      </w:pPr>
      <w:r>
        <w:rPr>
          <w:lang w:val="fr-FR"/>
        </w:rPr>
        <w:t>1.</w:t>
      </w:r>
      <w:r>
        <w:rPr>
          <w:lang w:val="fr-FR"/>
        </w:rPr>
        <w:tab/>
        <w:t>La présente proposition est fondée sur le document ECE/TRANS/WP.29/GRE/2019/7 et tient compte d</w:t>
      </w:r>
      <w:r w:rsidR="00227BB0">
        <w:rPr>
          <w:lang w:val="fr-FR"/>
        </w:rPr>
        <w:t>’</w:t>
      </w:r>
      <w:r>
        <w:rPr>
          <w:lang w:val="fr-FR"/>
        </w:rPr>
        <w:t>un certain nombre d</w:t>
      </w:r>
      <w:r w:rsidR="00227BB0">
        <w:rPr>
          <w:lang w:val="fr-FR"/>
        </w:rPr>
        <w:t>’</w:t>
      </w:r>
      <w:r>
        <w:rPr>
          <w:lang w:val="fr-FR"/>
        </w:rPr>
        <w:t xml:space="preserve">observations formulées à la quatre-vingt-unième session du GRE. Les modifications suivantes ont notamment été apportées : </w:t>
      </w:r>
    </w:p>
    <w:p w14:paraId="784E013C" w14:textId="77777777" w:rsidR="00B35F58" w:rsidRPr="00933F0C" w:rsidRDefault="00B35F58" w:rsidP="002F1B27">
      <w:pPr>
        <w:pStyle w:val="Bullet1G"/>
      </w:pPr>
      <w:r w:rsidRPr="00933F0C">
        <w:rPr>
          <w:lang w:val="fr-FR"/>
        </w:rPr>
        <w:t xml:space="preserve">Ajout de la définition </w:t>
      </w:r>
      <w:r w:rsidRPr="000D4673">
        <w:rPr>
          <w:lang w:val="fr-FR"/>
        </w:rPr>
        <w:t>«</w:t>
      </w:r>
      <w:r w:rsidR="002F1B27">
        <w:rPr>
          <w:lang w:val="fr-FR"/>
        </w:rPr>
        <w:t> </w:t>
      </w:r>
      <w:r w:rsidRPr="000D4673">
        <w:rPr>
          <w:i/>
          <w:lang w:val="fr-FR"/>
        </w:rPr>
        <w:t xml:space="preserve">Feu à </w:t>
      </w:r>
      <w:r w:rsidRPr="000D4673">
        <w:rPr>
          <w:i/>
          <w:iCs/>
          <w:lang w:val="fr-FR"/>
        </w:rPr>
        <w:t>glace claire</w:t>
      </w:r>
      <w:r w:rsidR="002F1B27">
        <w:rPr>
          <w:lang w:val="fr-FR"/>
        </w:rPr>
        <w:t> </w:t>
      </w:r>
      <w:r w:rsidRPr="000D4673">
        <w:rPr>
          <w:lang w:val="fr-FR"/>
        </w:rPr>
        <w:t>»</w:t>
      </w:r>
      <w:r>
        <w:rPr>
          <w:lang w:val="fr-FR"/>
        </w:rPr>
        <w:t xml:space="preserve"> dans le</w:t>
      </w:r>
      <w:r w:rsidRPr="000D4673">
        <w:rPr>
          <w:lang w:val="fr-FR"/>
        </w:rPr>
        <w:t xml:space="preserve"> </w:t>
      </w:r>
      <w:r w:rsidRPr="00933F0C">
        <w:rPr>
          <w:lang w:val="fr-FR"/>
        </w:rPr>
        <w:t>Règlement ONU n</w:t>
      </w:r>
      <w:r w:rsidRPr="00933F0C">
        <w:rPr>
          <w:vertAlign w:val="superscript"/>
          <w:lang w:val="fr-FR"/>
        </w:rPr>
        <w:t>o</w:t>
      </w:r>
      <w:r w:rsidRPr="00933F0C">
        <w:rPr>
          <w:lang w:val="fr-FR"/>
        </w:rPr>
        <w:t xml:space="preserve"> 48</w:t>
      </w:r>
      <w:r>
        <w:rPr>
          <w:lang w:val="fr-FR"/>
        </w:rPr>
        <w:t> ;</w:t>
      </w:r>
    </w:p>
    <w:p w14:paraId="63925275" w14:textId="77777777" w:rsidR="00B35F58" w:rsidRPr="002F1B27" w:rsidRDefault="00B35F58" w:rsidP="002F1B27">
      <w:pPr>
        <w:pStyle w:val="Bullet1G"/>
        <w:rPr>
          <w:lang w:val="fr-FR"/>
        </w:rPr>
      </w:pPr>
      <w:r w:rsidRPr="002F1B27">
        <w:rPr>
          <w:lang w:val="fr-FR"/>
        </w:rPr>
        <w:t xml:space="preserve">Essais uniquement dans le cas des feux à glace extérieure en verre clair ; </w:t>
      </w:r>
    </w:p>
    <w:p w14:paraId="7F723B06" w14:textId="77777777" w:rsidR="00B35F58" w:rsidRPr="002F1B27" w:rsidRDefault="00B35F58" w:rsidP="002F1B27">
      <w:pPr>
        <w:pStyle w:val="Bullet1G"/>
        <w:rPr>
          <w:lang w:val="fr-FR"/>
        </w:rPr>
      </w:pPr>
      <w:r w:rsidRPr="002F1B27">
        <w:rPr>
          <w:lang w:val="fr-FR"/>
        </w:rPr>
        <w:t>Ajout de la limite de transmission requise (en tant que paramètre essentiel) pour déterminer si l</w:t>
      </w:r>
      <w:r w:rsidR="00227BB0">
        <w:rPr>
          <w:lang w:val="fr-FR"/>
        </w:rPr>
        <w:t>’</w:t>
      </w:r>
      <w:r w:rsidRPr="002F1B27">
        <w:rPr>
          <w:lang w:val="fr-FR"/>
        </w:rPr>
        <w:t xml:space="preserve">essai est nécessaire ou non, étant donné que les glaces claires ne sont pas nécessairement incolores ; </w:t>
      </w:r>
    </w:p>
    <w:p w14:paraId="5C4F644B" w14:textId="77777777" w:rsidR="00B35F58" w:rsidRPr="002F1B27" w:rsidRDefault="00B35F58" w:rsidP="002F1B27">
      <w:pPr>
        <w:pStyle w:val="Bullet1G"/>
        <w:rPr>
          <w:lang w:val="fr-FR"/>
        </w:rPr>
      </w:pPr>
      <w:r w:rsidRPr="002F1B27">
        <w:rPr>
          <w:lang w:val="fr-FR"/>
        </w:rPr>
        <w:t>Autorisation de deux sources lumineuses différentes dans le cadre de l</w:t>
      </w:r>
      <w:r w:rsidR="00227BB0">
        <w:rPr>
          <w:lang w:val="fr-FR"/>
        </w:rPr>
        <w:t>’</w:t>
      </w:r>
      <w:r w:rsidRPr="002F1B27">
        <w:rPr>
          <w:lang w:val="fr-FR"/>
        </w:rPr>
        <w:t xml:space="preserve">essai au projecteur (effet du soleil) ; </w:t>
      </w:r>
    </w:p>
    <w:p w14:paraId="6CC768AF" w14:textId="77777777" w:rsidR="00B35F58" w:rsidRPr="002F1B27" w:rsidRDefault="00B35F58" w:rsidP="002F1B27">
      <w:pPr>
        <w:pStyle w:val="Bullet1G"/>
        <w:rPr>
          <w:lang w:val="fr-FR"/>
        </w:rPr>
      </w:pPr>
      <w:r w:rsidRPr="002F1B27">
        <w:rPr>
          <w:lang w:val="fr-FR"/>
        </w:rPr>
        <w:t>Suppression de la procédure utilisée «</w:t>
      </w:r>
      <w:r w:rsidR="00227BB0">
        <w:rPr>
          <w:lang w:val="fr-FR"/>
        </w:rPr>
        <w:t> </w:t>
      </w:r>
      <w:r w:rsidRPr="002F1B27">
        <w:rPr>
          <w:lang w:val="fr-FR"/>
        </w:rPr>
        <w:t>en cas de doute</w:t>
      </w:r>
      <w:r w:rsidR="00227BB0">
        <w:rPr>
          <w:lang w:val="fr-FR"/>
        </w:rPr>
        <w:t> </w:t>
      </w:r>
      <w:r w:rsidRPr="002F1B27">
        <w:rPr>
          <w:lang w:val="fr-FR"/>
        </w:rPr>
        <w:t xml:space="preserve">» ; </w:t>
      </w:r>
    </w:p>
    <w:p w14:paraId="390800CE" w14:textId="77777777" w:rsidR="00B35F58" w:rsidRPr="00933F0C" w:rsidRDefault="00B35F58" w:rsidP="002F1B27">
      <w:pPr>
        <w:pStyle w:val="Bullet1G"/>
        <w:rPr>
          <w:sz w:val="24"/>
        </w:rPr>
      </w:pPr>
      <w:r w:rsidRPr="002F1B27">
        <w:rPr>
          <w:lang w:val="fr-FR"/>
        </w:rPr>
        <w:lastRenderedPageBreak/>
        <w:t>Suppression des prescriptions spécifiques en matière de conformité de la production, puisqu</w:t>
      </w:r>
      <w:r w:rsidR="00227BB0">
        <w:rPr>
          <w:lang w:val="fr-FR"/>
        </w:rPr>
        <w:t>’</w:t>
      </w:r>
      <w:r w:rsidRPr="002F1B27">
        <w:rPr>
          <w:lang w:val="fr-FR"/>
        </w:rPr>
        <w:t>elles sont déjà énoncées au paragraphe 3.5.1.</w:t>
      </w:r>
    </w:p>
    <w:p w14:paraId="0313A2CD" w14:textId="77777777" w:rsidR="00B35F58" w:rsidRPr="00DC48AC" w:rsidRDefault="00B35F58" w:rsidP="002F1B27">
      <w:pPr>
        <w:pStyle w:val="SingleTxtG"/>
      </w:pPr>
      <w:r>
        <w:rPr>
          <w:lang w:val="fr-FR"/>
        </w:rPr>
        <w:t>2.</w:t>
      </w:r>
      <w:r>
        <w:rPr>
          <w:lang w:val="fr-FR"/>
        </w:rPr>
        <w:tab/>
        <w:t>Le Groupe de travail de l</w:t>
      </w:r>
      <w:r w:rsidR="00227BB0">
        <w:rPr>
          <w:lang w:val="fr-FR"/>
        </w:rPr>
        <w:t>’</w:t>
      </w:r>
      <w:r>
        <w:rPr>
          <w:lang w:val="fr-FR"/>
        </w:rPr>
        <w:t>éclairage et de la signalisation lumineuse (GRE) avait commencé à débattre de cette question il y a plusieurs années, et le Groupe de travail «</w:t>
      </w:r>
      <w:r w:rsidR="002F1B27">
        <w:rPr>
          <w:lang w:val="fr-FR"/>
        </w:rPr>
        <w:t> </w:t>
      </w:r>
      <w:r>
        <w:rPr>
          <w:lang w:val="fr-FR"/>
        </w:rPr>
        <w:t>Bruxelles</w:t>
      </w:r>
      <w:r w:rsidR="002F1B27">
        <w:rPr>
          <w:lang w:val="fr-FR"/>
        </w:rPr>
        <w:t> </w:t>
      </w:r>
      <w:r>
        <w:rPr>
          <w:lang w:val="fr-FR"/>
        </w:rPr>
        <w:t>» (GTB) avait chargé son groupe de travail spécialisé dans la photométrie de trouver une solution. Au début des travaux, le groupe de travail du GTB chargé de la sécurité et des performances visuelles était également mis à contribution afin de rechercher et de trouver un fondement scientifique pour une nouvelle prescription.</w:t>
      </w:r>
    </w:p>
    <w:p w14:paraId="23593C49" w14:textId="77777777" w:rsidR="00B35F58" w:rsidRDefault="00B35F58" w:rsidP="00B35F58">
      <w:pPr>
        <w:pStyle w:val="SingleTxtG"/>
        <w:rPr>
          <w:lang w:val="fr-FR"/>
        </w:rPr>
      </w:pPr>
      <w:r>
        <w:rPr>
          <w:lang w:val="fr-FR"/>
        </w:rPr>
        <w:t>3.</w:t>
      </w:r>
      <w:r>
        <w:rPr>
          <w:lang w:val="fr-FR"/>
        </w:rPr>
        <w:tab/>
        <w:t xml:space="preserve">La proposition ci-dessus est fondée sur des recherches réalisées par le laboratoire LTIK, avec le soutien du National Traffic </w:t>
      </w:r>
      <w:proofErr w:type="spellStart"/>
      <w:r>
        <w:rPr>
          <w:lang w:val="fr-FR"/>
        </w:rPr>
        <w:t>Safety</w:t>
      </w:r>
      <w:proofErr w:type="spellEnd"/>
      <w:r>
        <w:rPr>
          <w:lang w:val="fr-FR"/>
        </w:rPr>
        <w:t xml:space="preserve"> and </w:t>
      </w:r>
      <w:proofErr w:type="spellStart"/>
      <w:r>
        <w:rPr>
          <w:lang w:val="fr-FR"/>
        </w:rPr>
        <w:t>Environment</w:t>
      </w:r>
      <w:proofErr w:type="spellEnd"/>
      <w:r>
        <w:rPr>
          <w:lang w:val="fr-FR"/>
        </w:rPr>
        <w:t xml:space="preserve"> </w:t>
      </w:r>
      <w:proofErr w:type="spellStart"/>
      <w:r>
        <w:rPr>
          <w:lang w:val="fr-FR"/>
        </w:rPr>
        <w:t>Laboratory</w:t>
      </w:r>
      <w:proofErr w:type="spellEnd"/>
      <w:r>
        <w:rPr>
          <w:lang w:val="fr-FR"/>
        </w:rPr>
        <w:t xml:space="preserve"> entre autres, qui ont été présentées à la soixante et unième session du GRE (GRE-61-1), ainsi que sur les discussions du groupe de travail sur la photométrie à la suite de la présentation desdites recherches. Les essais dont il est question ici donnent une indication sur l</w:t>
      </w:r>
      <w:r w:rsidR="00227BB0">
        <w:rPr>
          <w:lang w:val="fr-FR"/>
        </w:rPr>
        <w:t>’</w:t>
      </w:r>
      <w:r>
        <w:rPr>
          <w:lang w:val="fr-FR"/>
        </w:rPr>
        <w:t>effet fantôme, qui peut retarder la perception d</w:t>
      </w:r>
      <w:r w:rsidR="00227BB0">
        <w:rPr>
          <w:lang w:val="fr-FR"/>
        </w:rPr>
        <w:t>’</w:t>
      </w:r>
      <w:r>
        <w:rPr>
          <w:lang w:val="fr-FR"/>
        </w:rPr>
        <w:t xml:space="preserve">un signal au point de poser un grave problème de sécurité. La valeur limite proposée pour </w:t>
      </w:r>
      <w:proofErr w:type="spellStart"/>
      <w:r>
        <w:rPr>
          <w:lang w:val="fr-FR"/>
        </w:rPr>
        <w:t>F</w:t>
      </w:r>
      <w:r>
        <w:rPr>
          <w:vertAlign w:val="subscript"/>
          <w:lang w:val="fr-FR"/>
        </w:rPr>
        <w:t>ph</w:t>
      </w:r>
      <w:proofErr w:type="spellEnd"/>
      <w:r>
        <w:rPr>
          <w:vertAlign w:val="subscript"/>
          <w:lang w:val="fr-FR"/>
        </w:rPr>
        <w:t xml:space="preserve"> </w:t>
      </w:r>
      <w:r>
        <w:rPr>
          <w:lang w:val="fr-FR"/>
        </w:rPr>
        <w:t>est fixée sur la base des recherches de plusieurs spécialistes et participe d</w:t>
      </w:r>
      <w:r w:rsidR="00227BB0">
        <w:rPr>
          <w:lang w:val="fr-FR"/>
        </w:rPr>
        <w:t>’</w:t>
      </w:r>
      <w:r>
        <w:rPr>
          <w:lang w:val="fr-FR"/>
        </w:rPr>
        <w:t>une approche pragmatique visant à résoudre ce problème et à laisser la liberté de conception aux industriels tout en interdisant les modèles de feu dangereux. Ainsi qu</w:t>
      </w:r>
      <w:r w:rsidR="00227BB0">
        <w:rPr>
          <w:lang w:val="fr-FR"/>
        </w:rPr>
        <w:t>’</w:t>
      </w:r>
      <w:r>
        <w:rPr>
          <w:lang w:val="fr-FR"/>
        </w:rPr>
        <w:t>il a été indiqué à la soixante-quinzième session du GRE (GRE-75-16), d</w:t>
      </w:r>
      <w:r w:rsidR="00227BB0">
        <w:rPr>
          <w:lang w:val="fr-FR"/>
        </w:rPr>
        <w:t>’</w:t>
      </w:r>
      <w:r>
        <w:rPr>
          <w:lang w:val="fr-FR"/>
        </w:rPr>
        <w:t>autres recherches ont été menées à bien et ont fait l</w:t>
      </w:r>
      <w:r w:rsidR="00227BB0">
        <w:rPr>
          <w:lang w:val="fr-FR"/>
        </w:rPr>
        <w:t>’</w:t>
      </w:r>
      <w:r>
        <w:rPr>
          <w:lang w:val="fr-FR"/>
        </w:rPr>
        <w:t>objet d</w:t>
      </w:r>
      <w:r w:rsidR="00227BB0">
        <w:rPr>
          <w:lang w:val="fr-FR"/>
        </w:rPr>
        <w:t>’</w:t>
      </w:r>
      <w:r>
        <w:rPr>
          <w:lang w:val="fr-FR"/>
        </w:rPr>
        <w:t xml:space="preserve">une évaluation finale. La seule valeur restant à déterminer était le facteur </w:t>
      </w:r>
      <w:proofErr w:type="spellStart"/>
      <w:r>
        <w:rPr>
          <w:lang w:val="fr-FR"/>
        </w:rPr>
        <w:t>F</w:t>
      </w:r>
      <w:r>
        <w:rPr>
          <w:vertAlign w:val="subscript"/>
          <w:lang w:val="fr-FR"/>
        </w:rPr>
        <w:t>ph</w:t>
      </w:r>
      <w:proofErr w:type="spellEnd"/>
      <w:r>
        <w:rPr>
          <w:lang w:val="fr-FR"/>
        </w:rPr>
        <w:t xml:space="preserve">, que nous proposons de fixer à 3 ; pour les panneaux de signalisation, par exemple, cette valeur </w:t>
      </w:r>
      <w:proofErr w:type="spellStart"/>
      <w:r>
        <w:rPr>
          <w:lang w:val="fr-FR"/>
        </w:rPr>
        <w:t>F</w:t>
      </w:r>
      <w:r>
        <w:rPr>
          <w:vertAlign w:val="subscript"/>
          <w:lang w:val="fr-FR"/>
        </w:rPr>
        <w:t>ph</w:t>
      </w:r>
      <w:proofErr w:type="spellEnd"/>
      <w:r>
        <w:rPr>
          <w:lang w:val="fr-FR"/>
        </w:rPr>
        <w:t xml:space="preserve"> est fixée à 5 dans les prescriptions correspondantes.</w:t>
      </w:r>
    </w:p>
    <w:p w14:paraId="316A7DA3" w14:textId="77777777" w:rsidR="002F1B27" w:rsidRPr="002F1B27" w:rsidRDefault="002F1B27" w:rsidP="002F1B27">
      <w:pPr>
        <w:pStyle w:val="SingleTxtG"/>
        <w:spacing w:before="240" w:after="0"/>
        <w:jc w:val="center"/>
        <w:rPr>
          <w:u w:val="single"/>
        </w:rPr>
      </w:pPr>
      <w:r>
        <w:rPr>
          <w:u w:val="single"/>
        </w:rPr>
        <w:tab/>
      </w:r>
      <w:r>
        <w:rPr>
          <w:u w:val="single"/>
        </w:rPr>
        <w:tab/>
      </w:r>
      <w:r>
        <w:rPr>
          <w:u w:val="single"/>
        </w:rPr>
        <w:tab/>
      </w:r>
    </w:p>
    <w:sectPr w:rsidR="002F1B27" w:rsidRPr="002F1B27" w:rsidSect="00B35F5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E7D8" w14:textId="77777777" w:rsidR="004A447B" w:rsidRDefault="004A447B" w:rsidP="00F95C08">
      <w:pPr>
        <w:spacing w:line="240" w:lineRule="auto"/>
      </w:pPr>
    </w:p>
  </w:endnote>
  <w:endnote w:type="continuationSeparator" w:id="0">
    <w:p w14:paraId="13B0AAE7" w14:textId="77777777" w:rsidR="004A447B" w:rsidRPr="00AC3823" w:rsidRDefault="004A447B" w:rsidP="00AC3823">
      <w:pPr>
        <w:pStyle w:val="Pieddepage"/>
      </w:pPr>
    </w:p>
  </w:endnote>
  <w:endnote w:type="continuationNotice" w:id="1">
    <w:p w14:paraId="38F76D78" w14:textId="77777777" w:rsidR="004A447B" w:rsidRDefault="004A44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E459" w14:textId="77777777" w:rsidR="00B35F58" w:rsidRPr="00B35F58" w:rsidRDefault="00B35F58" w:rsidP="00B35F58">
    <w:pPr>
      <w:pStyle w:val="Pieddepage"/>
      <w:tabs>
        <w:tab w:val="right" w:pos="9638"/>
      </w:tabs>
    </w:pPr>
    <w:r w:rsidRPr="00B35F58">
      <w:rPr>
        <w:b/>
        <w:sz w:val="18"/>
      </w:rPr>
      <w:fldChar w:fldCharType="begin"/>
    </w:r>
    <w:r w:rsidRPr="00B35F58">
      <w:rPr>
        <w:b/>
        <w:sz w:val="18"/>
      </w:rPr>
      <w:instrText xml:space="preserve"> PAGE  \* MERGEFORMAT </w:instrText>
    </w:r>
    <w:r w:rsidRPr="00B35F58">
      <w:rPr>
        <w:b/>
        <w:sz w:val="18"/>
      </w:rPr>
      <w:fldChar w:fldCharType="separate"/>
    </w:r>
    <w:r w:rsidRPr="00B35F58">
      <w:rPr>
        <w:b/>
        <w:noProof/>
        <w:sz w:val="18"/>
      </w:rPr>
      <w:t>2</w:t>
    </w:r>
    <w:r w:rsidRPr="00B35F58">
      <w:rPr>
        <w:b/>
        <w:sz w:val="18"/>
      </w:rPr>
      <w:fldChar w:fldCharType="end"/>
    </w:r>
    <w:r>
      <w:rPr>
        <w:b/>
        <w:sz w:val="18"/>
      </w:rPr>
      <w:tab/>
    </w:r>
    <w:r>
      <w:t>GE.19-13553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960B" w14:textId="77777777" w:rsidR="00B35F58" w:rsidRPr="00B35F58" w:rsidRDefault="00B35F58" w:rsidP="00B35F58">
    <w:pPr>
      <w:pStyle w:val="Pieddepage"/>
      <w:tabs>
        <w:tab w:val="right" w:pos="9638"/>
      </w:tabs>
      <w:rPr>
        <w:b/>
        <w:sz w:val="18"/>
      </w:rPr>
    </w:pPr>
    <w:r>
      <w:t>GE.19-13553</w:t>
    </w:r>
    <w:r>
      <w:tab/>
    </w:r>
    <w:r w:rsidRPr="00B35F58">
      <w:rPr>
        <w:b/>
        <w:sz w:val="18"/>
      </w:rPr>
      <w:fldChar w:fldCharType="begin"/>
    </w:r>
    <w:r w:rsidRPr="00B35F58">
      <w:rPr>
        <w:b/>
        <w:sz w:val="18"/>
      </w:rPr>
      <w:instrText xml:space="preserve"> PAGE  \* MERGEFORMAT </w:instrText>
    </w:r>
    <w:r w:rsidRPr="00B35F58">
      <w:rPr>
        <w:b/>
        <w:sz w:val="18"/>
      </w:rPr>
      <w:fldChar w:fldCharType="separate"/>
    </w:r>
    <w:r w:rsidRPr="00B35F58">
      <w:rPr>
        <w:b/>
        <w:noProof/>
        <w:sz w:val="18"/>
      </w:rPr>
      <w:t>3</w:t>
    </w:r>
    <w:r w:rsidRPr="00B35F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D7CB" w14:textId="77777777" w:rsidR="007F20FA" w:rsidRPr="00B35F58" w:rsidRDefault="00B35F58" w:rsidP="00B35F5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69FE9BEF" wp14:editId="67B11C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19-13553  (F)</w:t>
    </w:r>
    <w:r w:rsidR="00227BB0">
      <w:rPr>
        <w:sz w:val="20"/>
      </w:rPr>
      <w:t xml:space="preserve">    280819    060919</w:t>
    </w:r>
    <w:r>
      <w:rPr>
        <w:sz w:val="20"/>
      </w:rPr>
      <w:br/>
    </w:r>
    <w:r w:rsidRPr="00B35F58">
      <w:rPr>
        <w:rFonts w:ascii="C39T30Lfz" w:hAnsi="C39T30Lfz"/>
        <w:sz w:val="56"/>
      </w:rPr>
      <w:t></w:t>
    </w:r>
    <w:r w:rsidRPr="00B35F58">
      <w:rPr>
        <w:rFonts w:ascii="C39T30Lfz" w:hAnsi="C39T30Lfz"/>
        <w:sz w:val="56"/>
      </w:rPr>
      <w:t></w:t>
    </w:r>
    <w:r w:rsidRPr="00B35F58">
      <w:rPr>
        <w:rFonts w:ascii="C39T30Lfz" w:hAnsi="C39T30Lfz"/>
        <w:sz w:val="56"/>
      </w:rPr>
      <w:t></w:t>
    </w:r>
    <w:r w:rsidRPr="00B35F58">
      <w:rPr>
        <w:rFonts w:ascii="C39T30Lfz" w:hAnsi="C39T30Lfz"/>
        <w:sz w:val="56"/>
      </w:rPr>
      <w:t></w:t>
    </w:r>
    <w:r w:rsidRPr="00B35F58">
      <w:rPr>
        <w:rFonts w:ascii="C39T30Lfz" w:hAnsi="C39T30Lfz"/>
        <w:sz w:val="56"/>
      </w:rPr>
      <w:t></w:t>
    </w:r>
    <w:r w:rsidRPr="00B35F58">
      <w:rPr>
        <w:rFonts w:ascii="C39T30Lfz" w:hAnsi="C39T30Lfz"/>
        <w:sz w:val="56"/>
      </w:rPr>
      <w:t></w:t>
    </w:r>
    <w:r w:rsidRPr="00B35F58">
      <w:rPr>
        <w:rFonts w:ascii="C39T30Lfz" w:hAnsi="C39T30Lfz"/>
        <w:sz w:val="56"/>
      </w:rPr>
      <w:t></w:t>
    </w:r>
    <w:r w:rsidRPr="00B35F58">
      <w:rPr>
        <w:rFonts w:ascii="C39T30Lfz" w:hAnsi="C39T30Lfz"/>
        <w:sz w:val="56"/>
      </w:rPr>
      <w:t></w:t>
    </w:r>
    <w:r w:rsidRPr="00B35F58">
      <w:rPr>
        <w:rFonts w:ascii="C39T30Lfz" w:hAnsi="C39T30Lfz"/>
        <w:sz w:val="56"/>
      </w:rPr>
      <w:t></w:t>
    </w:r>
    <w:r>
      <w:rPr>
        <w:noProof/>
        <w:sz w:val="20"/>
      </w:rPr>
      <w:drawing>
        <wp:anchor distT="0" distB="0" distL="114300" distR="114300" simplePos="0" relativeHeight="251658240" behindDoc="0" locked="0" layoutInCell="1" allowOverlap="1" wp14:anchorId="1099A48E" wp14:editId="714A98B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44DB" w14:textId="77777777" w:rsidR="004A447B" w:rsidRPr="00AC3823" w:rsidRDefault="004A447B" w:rsidP="00AC3823">
      <w:pPr>
        <w:pStyle w:val="Pieddepage"/>
        <w:tabs>
          <w:tab w:val="right" w:pos="2155"/>
        </w:tabs>
        <w:spacing w:after="80" w:line="240" w:lineRule="atLeast"/>
        <w:ind w:left="680"/>
        <w:rPr>
          <w:u w:val="single"/>
        </w:rPr>
      </w:pPr>
      <w:r>
        <w:rPr>
          <w:u w:val="single"/>
        </w:rPr>
        <w:tab/>
      </w:r>
    </w:p>
  </w:footnote>
  <w:footnote w:type="continuationSeparator" w:id="0">
    <w:p w14:paraId="77D72BE1" w14:textId="77777777" w:rsidR="004A447B" w:rsidRPr="00AC3823" w:rsidRDefault="004A447B" w:rsidP="00AC3823">
      <w:pPr>
        <w:pStyle w:val="Pieddepage"/>
        <w:tabs>
          <w:tab w:val="right" w:pos="2155"/>
        </w:tabs>
        <w:spacing w:after="80" w:line="240" w:lineRule="atLeast"/>
        <w:ind w:left="680"/>
        <w:rPr>
          <w:u w:val="single"/>
        </w:rPr>
      </w:pPr>
      <w:r>
        <w:rPr>
          <w:u w:val="single"/>
        </w:rPr>
        <w:tab/>
      </w:r>
    </w:p>
  </w:footnote>
  <w:footnote w:type="continuationNotice" w:id="1">
    <w:p w14:paraId="705120C0" w14:textId="77777777" w:rsidR="004A447B" w:rsidRPr="00AC3823" w:rsidRDefault="004A447B">
      <w:pPr>
        <w:spacing w:line="240" w:lineRule="auto"/>
        <w:rPr>
          <w:sz w:val="2"/>
          <w:szCs w:val="2"/>
        </w:rPr>
      </w:pPr>
    </w:p>
  </w:footnote>
  <w:footnote w:id="2">
    <w:p w14:paraId="55D1F9CD" w14:textId="77777777" w:rsidR="00B35F58" w:rsidRPr="00B35F58" w:rsidRDefault="00B35F58">
      <w:pPr>
        <w:pStyle w:val="Notedebasdepage"/>
      </w:pPr>
      <w:r>
        <w:rPr>
          <w:rStyle w:val="Appelnotedebasdep"/>
        </w:rPr>
        <w:tab/>
      </w:r>
      <w:r w:rsidRPr="00B35F5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w:t>
      </w:r>
      <w:r w:rsidR="00227BB0">
        <w:rPr>
          <w:lang w:val="fr-FR"/>
        </w:rPr>
        <w:t>.</w:t>
      </w:r>
      <w:r>
        <w:rPr>
          <w:lang w:val="fr-FR"/>
        </w:rPr>
        <w:t>1), le Forum mondial a pour mission d</w:t>
      </w:r>
      <w:r w:rsidR="00227BB0">
        <w:rPr>
          <w:lang w:val="fr-FR"/>
        </w:rPr>
        <w:t>’</w:t>
      </w:r>
      <w:r>
        <w:rPr>
          <w:lang w:val="fr-FR"/>
        </w:rPr>
        <w:t>élaborer, d</w:t>
      </w:r>
      <w:r w:rsidR="00227BB0">
        <w:rPr>
          <w:lang w:val="fr-FR"/>
        </w:rPr>
        <w:t>’</w:t>
      </w:r>
      <w:r>
        <w:rPr>
          <w:lang w:val="fr-FR"/>
        </w:rPr>
        <w:t>harmoniser et de mettre à jo</w:t>
      </w:r>
      <w:bookmarkStart w:id="0" w:name="_GoBack"/>
      <w:bookmarkEnd w:id="0"/>
      <w:r>
        <w:rPr>
          <w:lang w:val="fr-FR"/>
        </w:rPr>
        <w:t>ur les Règlements ONU en vue d</w:t>
      </w:r>
      <w:r w:rsidR="00227BB0">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67ED" w14:textId="078DC231" w:rsidR="00B35F58" w:rsidRPr="00B35F58" w:rsidRDefault="005A7B52">
    <w:pPr>
      <w:pStyle w:val="En-tte"/>
    </w:pPr>
    <w:r>
      <w:fldChar w:fldCharType="begin"/>
    </w:r>
    <w:r>
      <w:instrText xml:space="preserve"> TITLE  \* MERGEFORMAT </w:instrText>
    </w:r>
    <w:r>
      <w:fldChar w:fldCharType="separate"/>
    </w:r>
    <w:r w:rsidR="00E6354E">
      <w:t>ECE/TRANS/WP.29/GRE/2019/22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1F02" w14:textId="40B978C2" w:rsidR="00B35F58" w:rsidRPr="00B35F58" w:rsidRDefault="005A7B52" w:rsidP="00B35F58">
    <w:pPr>
      <w:pStyle w:val="En-tte"/>
      <w:jc w:val="right"/>
    </w:pPr>
    <w:r>
      <w:fldChar w:fldCharType="begin"/>
    </w:r>
    <w:r>
      <w:instrText xml:space="preserve"> TITLE  \* MERGEFORMAT </w:instrText>
    </w:r>
    <w:r>
      <w:fldChar w:fldCharType="separate"/>
    </w:r>
    <w:r w:rsidR="00E6354E">
      <w:t>ECE/TRANS/WP.29/GRE/2019/22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447B"/>
    <w:rsid w:val="00017F94"/>
    <w:rsid w:val="00023842"/>
    <w:rsid w:val="000334F9"/>
    <w:rsid w:val="00045FEB"/>
    <w:rsid w:val="0007796D"/>
    <w:rsid w:val="000B7790"/>
    <w:rsid w:val="00111F2F"/>
    <w:rsid w:val="0014365E"/>
    <w:rsid w:val="00143C66"/>
    <w:rsid w:val="00176178"/>
    <w:rsid w:val="001F525A"/>
    <w:rsid w:val="00223272"/>
    <w:rsid w:val="00227BB0"/>
    <w:rsid w:val="0024779E"/>
    <w:rsid w:val="00257168"/>
    <w:rsid w:val="002744B8"/>
    <w:rsid w:val="002832AC"/>
    <w:rsid w:val="002D7C93"/>
    <w:rsid w:val="002F1B27"/>
    <w:rsid w:val="00305801"/>
    <w:rsid w:val="00387BA6"/>
    <w:rsid w:val="003916DE"/>
    <w:rsid w:val="00421996"/>
    <w:rsid w:val="00441C3B"/>
    <w:rsid w:val="00446FE5"/>
    <w:rsid w:val="00452396"/>
    <w:rsid w:val="004837D8"/>
    <w:rsid w:val="004A447B"/>
    <w:rsid w:val="004E2EED"/>
    <w:rsid w:val="004E468C"/>
    <w:rsid w:val="005505B7"/>
    <w:rsid w:val="00573BE5"/>
    <w:rsid w:val="00586ED3"/>
    <w:rsid w:val="00596AA9"/>
    <w:rsid w:val="005A7B52"/>
    <w:rsid w:val="0071601D"/>
    <w:rsid w:val="007A62E6"/>
    <w:rsid w:val="007F20FA"/>
    <w:rsid w:val="0080684C"/>
    <w:rsid w:val="00871C75"/>
    <w:rsid w:val="008776DC"/>
    <w:rsid w:val="008E6A14"/>
    <w:rsid w:val="009446C0"/>
    <w:rsid w:val="009705C8"/>
    <w:rsid w:val="009A37BB"/>
    <w:rsid w:val="009C1CF4"/>
    <w:rsid w:val="009F6B74"/>
    <w:rsid w:val="00A3029F"/>
    <w:rsid w:val="00A30353"/>
    <w:rsid w:val="00AC3823"/>
    <w:rsid w:val="00AE323C"/>
    <w:rsid w:val="00AF0CB5"/>
    <w:rsid w:val="00B00181"/>
    <w:rsid w:val="00B00B0D"/>
    <w:rsid w:val="00B35F58"/>
    <w:rsid w:val="00B45F2E"/>
    <w:rsid w:val="00B765F7"/>
    <w:rsid w:val="00BA0CA9"/>
    <w:rsid w:val="00C02897"/>
    <w:rsid w:val="00C97039"/>
    <w:rsid w:val="00D3439C"/>
    <w:rsid w:val="00DB1831"/>
    <w:rsid w:val="00DD3BFD"/>
    <w:rsid w:val="00DF6678"/>
    <w:rsid w:val="00E0299A"/>
    <w:rsid w:val="00E6354E"/>
    <w:rsid w:val="00E85C74"/>
    <w:rsid w:val="00EA6547"/>
    <w:rsid w:val="00EF2E22"/>
    <w:rsid w:val="00F35BAF"/>
    <w:rsid w:val="00F660DF"/>
    <w:rsid w:val="00F94664"/>
    <w:rsid w:val="00F9573C"/>
    <w:rsid w:val="00F95C08"/>
    <w:rsid w:val="00FA58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40A93"/>
  <w15:docId w15:val="{EBE239C7-D646-4252-96F3-8AD73743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35F5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1523</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ECE/TRANS/WP.29/GRE/2019/22</vt:lpstr>
    </vt:vector>
  </TitlesOfParts>
  <Company>DCM</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ECE/TRANS/WP.29/GRE/2019/22</dc:title>
  <dc:subject/>
  <dc:creator>Julien OKRZESIK</dc:creator>
  <cp:keywords/>
  <cp:lastModifiedBy>Julien Okrzesik</cp:lastModifiedBy>
  <cp:revision>3</cp:revision>
  <cp:lastPrinted>2019-09-06T06:36:00Z</cp:lastPrinted>
  <dcterms:created xsi:type="dcterms:W3CDTF">2019-09-06T06:36:00Z</dcterms:created>
  <dcterms:modified xsi:type="dcterms:W3CDTF">2019-09-06T06:37:00Z</dcterms:modified>
</cp:coreProperties>
</file>