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1A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1A3D" w:rsidP="00931A3D">
            <w:pPr>
              <w:jc w:val="right"/>
            </w:pPr>
            <w:r w:rsidRPr="00931A3D">
              <w:rPr>
                <w:sz w:val="40"/>
              </w:rPr>
              <w:t>ECE</w:t>
            </w:r>
            <w:r>
              <w:t>/TRANS/WP.29/GRE/2019/18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31A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31A3D" w:rsidRDefault="00931A3D" w:rsidP="00931A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931A3D" w:rsidRDefault="00931A3D" w:rsidP="00931A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31A3D" w:rsidRPr="008D53B6" w:rsidRDefault="00931A3D" w:rsidP="00931A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31A3D" w:rsidRPr="00FE5EB6" w:rsidRDefault="00931A3D" w:rsidP="00931A3D">
      <w:pPr>
        <w:spacing w:before="120"/>
        <w:rPr>
          <w:b/>
          <w:bCs/>
          <w:sz w:val="40"/>
          <w:szCs w:val="40"/>
        </w:rPr>
      </w:pPr>
      <w:r w:rsidRPr="00FE5EB6">
        <w:rPr>
          <w:b/>
          <w:bCs/>
          <w:sz w:val="28"/>
          <w:szCs w:val="28"/>
        </w:rPr>
        <w:t>Европейская экономическая комиссия</w:t>
      </w:r>
    </w:p>
    <w:p w:rsidR="00931A3D" w:rsidRDefault="00931A3D" w:rsidP="00931A3D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931A3D" w:rsidRPr="007331BE" w:rsidRDefault="00931A3D" w:rsidP="00931A3D">
      <w:pPr>
        <w:spacing w:before="120"/>
        <w:rPr>
          <w:b/>
          <w:bCs/>
          <w:sz w:val="24"/>
          <w:szCs w:val="24"/>
        </w:rPr>
      </w:pPr>
      <w:bookmarkStart w:id="1" w:name="OLE_LINK11"/>
      <w:bookmarkStart w:id="2" w:name="OLE_LINK12"/>
      <w:r w:rsidRPr="007331B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331BE">
        <w:rPr>
          <w:b/>
          <w:bCs/>
          <w:sz w:val="24"/>
          <w:szCs w:val="24"/>
        </w:rPr>
        <w:br/>
        <w:t>в области транспортных средств</w:t>
      </w:r>
    </w:p>
    <w:bookmarkEnd w:id="1"/>
    <w:bookmarkEnd w:id="2"/>
    <w:p w:rsidR="00931A3D" w:rsidRPr="007331BE" w:rsidRDefault="00931A3D" w:rsidP="00931A3D">
      <w:pPr>
        <w:spacing w:before="120"/>
        <w:rPr>
          <w:b/>
          <w:szCs w:val="20"/>
        </w:rPr>
      </w:pPr>
      <w:r w:rsidRPr="007331BE">
        <w:rPr>
          <w:b/>
          <w:bCs/>
          <w:szCs w:val="20"/>
        </w:rPr>
        <w:t xml:space="preserve">Рабочая группа по вопросам освещения </w:t>
      </w:r>
      <w:r w:rsidRPr="007331BE">
        <w:rPr>
          <w:b/>
          <w:bCs/>
          <w:szCs w:val="20"/>
        </w:rPr>
        <w:br/>
        <w:t>и световой сигнализации</w:t>
      </w:r>
    </w:p>
    <w:p w:rsidR="00931A3D" w:rsidRPr="00035DC9" w:rsidRDefault="00931A3D" w:rsidP="00931A3D">
      <w:pPr>
        <w:spacing w:before="120"/>
        <w:rPr>
          <w:b/>
          <w:bCs/>
        </w:rPr>
      </w:pPr>
      <w:r>
        <w:rPr>
          <w:b/>
          <w:bCs/>
        </w:rPr>
        <w:t>Восемьдесят вторая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931A3D" w:rsidRDefault="00931A3D" w:rsidP="00931A3D">
      <w:pPr>
        <w:ind w:right="1134"/>
      </w:pPr>
      <w:r>
        <w:t>Женева</w:t>
      </w:r>
      <w:r w:rsidRPr="00467163">
        <w:t>, 22</w:t>
      </w:r>
      <w:r>
        <w:rPr>
          <w:lang w:val="en-US"/>
        </w:rPr>
        <w:t>–</w:t>
      </w:r>
      <w:r w:rsidRPr="00467163">
        <w:t xml:space="preserve">25 </w:t>
      </w:r>
      <w:r>
        <w:t>октября</w:t>
      </w:r>
      <w:r w:rsidRPr="00467163">
        <w:t xml:space="preserve"> 2019 </w:t>
      </w:r>
      <w:r>
        <w:t>года</w:t>
      </w:r>
    </w:p>
    <w:p w:rsidR="00931A3D" w:rsidRPr="004868DB" w:rsidRDefault="00931A3D" w:rsidP="00931A3D">
      <w:pPr>
        <w:ind w:right="1134"/>
        <w:rPr>
          <w:bCs/>
        </w:rPr>
      </w:pPr>
      <w:r>
        <w:t>Пункт</w:t>
      </w:r>
      <w:r w:rsidRPr="000A0B2C">
        <w:rPr>
          <w:bCs/>
        </w:rPr>
        <w:t xml:space="preserve"> 7 </w:t>
      </w:r>
      <w:r>
        <w:rPr>
          <w:bCs/>
        </w:rPr>
        <w:t>b</w:t>
      </w:r>
      <w:r w:rsidRPr="000A0B2C">
        <w:rPr>
          <w:bCs/>
        </w:rPr>
        <w:t xml:space="preserve">) </w:t>
      </w:r>
      <w:r>
        <w:rPr>
          <w:bCs/>
        </w:rPr>
        <w:t>предварительной повестки дня</w:t>
      </w:r>
      <w:r w:rsidRPr="004868DB">
        <w:rPr>
          <w:bCs/>
        </w:rPr>
        <w:br/>
      </w:r>
      <w:r w:rsidRPr="000A0B2C">
        <w:rPr>
          <w:b/>
          <w:bCs/>
        </w:rPr>
        <w:t>Другие правила ООН</w:t>
      </w:r>
      <w:r w:rsidRPr="004868DB">
        <w:rPr>
          <w:b/>
          <w:bCs/>
        </w:rPr>
        <w:t>:</w:t>
      </w:r>
    </w:p>
    <w:p w:rsidR="00931A3D" w:rsidRPr="004868DB" w:rsidRDefault="00931A3D" w:rsidP="00931A3D">
      <w:pPr>
        <w:ind w:right="1134"/>
        <w:rPr>
          <w:b/>
          <w:bCs/>
        </w:rPr>
      </w:pPr>
      <w:r>
        <w:rPr>
          <w:b/>
          <w:bCs/>
        </w:rPr>
        <w:t>Правила</w:t>
      </w:r>
      <w:r w:rsidRPr="004868DB">
        <w:rPr>
          <w:b/>
          <w:bCs/>
        </w:rPr>
        <w:t xml:space="preserve"> № 53 </w:t>
      </w:r>
      <w:r>
        <w:rPr>
          <w:b/>
          <w:bCs/>
        </w:rPr>
        <w:t>ООН</w:t>
      </w:r>
      <w:r w:rsidRPr="004868DB">
        <w:rPr>
          <w:b/>
          <w:bCs/>
        </w:rPr>
        <w:t xml:space="preserve"> (</w:t>
      </w:r>
      <w:r w:rsidRPr="004868DB">
        <w:rPr>
          <w:b/>
        </w:rPr>
        <w:t xml:space="preserve">установка устройств освещения </w:t>
      </w:r>
      <w:r w:rsidRPr="004868DB">
        <w:rPr>
          <w:b/>
        </w:rPr>
        <w:br/>
        <w:t xml:space="preserve">и световой сигнализации для транспортных средств </w:t>
      </w:r>
      <w:r w:rsidRPr="004868DB">
        <w:rPr>
          <w:b/>
        </w:rPr>
        <w:br/>
        <w:t>категории</w:t>
      </w:r>
      <w:r w:rsidRPr="004868DB">
        <w:rPr>
          <w:b/>
          <w:bCs/>
        </w:rPr>
        <w:t xml:space="preserve"> </w:t>
      </w:r>
      <w:r w:rsidRPr="00235F72">
        <w:rPr>
          <w:b/>
          <w:bCs/>
        </w:rPr>
        <w:t>L</w:t>
      </w:r>
      <w:r w:rsidRPr="004868DB">
        <w:rPr>
          <w:b/>
          <w:bCs/>
          <w:vertAlign w:val="subscript"/>
        </w:rPr>
        <w:t>3</w:t>
      </w:r>
      <w:r w:rsidRPr="004868DB">
        <w:rPr>
          <w:b/>
          <w:bCs/>
        </w:rPr>
        <w:t>)</w:t>
      </w:r>
    </w:p>
    <w:p w:rsidR="00931A3D" w:rsidRPr="004868DB" w:rsidRDefault="00931A3D" w:rsidP="00931A3D">
      <w:pPr>
        <w:pStyle w:val="HChG"/>
        <w:tabs>
          <w:tab w:val="clear" w:pos="851"/>
        </w:tabs>
        <w:ind w:firstLine="0"/>
      </w:pPr>
      <w:r w:rsidRPr="004868DB">
        <w:tab/>
      </w:r>
      <w:r w:rsidRPr="00656098">
        <w:t>Предложение</w:t>
      </w:r>
      <w:r w:rsidRPr="004868DB">
        <w:t xml:space="preserve"> </w:t>
      </w:r>
      <w:r w:rsidRPr="00656098">
        <w:t>по</w:t>
      </w:r>
      <w:r w:rsidRPr="004868DB">
        <w:t xml:space="preserve"> </w:t>
      </w:r>
      <w:r w:rsidRPr="00656098">
        <w:t>новому</w:t>
      </w:r>
      <w:r w:rsidRPr="004868DB">
        <w:t xml:space="preserve"> </w:t>
      </w:r>
      <w:r w:rsidRPr="00656098">
        <w:t>дополнению</w:t>
      </w:r>
      <w:r w:rsidRPr="004868DB">
        <w:t xml:space="preserve"> </w:t>
      </w:r>
      <w:r w:rsidRPr="00656098">
        <w:t>к</w:t>
      </w:r>
      <w:r w:rsidRPr="004868DB">
        <w:t xml:space="preserve"> </w:t>
      </w:r>
      <w:r w:rsidRPr="00656098">
        <w:t>поправкам</w:t>
      </w:r>
      <w:r w:rsidRPr="004868DB">
        <w:t xml:space="preserve"> </w:t>
      </w:r>
      <w:r w:rsidRPr="004868DB">
        <w:br/>
      </w:r>
      <w:r w:rsidRPr="00656098">
        <w:t>серии</w:t>
      </w:r>
      <w:r w:rsidRPr="004868DB">
        <w:t xml:space="preserve"> 01 </w:t>
      </w:r>
      <w:r w:rsidRPr="00656098">
        <w:t>и</w:t>
      </w:r>
      <w:r w:rsidRPr="004868DB">
        <w:t xml:space="preserve"> </w:t>
      </w:r>
      <w:r w:rsidRPr="00656098">
        <w:t>к</w:t>
      </w:r>
      <w:r w:rsidRPr="004868DB">
        <w:t xml:space="preserve"> </w:t>
      </w:r>
      <w:r w:rsidRPr="00656098">
        <w:t>поправкам</w:t>
      </w:r>
      <w:r w:rsidRPr="004868DB">
        <w:t xml:space="preserve"> </w:t>
      </w:r>
      <w:r w:rsidRPr="00656098">
        <w:t>серии</w:t>
      </w:r>
      <w:r w:rsidRPr="004868DB">
        <w:t xml:space="preserve"> 02 </w:t>
      </w:r>
      <w:r w:rsidRPr="00656098">
        <w:t>к</w:t>
      </w:r>
      <w:r w:rsidRPr="00656098">
        <w:rPr>
          <w:lang w:val="en-US"/>
        </w:rPr>
        <w:t> </w:t>
      </w:r>
      <w:r w:rsidRPr="00656098">
        <w:t>Правилам</w:t>
      </w:r>
      <w:r w:rsidRPr="004868DB">
        <w:t xml:space="preserve"> № 53 </w:t>
      </w:r>
      <w:r w:rsidRPr="00656098">
        <w:t>ООН</w:t>
      </w:r>
    </w:p>
    <w:p w:rsidR="00931A3D" w:rsidRPr="004D1FAA" w:rsidRDefault="00931A3D" w:rsidP="00931A3D">
      <w:pPr>
        <w:pStyle w:val="H1G"/>
        <w:ind w:firstLine="0"/>
      </w:pPr>
      <w:r w:rsidRPr="00B67AB8">
        <w:t>Представлено</w:t>
      </w:r>
      <w:r w:rsidRPr="004868DB">
        <w:rPr>
          <w:lang w:val="en-US"/>
        </w:rPr>
        <w:t xml:space="preserve"> </w:t>
      </w:r>
      <w:r w:rsidRPr="00B67AB8">
        <w:t>экспертом</w:t>
      </w:r>
      <w:r w:rsidRPr="004868DB">
        <w:rPr>
          <w:lang w:val="en-US"/>
        </w:rPr>
        <w:t xml:space="preserve"> </w:t>
      </w:r>
      <w:r w:rsidRPr="00B67AB8">
        <w:t>от</w:t>
      </w:r>
      <w:r w:rsidRPr="004868DB">
        <w:rPr>
          <w:lang w:val="en-US"/>
        </w:rPr>
        <w:t xml:space="preserve"> </w:t>
      </w:r>
      <w:r>
        <w:t>Индии</w:t>
      </w:r>
      <w:r w:rsidRPr="00931A3D">
        <w:rPr>
          <w:b w:val="0"/>
          <w:sz w:val="20"/>
          <w:lang w:val="en-US"/>
        </w:rPr>
        <w:footnoteReference w:customMarkFollows="1" w:id="1"/>
        <w:t>*</w:t>
      </w:r>
    </w:p>
    <w:p w:rsidR="00931A3D" w:rsidRPr="00067CE1" w:rsidRDefault="00795DFB" w:rsidP="00795DFB">
      <w:pPr>
        <w:pStyle w:val="SingleTxtG"/>
      </w:pPr>
      <w:r>
        <w:tab/>
      </w:r>
      <w:r>
        <w:tab/>
      </w:r>
      <w:r w:rsidR="00931A3D">
        <w:t>В</w:t>
      </w:r>
      <w:r w:rsidR="00931A3D" w:rsidRPr="00067CE1">
        <w:rPr>
          <w:shd w:val="clear" w:color="auto" w:fill="FFFFFF"/>
        </w:rPr>
        <w:t>оспроизведенный ниже текст</w:t>
      </w:r>
      <w:r w:rsidR="00931A3D" w:rsidRPr="00067CE1">
        <w:t xml:space="preserve"> </w:t>
      </w:r>
      <w:r w:rsidR="00931A3D">
        <w:t>содержит</w:t>
      </w:r>
      <w:r w:rsidR="00931A3D" w:rsidRPr="00067CE1">
        <w:t xml:space="preserve"> </w:t>
      </w:r>
      <w:r w:rsidR="00931A3D">
        <w:t>пересмотренный</w:t>
      </w:r>
      <w:r w:rsidR="00931A3D" w:rsidRPr="00067CE1">
        <w:t xml:space="preserve"> </w:t>
      </w:r>
      <w:r w:rsidR="00931A3D">
        <w:t>вариант</w:t>
      </w:r>
      <w:r w:rsidR="00931A3D" w:rsidRPr="00067CE1">
        <w:t xml:space="preserve"> </w:t>
      </w:r>
      <w:r w:rsidR="00931A3D">
        <w:t>документа</w:t>
      </w:r>
      <w:r w:rsidR="00931A3D" w:rsidRPr="00067CE1">
        <w:t xml:space="preserve"> </w:t>
      </w:r>
      <w:r w:rsidR="00931A3D" w:rsidRPr="002D7571">
        <w:t>ECE</w:t>
      </w:r>
      <w:r w:rsidR="00931A3D" w:rsidRPr="00067CE1">
        <w:t>/</w:t>
      </w:r>
      <w:r w:rsidR="00931A3D" w:rsidRPr="002D7571">
        <w:t>TRANS</w:t>
      </w:r>
      <w:r w:rsidR="00931A3D" w:rsidRPr="00067CE1">
        <w:t>/</w:t>
      </w:r>
      <w:r w:rsidR="00931A3D" w:rsidRPr="002D7571">
        <w:t>WP</w:t>
      </w:r>
      <w:r w:rsidR="00931A3D" w:rsidRPr="00067CE1">
        <w:t>.29/</w:t>
      </w:r>
      <w:r w:rsidR="00931A3D" w:rsidRPr="002D7571">
        <w:t>GRE</w:t>
      </w:r>
      <w:r w:rsidR="00931A3D" w:rsidRPr="00067CE1">
        <w:t xml:space="preserve">/2018/47, </w:t>
      </w:r>
      <w:r w:rsidR="00931A3D">
        <w:t>который</w:t>
      </w:r>
      <w:r w:rsidR="00931A3D" w:rsidRPr="00067CE1">
        <w:t xml:space="preserve"> </w:t>
      </w:r>
      <w:r w:rsidR="00931A3D">
        <w:t>был</w:t>
      </w:r>
      <w:r w:rsidR="00931A3D" w:rsidRPr="00067CE1">
        <w:t xml:space="preserve"> </w:t>
      </w:r>
      <w:r w:rsidR="00931A3D">
        <w:t>подготовлен</w:t>
      </w:r>
      <w:r w:rsidR="00931A3D" w:rsidRPr="00067CE1">
        <w:t xml:space="preserve"> </w:t>
      </w:r>
      <w:r w:rsidR="00931A3D">
        <w:t>экспертами</w:t>
      </w:r>
      <w:r w:rsidR="00931A3D" w:rsidRPr="00067CE1">
        <w:t xml:space="preserve"> </w:t>
      </w:r>
      <w:r w:rsidR="00931A3D">
        <w:t>от</w:t>
      </w:r>
      <w:r w:rsidR="00931A3D" w:rsidRPr="00067CE1">
        <w:t xml:space="preserve"> </w:t>
      </w:r>
      <w:r w:rsidR="00931A3D">
        <w:t>Индии</w:t>
      </w:r>
      <w:r w:rsidR="00931A3D" w:rsidRPr="00067CE1">
        <w:t xml:space="preserve"> </w:t>
      </w:r>
      <w:r w:rsidR="00931A3D">
        <w:t>и</w:t>
      </w:r>
      <w:r w:rsidR="00931A3D" w:rsidRPr="00067CE1">
        <w:t xml:space="preserve"> </w:t>
      </w:r>
      <w:r w:rsidR="00931A3D">
        <w:t>представлен</w:t>
      </w:r>
      <w:r w:rsidR="00931A3D" w:rsidRPr="00067CE1">
        <w:t xml:space="preserve"> </w:t>
      </w:r>
      <w:r w:rsidR="00931A3D">
        <w:t>к</w:t>
      </w:r>
      <w:r w:rsidR="00931A3D" w:rsidRPr="00067CE1">
        <w:t xml:space="preserve"> </w:t>
      </w:r>
      <w:r w:rsidR="00931A3D">
        <w:t>восьмидесятой</w:t>
      </w:r>
      <w:r w:rsidR="00931A3D" w:rsidRPr="00067CE1">
        <w:t xml:space="preserve"> </w:t>
      </w:r>
      <w:r w:rsidR="00931A3D">
        <w:t>сессии</w:t>
      </w:r>
      <w:r w:rsidR="00931A3D" w:rsidRPr="00067CE1">
        <w:t xml:space="preserve"> </w:t>
      </w:r>
      <w:r w:rsidR="00931A3D" w:rsidRPr="002D7571">
        <w:t>GRE</w:t>
      </w:r>
      <w:r w:rsidR="00931A3D" w:rsidRPr="00067CE1">
        <w:t xml:space="preserve"> </w:t>
      </w:r>
      <w:r w:rsidR="00931A3D">
        <w:t>для</w:t>
      </w:r>
      <w:r w:rsidR="00931A3D" w:rsidRPr="00067CE1">
        <w:t xml:space="preserve"> </w:t>
      </w:r>
      <w:r w:rsidR="00931A3D">
        <w:t>установки</w:t>
      </w:r>
      <w:r w:rsidR="00931A3D" w:rsidRPr="00067CE1">
        <w:t xml:space="preserve"> </w:t>
      </w:r>
      <w:r w:rsidR="00931A3D">
        <w:t>передних</w:t>
      </w:r>
      <w:r w:rsidR="00931A3D" w:rsidRPr="00067CE1">
        <w:t xml:space="preserve"> </w:t>
      </w:r>
      <w:r w:rsidR="00931A3D">
        <w:t>габаритных</w:t>
      </w:r>
      <w:r w:rsidR="00931A3D" w:rsidRPr="00067CE1">
        <w:t xml:space="preserve"> </w:t>
      </w:r>
      <w:r w:rsidR="00931A3D">
        <w:t>огней</w:t>
      </w:r>
      <w:r w:rsidR="00931A3D" w:rsidRPr="00067CE1">
        <w:t xml:space="preserve"> (</w:t>
      </w:r>
      <w:r w:rsidR="00931A3D">
        <w:t>ПГО</w:t>
      </w:r>
      <w:r w:rsidR="00931A3D" w:rsidRPr="00067CE1">
        <w:t xml:space="preserve">) </w:t>
      </w:r>
      <w:r w:rsidR="00931A3D">
        <w:t>в</w:t>
      </w:r>
      <w:r w:rsidR="00931A3D" w:rsidRPr="00067CE1">
        <w:t xml:space="preserve"> </w:t>
      </w:r>
      <w:r w:rsidR="00931A3D">
        <w:t>качестве</w:t>
      </w:r>
      <w:r w:rsidR="00931A3D" w:rsidRPr="00067CE1">
        <w:t xml:space="preserve"> </w:t>
      </w:r>
      <w:r w:rsidR="00931A3D">
        <w:t>факультативного</w:t>
      </w:r>
      <w:r w:rsidR="00931A3D" w:rsidRPr="00067CE1">
        <w:t xml:space="preserve"> </w:t>
      </w:r>
      <w:r w:rsidR="00931A3D">
        <w:t>варианта</w:t>
      </w:r>
      <w:r w:rsidR="00931A3D" w:rsidRPr="00067CE1">
        <w:t xml:space="preserve"> </w:t>
      </w:r>
      <w:r w:rsidR="00931A3D">
        <w:t>и</w:t>
      </w:r>
      <w:r w:rsidR="00931A3D" w:rsidRPr="00067CE1">
        <w:t xml:space="preserve"> </w:t>
      </w:r>
      <w:r w:rsidR="00931A3D">
        <w:t>разработки</w:t>
      </w:r>
      <w:r w:rsidR="00931A3D" w:rsidRPr="00067CE1">
        <w:t xml:space="preserve"> </w:t>
      </w:r>
      <w:r w:rsidR="00931A3D">
        <w:t>надлежащего</w:t>
      </w:r>
      <w:r w:rsidR="00931A3D" w:rsidRPr="00067CE1">
        <w:t xml:space="preserve"> </w:t>
      </w:r>
      <w:r w:rsidR="00931A3D">
        <w:t>текста</w:t>
      </w:r>
      <w:r w:rsidR="00931A3D" w:rsidRPr="00067CE1">
        <w:t xml:space="preserve"> </w:t>
      </w:r>
      <w:r w:rsidR="00931A3D">
        <w:t>для</w:t>
      </w:r>
      <w:r w:rsidR="00931A3D" w:rsidRPr="00067CE1">
        <w:t xml:space="preserve"> </w:t>
      </w:r>
      <w:r w:rsidR="00931A3D">
        <w:t xml:space="preserve">изменения положений о задействовании одновременно включаемых огней. </w:t>
      </w:r>
    </w:p>
    <w:p w:rsidR="00931A3D" w:rsidRPr="004868DB" w:rsidRDefault="00795DFB" w:rsidP="00795DFB">
      <w:pPr>
        <w:pStyle w:val="SingleTxtG"/>
      </w:pPr>
      <w:r>
        <w:tab/>
      </w:r>
      <w:r>
        <w:tab/>
      </w:r>
      <w:r w:rsidR="00931A3D">
        <w:t>В</w:t>
      </w:r>
      <w:r w:rsidR="00931A3D" w:rsidRPr="00067CE1">
        <w:t xml:space="preserve"> </w:t>
      </w:r>
      <w:r w:rsidR="00931A3D">
        <w:t>настоящем</w:t>
      </w:r>
      <w:r w:rsidR="00931A3D" w:rsidRPr="00067CE1">
        <w:t xml:space="preserve"> </w:t>
      </w:r>
      <w:r w:rsidR="00931A3D">
        <w:t>документе</w:t>
      </w:r>
      <w:r w:rsidR="00931A3D" w:rsidRPr="00067CE1">
        <w:t xml:space="preserve"> </w:t>
      </w:r>
      <w:r w:rsidR="00931A3D">
        <w:t>учтены</w:t>
      </w:r>
      <w:r w:rsidR="00931A3D" w:rsidRPr="00067CE1">
        <w:t xml:space="preserve"> </w:t>
      </w:r>
      <w:r w:rsidR="00931A3D">
        <w:t>материалы</w:t>
      </w:r>
      <w:r w:rsidR="00931A3D" w:rsidRPr="00067CE1">
        <w:t xml:space="preserve">, </w:t>
      </w:r>
      <w:r w:rsidR="00931A3D">
        <w:t>поступившие от экспертов GRE, и содержится нормативный текст, предусматривающий конкретные условия, в которых установка ПГО может рассматриваться в качестве факультативного варианта в рамках Правил № 53 ООН</w:t>
      </w:r>
      <w:r w:rsidR="00931A3D" w:rsidRPr="00067CE1">
        <w:t xml:space="preserve">. </w:t>
      </w:r>
      <w:r w:rsidR="00931A3D">
        <w:t>До</w:t>
      </w:r>
      <w:r w:rsidR="00931A3D" w:rsidRPr="00067CE1">
        <w:t xml:space="preserve"> </w:t>
      </w:r>
      <w:r w:rsidR="00931A3D" w:rsidRPr="00795DFB">
        <w:t>представления</w:t>
      </w:r>
      <w:r w:rsidR="00931A3D" w:rsidRPr="00067CE1">
        <w:t xml:space="preserve"> </w:t>
      </w:r>
      <w:r w:rsidR="00931A3D">
        <w:t>официального</w:t>
      </w:r>
      <w:r w:rsidR="00931A3D" w:rsidRPr="00067CE1">
        <w:t xml:space="preserve"> </w:t>
      </w:r>
      <w:r w:rsidR="00931A3D">
        <w:t>документа</w:t>
      </w:r>
      <w:r w:rsidR="00931A3D" w:rsidRPr="00067CE1">
        <w:t xml:space="preserve"> </w:t>
      </w:r>
      <w:r w:rsidR="00931A3D">
        <w:t>Индия</w:t>
      </w:r>
      <w:r w:rsidR="00931A3D" w:rsidRPr="00067CE1">
        <w:t xml:space="preserve"> </w:t>
      </w:r>
      <w:r w:rsidR="00931A3D">
        <w:t xml:space="preserve">передала также неофициальные документы </w:t>
      </w:r>
      <w:r w:rsidR="00931A3D" w:rsidRPr="002D7571">
        <w:t>GRE</w:t>
      </w:r>
      <w:r w:rsidR="00931A3D" w:rsidRPr="00067CE1">
        <w:t xml:space="preserve">-76-06, </w:t>
      </w:r>
      <w:r w:rsidR="00931A3D" w:rsidRPr="002D7571">
        <w:t>GRE</w:t>
      </w:r>
      <w:r w:rsidR="00931A3D" w:rsidRPr="00067CE1">
        <w:t xml:space="preserve">-77-08 </w:t>
      </w:r>
      <w:r w:rsidR="00931A3D">
        <w:t xml:space="preserve">и </w:t>
      </w:r>
      <w:r w:rsidR="00931A3D" w:rsidRPr="002D7571">
        <w:t>GRE</w:t>
      </w:r>
      <w:r w:rsidR="00931A3D" w:rsidRPr="00067CE1">
        <w:t xml:space="preserve">-78-24. </w:t>
      </w:r>
      <w:r w:rsidR="00931A3D">
        <w:t>Настоящий</w:t>
      </w:r>
      <w:r w:rsidR="00931A3D" w:rsidRPr="00555087">
        <w:t xml:space="preserve"> </w:t>
      </w:r>
      <w:r w:rsidR="00931A3D">
        <w:t>документ</w:t>
      </w:r>
      <w:r w:rsidR="00931A3D" w:rsidRPr="00555087">
        <w:t xml:space="preserve"> </w:t>
      </w:r>
      <w:r w:rsidR="00931A3D">
        <w:t>заменяет</w:t>
      </w:r>
      <w:r w:rsidR="00931A3D" w:rsidRPr="00555087">
        <w:t xml:space="preserve"> </w:t>
      </w:r>
      <w:r w:rsidR="00931A3D">
        <w:t>все</w:t>
      </w:r>
      <w:r w:rsidR="00931A3D" w:rsidRPr="00555087">
        <w:t xml:space="preserve"> </w:t>
      </w:r>
      <w:r w:rsidR="00931A3D">
        <w:t>неофициальные</w:t>
      </w:r>
      <w:r w:rsidR="00931A3D" w:rsidRPr="00555087">
        <w:t xml:space="preserve"> </w:t>
      </w:r>
      <w:r w:rsidR="00931A3D">
        <w:t>и</w:t>
      </w:r>
      <w:r w:rsidR="00931A3D" w:rsidRPr="00555087">
        <w:t xml:space="preserve"> </w:t>
      </w:r>
      <w:r w:rsidR="00931A3D">
        <w:t>официальные</w:t>
      </w:r>
      <w:r w:rsidR="00931A3D" w:rsidRPr="00555087">
        <w:t xml:space="preserve"> </w:t>
      </w:r>
      <w:r w:rsidR="00931A3D">
        <w:t>документы</w:t>
      </w:r>
      <w:r w:rsidR="00931A3D" w:rsidRPr="00555087">
        <w:t xml:space="preserve">, </w:t>
      </w:r>
      <w:r w:rsidR="00931A3D">
        <w:t>представленные</w:t>
      </w:r>
      <w:r w:rsidR="00931A3D" w:rsidRPr="00555087">
        <w:t xml:space="preserve"> </w:t>
      </w:r>
      <w:r w:rsidR="00931A3D">
        <w:t>ранее. Изменения</w:t>
      </w:r>
      <w:r w:rsidR="00931A3D" w:rsidRPr="00555087">
        <w:t xml:space="preserve"> </w:t>
      </w:r>
      <w:r w:rsidR="00931A3D">
        <w:t>выделены</w:t>
      </w:r>
      <w:r w:rsidR="00931A3D" w:rsidRPr="00555087">
        <w:t xml:space="preserve"> </w:t>
      </w:r>
      <w:r w:rsidR="00931A3D">
        <w:t>зачеркиванием</w:t>
      </w:r>
      <w:r w:rsidR="00931A3D" w:rsidRPr="00555087">
        <w:t xml:space="preserve"> </w:t>
      </w:r>
      <w:r w:rsidR="00931A3D">
        <w:t>в</w:t>
      </w:r>
      <w:r w:rsidR="00931A3D" w:rsidRPr="00555087">
        <w:t xml:space="preserve"> </w:t>
      </w:r>
      <w:r w:rsidR="00931A3D">
        <w:t>случае</w:t>
      </w:r>
      <w:r w:rsidR="00931A3D" w:rsidRPr="00555087">
        <w:t xml:space="preserve"> </w:t>
      </w:r>
      <w:r w:rsidR="00931A3D" w:rsidRPr="00145D49">
        <w:t>исключенных</w:t>
      </w:r>
      <w:r w:rsidR="00931A3D" w:rsidRPr="00555087">
        <w:t xml:space="preserve"> </w:t>
      </w:r>
      <w:r w:rsidR="00931A3D" w:rsidRPr="00145D49">
        <w:t>элементов</w:t>
      </w:r>
      <w:r w:rsidR="00931A3D" w:rsidRPr="00555087">
        <w:t xml:space="preserve"> </w:t>
      </w:r>
      <w:r w:rsidR="00931A3D">
        <w:t>и</w:t>
      </w:r>
      <w:r w:rsidR="00931A3D" w:rsidRPr="00555087">
        <w:t xml:space="preserve"> </w:t>
      </w:r>
      <w:r w:rsidR="00931A3D" w:rsidRPr="00145D49">
        <w:t>жирным шрифтом в случае новых положений</w:t>
      </w:r>
      <w:r w:rsidR="00931A3D">
        <w:t>.</w:t>
      </w:r>
    </w:p>
    <w:p w:rsidR="00931A3D" w:rsidRPr="004868DB" w:rsidRDefault="00931A3D" w:rsidP="00931A3D">
      <w:pPr>
        <w:suppressAutoHyphens w:val="0"/>
        <w:spacing w:line="240" w:lineRule="auto"/>
        <w:rPr>
          <w:rFonts w:eastAsia="Calibri"/>
        </w:rPr>
      </w:pPr>
      <w:r w:rsidRPr="004868DB">
        <w:rPr>
          <w:rFonts w:eastAsia="Calibri"/>
        </w:rPr>
        <w:br w:type="page"/>
      </w:r>
    </w:p>
    <w:p w:rsidR="00931A3D" w:rsidRPr="00C66D39" w:rsidRDefault="00931A3D" w:rsidP="00931A3D">
      <w:pPr>
        <w:pStyle w:val="HChG"/>
      </w:pPr>
      <w:r w:rsidRPr="004868DB">
        <w:lastRenderedPageBreak/>
        <w:t xml:space="preserve"> </w:t>
      </w:r>
      <w:r w:rsidRPr="004868DB">
        <w:tab/>
      </w:r>
      <w:r>
        <w:rPr>
          <w:lang w:val="en-US"/>
        </w:rPr>
        <w:t>I</w:t>
      </w:r>
      <w:r w:rsidRPr="00C66D39">
        <w:t>.</w:t>
      </w:r>
      <w:r w:rsidRPr="00C66D39">
        <w:tab/>
      </w:r>
      <w:r w:rsidRPr="00656098">
        <w:t>Предложение</w:t>
      </w:r>
    </w:p>
    <w:p w:rsidR="00931A3D" w:rsidRPr="00C66D39" w:rsidRDefault="00931A3D" w:rsidP="00931A3D">
      <w:pPr>
        <w:autoSpaceDE w:val="0"/>
        <w:autoSpaceDN w:val="0"/>
        <w:adjustRightInd w:val="0"/>
        <w:spacing w:after="120"/>
        <w:ind w:left="1134" w:right="1418"/>
        <w:jc w:val="both"/>
        <w:rPr>
          <w:lang w:val="en-US"/>
        </w:rPr>
      </w:pPr>
      <w:r w:rsidRPr="00C66D39">
        <w:rPr>
          <w:i/>
        </w:rPr>
        <w:t>Пункт</w:t>
      </w:r>
      <w:r w:rsidRPr="00C66D39">
        <w:rPr>
          <w:i/>
          <w:lang w:val="en-US"/>
        </w:rPr>
        <w:t xml:space="preserve"> 5.10</w:t>
      </w:r>
      <w:r>
        <w:rPr>
          <w:i/>
          <w:lang w:val="en-US"/>
        </w:rPr>
        <w:t xml:space="preserve"> </w:t>
      </w:r>
      <w:r w:rsidRPr="00C66D39">
        <w:t>изменить</w:t>
      </w:r>
      <w:r w:rsidRPr="00C66D39">
        <w:rPr>
          <w:lang w:val="en-US"/>
        </w:rPr>
        <w:t xml:space="preserve"> </w:t>
      </w:r>
      <w:r w:rsidRPr="00C66D39">
        <w:t>следующим</w:t>
      </w:r>
      <w:r w:rsidRPr="00C66D39">
        <w:rPr>
          <w:lang w:val="en-US"/>
        </w:rPr>
        <w:t xml:space="preserve"> </w:t>
      </w:r>
      <w:r w:rsidRPr="00C66D39">
        <w:t>образом</w:t>
      </w:r>
      <w:r w:rsidRPr="00C66D39">
        <w:rPr>
          <w:lang w:val="en-US"/>
        </w:rPr>
        <w:t>:</w:t>
      </w:r>
    </w:p>
    <w:p w:rsidR="00931A3D" w:rsidRPr="00C369BC" w:rsidRDefault="00931A3D" w:rsidP="00795DFB">
      <w:pPr>
        <w:pStyle w:val="SingleTxtG"/>
        <w:ind w:left="2290" w:right="1138" w:hanging="1152"/>
        <w:rPr>
          <w:b/>
          <w:color w:val="000000" w:themeColor="text1"/>
        </w:rPr>
      </w:pPr>
      <w:r w:rsidRPr="00C66D39">
        <w:t>«5.10</w:t>
      </w:r>
      <w:r w:rsidRPr="00C66D39">
        <w:tab/>
        <w:t xml:space="preserve">Схема электрических соединений должна быть такой, чтобы передний габаритный огонь или фара ближнего света (в случае отсутствия переднего габаритного огня), задний габаритный огонь и фонарь освещения заднего регистрационного знака могли включаться или выключаться только одновременно, если не указано иное. </w:t>
      </w:r>
      <w:r w:rsidRPr="00C66D39">
        <w:rPr>
          <w:b/>
        </w:rPr>
        <w:t>Данное условие не применимо в отрезок времени между активацией функции центрального управления (поворот ключа зажигания) и запуском двигателя</w:t>
      </w:r>
      <w:r w:rsidRPr="00C66D39">
        <w:t>».</w:t>
      </w:r>
    </w:p>
    <w:p w:rsidR="00931A3D" w:rsidRPr="00406287" w:rsidRDefault="00931A3D" w:rsidP="00795DFB">
      <w:pPr>
        <w:pStyle w:val="SingleTxtG"/>
        <w:ind w:left="2290" w:right="1138" w:hanging="1152"/>
      </w:pPr>
      <w:r w:rsidRPr="00406287">
        <w:rPr>
          <w:i/>
        </w:rPr>
        <w:t xml:space="preserve">Пункт 5.14 </w:t>
      </w:r>
      <w:r w:rsidRPr="00406287">
        <w:t>изменить следующим образом:</w:t>
      </w:r>
    </w:p>
    <w:p w:rsidR="00931A3D" w:rsidRPr="00656098" w:rsidRDefault="00931A3D" w:rsidP="00795DFB">
      <w:pPr>
        <w:pStyle w:val="SingleTxtG"/>
        <w:ind w:left="2290" w:right="1138" w:hanging="1152"/>
      </w:pPr>
      <w:r>
        <w:t>«</w:t>
      </w:r>
      <w:r w:rsidRPr="00656098">
        <w:t>5.14</w:t>
      </w:r>
      <w:r w:rsidRPr="00656098">
        <w:tab/>
        <w:t>Каждое транспортное средство, представленное на официальное утверждение на основании настоящих Правил, должно быть оборудовано следующими устройствами освещения и световой сигнализации: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5.14.1</w:t>
      </w:r>
      <w:r>
        <w:tab/>
      </w:r>
      <w:r w:rsidR="00931A3D" w:rsidRPr="00656098">
        <w:t>фарой дальнего света (пункт 6.1);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5.14.2</w:t>
      </w:r>
      <w:r>
        <w:tab/>
      </w:r>
      <w:r w:rsidR="00931A3D" w:rsidRPr="00656098">
        <w:t>фарой ближнего света (пункт 6.2);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5.14.3</w:t>
      </w:r>
      <w:r>
        <w:tab/>
      </w:r>
      <w:r w:rsidR="00931A3D" w:rsidRPr="00656098">
        <w:t>указателями поворота (пункт 6.3);</w:t>
      </w:r>
    </w:p>
    <w:p w:rsidR="00931A3D" w:rsidRPr="00656098" w:rsidRDefault="00931A3D" w:rsidP="00795DFB">
      <w:pPr>
        <w:pStyle w:val="SingleTxtG"/>
        <w:ind w:left="2290" w:right="1138" w:hanging="1152"/>
      </w:pPr>
      <w:r w:rsidRPr="00656098">
        <w:t>5.14.4</w:t>
      </w:r>
      <w:r w:rsidRPr="00656098">
        <w:tab/>
        <w:t>сигналом торможения − устройством категории S1, указанным в Правилах № 7, либо сигналом торможения, указанным в Правилах № 50 (пункт 6.4);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5.14.5</w:t>
      </w:r>
      <w:r>
        <w:tab/>
      </w:r>
      <w:r w:rsidR="00931A3D" w:rsidRPr="00656098">
        <w:t>фонарем освещения заднего регистрационного знака (пункт 6.5);</w:t>
      </w:r>
    </w:p>
    <w:p w:rsidR="00931A3D" w:rsidRPr="00406287" w:rsidRDefault="00931A3D" w:rsidP="00795DFB">
      <w:pPr>
        <w:pStyle w:val="SingleTxtG"/>
        <w:ind w:left="2290" w:right="1138" w:hanging="1152"/>
      </w:pPr>
      <w:r w:rsidRPr="00406287">
        <w:t xml:space="preserve">5.14.6 </w:t>
      </w:r>
      <w:r w:rsidRPr="00406287">
        <w:tab/>
      </w:r>
      <w:r w:rsidRPr="00656098">
        <w:t>передним габаритным огне</w:t>
      </w:r>
      <w:r>
        <w:t>м (пункт 6.6</w:t>
      </w:r>
      <w:r w:rsidRPr="0090404F">
        <w:rPr>
          <w:bCs/>
        </w:rPr>
        <w:t>),</w:t>
      </w:r>
      <w:r w:rsidRPr="00590946">
        <w:rPr>
          <w:b/>
          <w:bCs/>
        </w:rPr>
        <w:t xml:space="preserve"> см. также пункт</w:t>
      </w:r>
      <w:r w:rsidRPr="00406287">
        <w:rPr>
          <w:b/>
        </w:rPr>
        <w:t xml:space="preserve"> 5.15.6</w:t>
      </w:r>
      <w:r w:rsidRPr="00406287">
        <w:t>;</w:t>
      </w:r>
    </w:p>
    <w:p w:rsidR="00931A3D" w:rsidRPr="00656098" w:rsidRDefault="00931A3D" w:rsidP="00795DFB">
      <w:pPr>
        <w:pStyle w:val="SingleTxtG"/>
        <w:ind w:left="2290" w:right="1138" w:hanging="1152"/>
      </w:pPr>
      <w:r w:rsidRPr="00590946">
        <w:t xml:space="preserve">5.14.7 </w:t>
      </w:r>
      <w:r>
        <w:tab/>
      </w:r>
      <w:r w:rsidRPr="00656098">
        <w:t>задним габаритным огнем (пункт 6.7);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5.14.8</w:t>
      </w:r>
      <w:r>
        <w:tab/>
      </w:r>
      <w:r w:rsidR="00931A3D" w:rsidRPr="00656098">
        <w:t xml:space="preserve">задним светоотражателем </w:t>
      </w:r>
      <w:proofErr w:type="spellStart"/>
      <w:r w:rsidR="00931A3D" w:rsidRPr="00656098">
        <w:t>нетреугольной</w:t>
      </w:r>
      <w:proofErr w:type="spellEnd"/>
      <w:r w:rsidR="00931A3D" w:rsidRPr="00656098">
        <w:t xml:space="preserve"> формы (пункт 6.8);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5.14.9</w:t>
      </w:r>
      <w:r>
        <w:tab/>
      </w:r>
      <w:r w:rsidR="00931A3D" w:rsidRPr="00656098">
        <w:t xml:space="preserve">боковыми светоотражателями </w:t>
      </w:r>
      <w:proofErr w:type="spellStart"/>
      <w:r w:rsidR="00931A3D" w:rsidRPr="00656098">
        <w:t>нетреугольной</w:t>
      </w:r>
      <w:proofErr w:type="spellEnd"/>
      <w:r w:rsidR="00931A3D" w:rsidRPr="00656098">
        <w:t xml:space="preserve"> формы (пункт 6.12)</w:t>
      </w:r>
      <w:r w:rsidR="00931A3D">
        <w:t>;»</w:t>
      </w:r>
      <w:r w:rsidR="00931A3D" w:rsidRPr="00656098">
        <w:t>.</w:t>
      </w:r>
    </w:p>
    <w:p w:rsidR="00931A3D" w:rsidRPr="00162C6B" w:rsidRDefault="00931A3D" w:rsidP="00795DFB">
      <w:pPr>
        <w:pStyle w:val="SingleTxtG"/>
        <w:ind w:left="2290" w:right="1138" w:hanging="1152"/>
      </w:pPr>
      <w:r w:rsidRPr="00162C6B">
        <w:rPr>
          <w:i/>
        </w:rPr>
        <w:t>Пункт 5.15</w:t>
      </w:r>
      <w:r w:rsidRPr="00162C6B">
        <w:t xml:space="preserve"> изменить следующим образом: </w:t>
      </w:r>
    </w:p>
    <w:p w:rsidR="00931A3D" w:rsidRPr="00162C6B" w:rsidRDefault="00931A3D" w:rsidP="00795DFB">
      <w:pPr>
        <w:pStyle w:val="SingleTxtG"/>
        <w:ind w:left="2290" w:right="1138" w:hanging="1152"/>
      </w:pPr>
      <w:r w:rsidRPr="00162C6B">
        <w:t>«5.15</w:t>
      </w:r>
      <w:r w:rsidRPr="00162C6B">
        <w:tab/>
        <w:t>Кроме того, оно может быть оборудовано следующими устройствами освещения и световой сигнализации: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5.15.1</w:t>
      </w:r>
      <w:r>
        <w:tab/>
      </w:r>
      <w:r w:rsidR="00931A3D" w:rsidRPr="00656098">
        <w:t>аварийным сигналом (пункт 6.9);</w:t>
      </w:r>
    </w:p>
    <w:p w:rsidR="00931A3D" w:rsidRPr="00156712" w:rsidRDefault="00931A3D" w:rsidP="00795DFB">
      <w:pPr>
        <w:pStyle w:val="SingleTxtG"/>
        <w:ind w:left="2290" w:right="1138" w:hanging="1152"/>
      </w:pPr>
      <w:r w:rsidRPr="00656098">
        <w:t>5.15.2</w:t>
      </w:r>
      <w:r w:rsidRPr="00656098">
        <w:tab/>
      </w:r>
      <w:bookmarkStart w:id="3" w:name="OLE_LINK3"/>
      <w:bookmarkStart w:id="4" w:name="OLE_LINK4"/>
      <w:r w:rsidRPr="00656098">
        <w:t>противотуманными фарами</w:t>
      </w:r>
      <w:r>
        <w:t>:</w:t>
      </w:r>
      <w:r w:rsidRPr="00156712">
        <w:t xml:space="preserve"> </w:t>
      </w:r>
      <w:bookmarkEnd w:id="3"/>
      <w:bookmarkEnd w:id="4"/>
    </w:p>
    <w:p w:rsidR="00931A3D" w:rsidRPr="00656098" w:rsidRDefault="007331BE" w:rsidP="00795DFB">
      <w:pPr>
        <w:pStyle w:val="SingleTxtG"/>
        <w:ind w:left="2290" w:right="1138" w:hanging="1152"/>
      </w:pPr>
      <w:r>
        <w:t>5.15.2.1</w:t>
      </w:r>
      <w:r w:rsidR="00931A3D" w:rsidRPr="00162C6B">
        <w:tab/>
      </w:r>
      <w:r w:rsidR="00931A3D" w:rsidRPr="00656098">
        <w:t>передней</w:t>
      </w:r>
      <w:r w:rsidR="00931A3D" w:rsidRPr="00162C6B">
        <w:t xml:space="preserve"> </w:t>
      </w:r>
      <w:r w:rsidR="00931A3D" w:rsidRPr="00656098">
        <w:t>противотуманн</w:t>
      </w:r>
      <w:r w:rsidR="00931A3D">
        <w:t>ой</w:t>
      </w:r>
      <w:r w:rsidR="00931A3D" w:rsidRPr="00656098">
        <w:t xml:space="preserve"> фар</w:t>
      </w:r>
      <w:r w:rsidR="00931A3D">
        <w:t>ой</w:t>
      </w:r>
      <w:r w:rsidR="00931A3D" w:rsidRPr="00656098">
        <w:t xml:space="preserve"> (пункт 6.10)</w:t>
      </w:r>
      <w:r w:rsidR="00931A3D">
        <w:t>,</w:t>
      </w:r>
    </w:p>
    <w:p w:rsidR="00931A3D" w:rsidRPr="00656098" w:rsidRDefault="00931A3D" w:rsidP="00795DFB">
      <w:pPr>
        <w:pStyle w:val="SingleTxtG"/>
        <w:ind w:left="2290" w:right="1138" w:hanging="1152"/>
      </w:pPr>
      <w:r w:rsidRPr="00656098">
        <w:t>5.15.2.2</w:t>
      </w:r>
      <w:r w:rsidRPr="00656098">
        <w:tab/>
        <w:t>задней</w:t>
      </w:r>
      <w:r w:rsidRPr="00162C6B">
        <w:t xml:space="preserve"> </w:t>
      </w:r>
      <w:r w:rsidRPr="00656098">
        <w:t>противотуманн</w:t>
      </w:r>
      <w:r>
        <w:t>ой</w:t>
      </w:r>
      <w:r w:rsidRPr="00656098">
        <w:t xml:space="preserve"> фар</w:t>
      </w:r>
      <w:r>
        <w:t>ой</w:t>
      </w:r>
      <w:r w:rsidRPr="00656098">
        <w:t xml:space="preserve"> (пункт 6.11);</w:t>
      </w:r>
    </w:p>
    <w:p w:rsidR="00931A3D" w:rsidRPr="00656098" w:rsidRDefault="00795DFB" w:rsidP="00795DFB">
      <w:pPr>
        <w:pStyle w:val="SingleTxtG"/>
        <w:ind w:left="2290" w:right="1138" w:hanging="1152"/>
      </w:pPr>
      <w:r>
        <w:t>5.15.3</w:t>
      </w:r>
      <w:r>
        <w:tab/>
      </w:r>
      <w:r w:rsidR="00931A3D" w:rsidRPr="00656098">
        <w:t>дневным ходовым огнем (пункт 6.13);</w:t>
      </w:r>
    </w:p>
    <w:p w:rsidR="00931A3D" w:rsidRPr="00E75863" w:rsidRDefault="00931A3D" w:rsidP="00795DFB">
      <w:pPr>
        <w:pStyle w:val="SingleTxtG"/>
        <w:ind w:left="2290" w:right="1138" w:hanging="1152"/>
      </w:pPr>
      <w:r w:rsidRPr="00E75863">
        <w:t>5.15.4</w:t>
      </w:r>
      <w:r w:rsidRPr="00E75863">
        <w:tab/>
        <w:t xml:space="preserve">сигналом торможения − устройством категории </w:t>
      </w:r>
      <w:r>
        <w:t>S</w:t>
      </w:r>
      <w:r w:rsidRPr="00E75863">
        <w:t>3, указанным в Правилах № 7 (пункт 6.4)</w:t>
      </w:r>
      <w:r>
        <w:t>;</w:t>
      </w:r>
    </w:p>
    <w:p w:rsidR="00931A3D" w:rsidRPr="009D7954" w:rsidRDefault="00931A3D" w:rsidP="00795DFB">
      <w:pPr>
        <w:pStyle w:val="SingleTxtG"/>
        <w:ind w:left="2290" w:right="1138" w:hanging="1152"/>
      </w:pPr>
      <w:r w:rsidRPr="009D7954">
        <w:t>5.15.5</w:t>
      </w:r>
      <w:r w:rsidR="0090404F">
        <w:tab/>
      </w:r>
      <w:r w:rsidRPr="009D7954">
        <w:t xml:space="preserve">сигналом экстренного торможения </w:t>
      </w:r>
      <w:r w:rsidR="0090404F">
        <w:t>(пункт 6.</w:t>
      </w:r>
      <w:r w:rsidRPr="009D7954">
        <w:t>14)</w:t>
      </w:r>
      <w:r>
        <w:t>;</w:t>
      </w:r>
    </w:p>
    <w:p w:rsidR="007331BE" w:rsidRDefault="0090404F" w:rsidP="007331BE">
      <w:pPr>
        <w:pStyle w:val="SingleTxtG"/>
        <w:spacing w:before="120"/>
        <w:ind w:left="2290" w:right="1138" w:hanging="1152"/>
        <w:rPr>
          <w:b/>
          <w:color w:val="000000" w:themeColor="text1"/>
        </w:rPr>
      </w:pPr>
      <w:r>
        <w:rPr>
          <w:b/>
          <w:color w:val="000000" w:themeColor="text1"/>
        </w:rPr>
        <w:t>5.15.6</w:t>
      </w:r>
      <w:r>
        <w:rPr>
          <w:b/>
          <w:color w:val="000000" w:themeColor="text1"/>
        </w:rPr>
        <w:tab/>
      </w:r>
      <w:r w:rsidR="00931A3D" w:rsidRPr="009D7954">
        <w:rPr>
          <w:b/>
          <w:bCs/>
        </w:rPr>
        <w:t xml:space="preserve">передним габаритным огнем (пункт 6.6), </w:t>
      </w:r>
      <w:r w:rsidR="00931A3D">
        <w:rPr>
          <w:b/>
          <w:bCs/>
        </w:rPr>
        <w:t>см</w:t>
      </w:r>
      <w:r w:rsidR="00931A3D" w:rsidRPr="009D7954">
        <w:rPr>
          <w:b/>
          <w:bCs/>
        </w:rPr>
        <w:t xml:space="preserve">. </w:t>
      </w:r>
      <w:r w:rsidR="00931A3D">
        <w:rPr>
          <w:b/>
          <w:bCs/>
        </w:rPr>
        <w:t>также</w:t>
      </w:r>
      <w:r w:rsidR="00931A3D" w:rsidRPr="009D7954">
        <w:rPr>
          <w:b/>
          <w:bCs/>
        </w:rPr>
        <w:t xml:space="preserve"> </w:t>
      </w:r>
      <w:r w:rsidR="00931A3D">
        <w:rPr>
          <w:b/>
          <w:bCs/>
        </w:rPr>
        <w:t>пункт</w:t>
      </w:r>
      <w:r w:rsidR="00931A3D" w:rsidRPr="009D7954">
        <w:rPr>
          <w:b/>
          <w:bCs/>
        </w:rPr>
        <w:t xml:space="preserve"> </w:t>
      </w:r>
      <w:r w:rsidR="007331BE">
        <w:rPr>
          <w:b/>
          <w:color w:val="000000" w:themeColor="text1"/>
        </w:rPr>
        <w:t>5.14.6</w:t>
      </w:r>
      <w:r w:rsidR="00931A3D">
        <w:rPr>
          <w:b/>
          <w:color w:val="000000" w:themeColor="text1"/>
        </w:rPr>
        <w:t>.</w:t>
      </w:r>
      <w:r w:rsidR="00795DFB">
        <w:rPr>
          <w:b/>
          <w:color w:val="000000" w:themeColor="text1"/>
        </w:rPr>
        <w:t xml:space="preserve"> </w:t>
      </w:r>
    </w:p>
    <w:p w:rsidR="00931A3D" w:rsidRPr="00AF2DE8" w:rsidRDefault="007331BE" w:rsidP="007331BE">
      <w:pPr>
        <w:pStyle w:val="SingleTxtG"/>
        <w:spacing w:before="120"/>
        <w:ind w:left="2290" w:right="1138" w:hanging="1152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931A3D">
        <w:rPr>
          <w:b/>
          <w:color w:val="000000" w:themeColor="text1"/>
        </w:rPr>
        <w:t>Установка</w:t>
      </w:r>
      <w:r w:rsidR="00931A3D" w:rsidRPr="00AF2DE8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переднего</w:t>
      </w:r>
      <w:r w:rsidR="00931A3D" w:rsidRPr="00AF2DE8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габаритного</w:t>
      </w:r>
      <w:r w:rsidR="00931A3D" w:rsidRPr="00AF2DE8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огня</w:t>
      </w:r>
      <w:r w:rsidR="00931A3D" w:rsidRPr="00AF2DE8">
        <w:rPr>
          <w:b/>
          <w:color w:val="000000" w:themeColor="text1"/>
        </w:rPr>
        <w:t xml:space="preserve"> (</w:t>
      </w:r>
      <w:r w:rsidR="00931A3D">
        <w:rPr>
          <w:b/>
          <w:color w:val="000000" w:themeColor="text1"/>
        </w:rPr>
        <w:t xml:space="preserve">передних габаритных огней) является </w:t>
      </w:r>
      <w:r w:rsidR="00931A3D" w:rsidRPr="00795DFB">
        <w:rPr>
          <w:b/>
          <w:bCs/>
        </w:rPr>
        <w:t>факультативной</w:t>
      </w:r>
      <w:r w:rsidR="00931A3D">
        <w:rPr>
          <w:b/>
          <w:color w:val="000000" w:themeColor="text1"/>
        </w:rPr>
        <w:t>, если соблюдены следующие требования, указанные в подпунктах i</w:t>
      </w:r>
      <w:r w:rsidR="0090404F">
        <w:rPr>
          <w:b/>
          <w:color w:val="000000" w:themeColor="text1"/>
        </w:rPr>
        <w:t>)</w:t>
      </w:r>
      <w:r w:rsidR="00931A3D">
        <w:rPr>
          <w:b/>
          <w:color w:val="000000" w:themeColor="text1"/>
        </w:rPr>
        <w:t>–</w:t>
      </w:r>
      <w:proofErr w:type="spellStart"/>
      <w:r w:rsidR="00931A3D">
        <w:rPr>
          <w:b/>
          <w:color w:val="000000" w:themeColor="text1"/>
        </w:rPr>
        <w:t>iii</w:t>
      </w:r>
      <w:proofErr w:type="spellEnd"/>
      <w:r w:rsidR="0090404F">
        <w:rPr>
          <w:b/>
          <w:color w:val="000000" w:themeColor="text1"/>
          <w:lang w:val="en-US"/>
        </w:rPr>
        <w:t>)</w:t>
      </w:r>
      <w:r w:rsidR="00931A3D">
        <w:rPr>
          <w:b/>
          <w:color w:val="000000" w:themeColor="text1"/>
        </w:rPr>
        <w:t xml:space="preserve"> ниже:</w:t>
      </w:r>
      <w:r w:rsidR="00931A3D" w:rsidRPr="00AF2DE8">
        <w:rPr>
          <w:b/>
          <w:color w:val="000000" w:themeColor="text1"/>
        </w:rPr>
        <w:t xml:space="preserve"> </w:t>
      </w:r>
    </w:p>
    <w:p w:rsidR="00931A3D" w:rsidRPr="0090404F" w:rsidRDefault="0090404F" w:rsidP="00795DFB">
      <w:pPr>
        <w:pStyle w:val="SingleTxtG"/>
        <w:ind w:left="2995" w:right="1138" w:hanging="720"/>
        <w:rPr>
          <w:rFonts w:eastAsiaTheme="minorHAnsi"/>
          <w:b/>
          <w:color w:val="000000" w:themeColor="text1"/>
        </w:rPr>
      </w:pPr>
      <w:r w:rsidRPr="0090404F">
        <w:rPr>
          <w:b/>
          <w:color w:val="000000" w:themeColor="text1"/>
        </w:rPr>
        <w:t>i)</w:t>
      </w:r>
      <w:r w:rsidRPr="0090404F">
        <w:rPr>
          <w:b/>
          <w:color w:val="000000" w:themeColor="text1"/>
        </w:rPr>
        <w:tab/>
      </w:r>
      <w:r w:rsidR="00931A3D" w:rsidRPr="0090404F">
        <w:rPr>
          <w:rFonts w:eastAsiaTheme="minorHAnsi"/>
          <w:b/>
          <w:color w:val="000000" w:themeColor="text1"/>
        </w:rPr>
        <w:t xml:space="preserve">выход из строя источника света в случае одного луча фары не </w:t>
      </w:r>
      <w:r w:rsidR="00931A3D" w:rsidRPr="00795DFB">
        <w:rPr>
          <w:b/>
          <w:color w:val="000000" w:themeColor="text1"/>
        </w:rPr>
        <w:t>влияет</w:t>
      </w:r>
      <w:r w:rsidR="00931A3D" w:rsidRPr="0090404F">
        <w:rPr>
          <w:rFonts w:eastAsiaTheme="minorHAnsi"/>
          <w:b/>
          <w:color w:val="000000" w:themeColor="text1"/>
        </w:rPr>
        <w:t xml:space="preserve"> на функционирование другого (других) луча (лучей) либо на транспортном средстве установлен дневной ходовой огонь;</w:t>
      </w:r>
    </w:p>
    <w:p w:rsidR="00931A3D" w:rsidRPr="0090404F" w:rsidRDefault="0090404F" w:rsidP="00795DFB">
      <w:pPr>
        <w:pStyle w:val="SingleTxtG"/>
        <w:ind w:left="2995" w:right="1138" w:hanging="720"/>
        <w:rPr>
          <w:rFonts w:eastAsiaTheme="minorHAnsi"/>
          <w:b/>
          <w:color w:val="000000" w:themeColor="text1"/>
        </w:rPr>
      </w:pPr>
      <w:proofErr w:type="spellStart"/>
      <w:r w:rsidRPr="0090404F">
        <w:rPr>
          <w:b/>
          <w:color w:val="000000" w:themeColor="text1"/>
        </w:rPr>
        <w:lastRenderedPageBreak/>
        <w:t>ii</w:t>
      </w:r>
      <w:proofErr w:type="spellEnd"/>
      <w:r w:rsidRPr="0090404F">
        <w:rPr>
          <w:b/>
          <w:color w:val="000000" w:themeColor="text1"/>
        </w:rPr>
        <w:t>)</w:t>
      </w:r>
      <w:r w:rsidRPr="0090404F">
        <w:rPr>
          <w:b/>
          <w:color w:val="000000" w:themeColor="text1"/>
        </w:rPr>
        <w:tab/>
      </w:r>
      <w:r w:rsidR="00931A3D" w:rsidRPr="0090404F">
        <w:rPr>
          <w:rFonts w:eastAsiaTheme="minorHAnsi"/>
          <w:b/>
          <w:color w:val="000000" w:themeColor="text1"/>
        </w:rPr>
        <w:t xml:space="preserve">геометрическая видимость дневного ходового огня, если он </w:t>
      </w:r>
      <w:r w:rsidR="00931A3D" w:rsidRPr="00795DFB">
        <w:rPr>
          <w:b/>
          <w:color w:val="000000" w:themeColor="text1"/>
        </w:rPr>
        <w:t>установлен</w:t>
      </w:r>
      <w:r w:rsidR="00931A3D" w:rsidRPr="0090404F">
        <w:rPr>
          <w:rFonts w:eastAsiaTheme="minorHAnsi"/>
          <w:b/>
          <w:color w:val="000000" w:themeColor="text1"/>
        </w:rPr>
        <w:t>, и огня ближнего света соответствует требованиям о геометрической видимости, предусмотренным для переднего габаритного огня (передних габаритных огней) в пункте 6.6.4 ниже;</w:t>
      </w:r>
    </w:p>
    <w:p w:rsidR="00931A3D" w:rsidRPr="0090404F" w:rsidRDefault="0090404F" w:rsidP="00795DFB">
      <w:pPr>
        <w:pStyle w:val="SingleTxtG"/>
        <w:ind w:left="2995" w:right="1138" w:hanging="720"/>
        <w:rPr>
          <w:rFonts w:eastAsiaTheme="minorHAnsi"/>
          <w:b/>
          <w:color w:val="000000" w:themeColor="text1"/>
        </w:rPr>
      </w:pPr>
      <w:proofErr w:type="spellStart"/>
      <w:r w:rsidRPr="0090404F">
        <w:rPr>
          <w:b/>
          <w:color w:val="000000" w:themeColor="text1"/>
        </w:rPr>
        <w:t>iii</w:t>
      </w:r>
      <w:proofErr w:type="spellEnd"/>
      <w:r w:rsidRPr="0090404F">
        <w:rPr>
          <w:b/>
          <w:color w:val="000000" w:themeColor="text1"/>
        </w:rPr>
        <w:t>)</w:t>
      </w:r>
      <w:r w:rsidRPr="0090404F">
        <w:rPr>
          <w:b/>
          <w:color w:val="000000" w:themeColor="text1"/>
        </w:rPr>
        <w:tab/>
      </w:r>
      <w:r w:rsidR="00931A3D" w:rsidRPr="00795DFB">
        <w:rPr>
          <w:b/>
          <w:color w:val="000000" w:themeColor="text1"/>
        </w:rPr>
        <w:t>минимальные</w:t>
      </w:r>
      <w:r w:rsidR="00931A3D" w:rsidRPr="0090404F">
        <w:rPr>
          <w:rFonts w:eastAsiaTheme="minorHAnsi"/>
          <w:b/>
          <w:color w:val="000000" w:themeColor="text1"/>
        </w:rPr>
        <w:t xml:space="preserve"> фотометрические параметры дневного ходового огня, если он установлен, и огня ближнего света соответствуют углам распределения света, предписанным для поля геометрической видимости переднего габаритного огня (передних габаритных огней) в приложении 4 к Правилам № 50 ООН.</w:t>
      </w:r>
    </w:p>
    <w:p w:rsidR="00931A3D" w:rsidRPr="00ED3589" w:rsidRDefault="00795DFB" w:rsidP="00795DFB">
      <w:pPr>
        <w:pStyle w:val="SingleTxtG"/>
        <w:ind w:left="2290" w:right="1138" w:hanging="1152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931A3D">
        <w:rPr>
          <w:b/>
          <w:color w:val="000000" w:themeColor="text1"/>
        </w:rPr>
        <w:t>Надлежащее</w:t>
      </w:r>
      <w:r w:rsidR="00931A3D" w:rsidRPr="00ED3589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доказательство</w:t>
      </w:r>
      <w:r w:rsidR="00931A3D" w:rsidRPr="00ED3589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соответствия</w:t>
      </w:r>
      <w:r w:rsidR="00931A3D" w:rsidRPr="00ED3589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требованиям</w:t>
      </w:r>
      <w:r w:rsidR="00931A3D" w:rsidRPr="00ED3589">
        <w:rPr>
          <w:b/>
          <w:color w:val="000000" w:themeColor="text1"/>
        </w:rPr>
        <w:t xml:space="preserve">, </w:t>
      </w:r>
      <w:r w:rsidR="00931A3D">
        <w:rPr>
          <w:b/>
          <w:color w:val="000000" w:themeColor="text1"/>
        </w:rPr>
        <w:t>указанным</w:t>
      </w:r>
      <w:r w:rsidR="00931A3D" w:rsidRPr="00ED3589">
        <w:rPr>
          <w:b/>
          <w:color w:val="000000" w:themeColor="text1"/>
        </w:rPr>
        <w:t xml:space="preserve"> </w:t>
      </w:r>
      <w:r w:rsidR="00931A3D">
        <w:rPr>
          <w:b/>
          <w:color w:val="000000" w:themeColor="text1"/>
        </w:rPr>
        <w:t>в</w:t>
      </w:r>
      <w:r w:rsidR="00931A3D" w:rsidRPr="00ED3589">
        <w:rPr>
          <w:b/>
          <w:color w:val="000000" w:themeColor="text1"/>
        </w:rPr>
        <w:t xml:space="preserve"> </w:t>
      </w:r>
      <w:r w:rsidR="00931A3D" w:rsidRPr="00795DFB">
        <w:rPr>
          <w:b/>
          <w:bCs/>
        </w:rPr>
        <w:t>подпунктах</w:t>
      </w:r>
      <w:r w:rsidR="00931A3D" w:rsidRPr="00ED3589">
        <w:rPr>
          <w:b/>
          <w:color w:val="000000" w:themeColor="text1"/>
        </w:rPr>
        <w:t xml:space="preserve"> </w:t>
      </w:r>
      <w:proofErr w:type="spellStart"/>
      <w:r w:rsidR="00931A3D">
        <w:rPr>
          <w:b/>
          <w:color w:val="000000" w:themeColor="text1"/>
        </w:rPr>
        <w:t>ii</w:t>
      </w:r>
      <w:proofErr w:type="spellEnd"/>
      <w:r w:rsidR="00931A3D" w:rsidRPr="00ED3589">
        <w:rPr>
          <w:b/>
          <w:color w:val="000000" w:themeColor="text1"/>
        </w:rPr>
        <w:t xml:space="preserve">) </w:t>
      </w:r>
      <w:r w:rsidR="00931A3D">
        <w:rPr>
          <w:b/>
          <w:color w:val="000000" w:themeColor="text1"/>
        </w:rPr>
        <w:t>и</w:t>
      </w:r>
      <w:r w:rsidR="00931A3D" w:rsidRPr="00ED3589">
        <w:rPr>
          <w:b/>
          <w:color w:val="000000" w:themeColor="text1"/>
        </w:rPr>
        <w:t xml:space="preserve"> </w:t>
      </w:r>
      <w:proofErr w:type="spellStart"/>
      <w:r w:rsidR="00931A3D">
        <w:rPr>
          <w:b/>
          <w:color w:val="000000" w:themeColor="text1"/>
        </w:rPr>
        <w:t>iii</w:t>
      </w:r>
      <w:proofErr w:type="spellEnd"/>
      <w:r w:rsidR="00931A3D" w:rsidRPr="00ED3589">
        <w:rPr>
          <w:b/>
          <w:color w:val="000000" w:themeColor="text1"/>
        </w:rPr>
        <w:t>)</w:t>
      </w:r>
      <w:r w:rsidR="00931A3D">
        <w:rPr>
          <w:b/>
          <w:color w:val="000000" w:themeColor="text1"/>
        </w:rPr>
        <w:t>, представляется должным образом в протоколах испытаний дневного ходового огня, если он установлен, и огня ближнего света</w:t>
      </w:r>
      <w:r w:rsidR="00931A3D" w:rsidRPr="0090404F">
        <w:rPr>
          <w:color w:val="000000" w:themeColor="text1"/>
        </w:rPr>
        <w:t>».</w:t>
      </w:r>
    </w:p>
    <w:p w:rsidR="00931A3D" w:rsidRPr="00ED3589" w:rsidRDefault="00931A3D" w:rsidP="00931A3D">
      <w:pPr>
        <w:autoSpaceDE w:val="0"/>
        <w:autoSpaceDN w:val="0"/>
        <w:adjustRightInd w:val="0"/>
        <w:spacing w:after="120"/>
        <w:ind w:left="1134" w:right="1418"/>
        <w:jc w:val="both"/>
      </w:pPr>
      <w:r w:rsidRPr="00AF2DE8">
        <w:rPr>
          <w:i/>
          <w:iCs/>
        </w:rPr>
        <w:t>Пункт</w:t>
      </w:r>
      <w:r w:rsidRPr="00ED3589">
        <w:rPr>
          <w:i/>
          <w:iCs/>
        </w:rPr>
        <w:t xml:space="preserve"> 6.13.7.1</w:t>
      </w:r>
      <w:r w:rsidRPr="00ED3589">
        <w:t xml:space="preserve"> </w:t>
      </w:r>
      <w:r w:rsidRPr="00AF2DE8">
        <w:t>изменить</w:t>
      </w:r>
      <w:r w:rsidRPr="00ED3589">
        <w:t xml:space="preserve"> </w:t>
      </w:r>
      <w:r w:rsidRPr="00AF2DE8">
        <w:t>следующим</w:t>
      </w:r>
      <w:r w:rsidRPr="00ED3589">
        <w:t xml:space="preserve"> </w:t>
      </w:r>
      <w:r w:rsidRPr="00AF2DE8">
        <w:t>образом</w:t>
      </w:r>
      <w:r w:rsidRPr="00ED3589">
        <w:t>:</w:t>
      </w:r>
    </w:p>
    <w:p w:rsidR="00931A3D" w:rsidRDefault="00931A3D" w:rsidP="00795DFB">
      <w:pPr>
        <w:pStyle w:val="SingleTxtG"/>
        <w:ind w:left="2290" w:right="1138" w:hanging="1152"/>
      </w:pPr>
      <w:r>
        <w:t>«</w:t>
      </w:r>
      <w:r w:rsidRPr="00AF2DE8">
        <w:t xml:space="preserve">6.13.7.1 </w:t>
      </w:r>
      <w:r w:rsidRPr="00AF2DE8">
        <w:tab/>
        <w:t xml:space="preserve">Дневной ходовой огонь должен автоматически выключаться при включении фар, кроме тех случаев, когда фары используются для подачи периодических световых сигналов предупреждения через короткие промежутки времени. </w:t>
      </w:r>
    </w:p>
    <w:p w:rsidR="00931A3D" w:rsidRPr="00AF2DE8" w:rsidRDefault="00931A3D" w:rsidP="00795DFB">
      <w:pPr>
        <w:pStyle w:val="SingleTxtG"/>
        <w:ind w:left="2290" w:right="1138" w:hanging="1152"/>
      </w:pPr>
      <w:r w:rsidRPr="00AF2DE8">
        <w:tab/>
        <w:t>Задний габаритный огонь должен включаться при включении дневного(</w:t>
      </w:r>
      <w:proofErr w:type="spellStart"/>
      <w:r w:rsidRPr="00AF2DE8">
        <w:t>ых</w:t>
      </w:r>
      <w:proofErr w:type="spellEnd"/>
      <w:r w:rsidRPr="00AF2DE8">
        <w:t>) ходового(</w:t>
      </w:r>
      <w:proofErr w:type="spellStart"/>
      <w:r w:rsidRPr="00AF2DE8">
        <w:t>ых</w:t>
      </w:r>
      <w:proofErr w:type="spellEnd"/>
      <w:r w:rsidRPr="00AF2DE8">
        <w:t>) огня (огней). Передний(е) габаритный(е) огонь (огни)</w:t>
      </w:r>
      <w:r w:rsidRPr="00AF2DE8">
        <w:rPr>
          <w:b/>
          <w:bCs/>
        </w:rPr>
        <w:t xml:space="preserve">, в случае его (их) </w:t>
      </w:r>
      <w:r>
        <w:rPr>
          <w:b/>
          <w:bCs/>
        </w:rPr>
        <w:t>установки</w:t>
      </w:r>
      <w:r w:rsidRPr="00AF2DE8">
        <w:rPr>
          <w:b/>
          <w:bCs/>
        </w:rPr>
        <w:t>,</w:t>
      </w:r>
      <w:r w:rsidRPr="00AF2DE8">
        <w:t xml:space="preserve"> и фонарь освещения заднего регистрационного знака могут включаться по отдельности или вместе при включении дневного(</w:t>
      </w:r>
      <w:proofErr w:type="spellStart"/>
      <w:r w:rsidRPr="00AF2DE8">
        <w:t>ых</w:t>
      </w:r>
      <w:proofErr w:type="spellEnd"/>
      <w:r w:rsidRPr="00AF2DE8">
        <w:t>) ходового(</w:t>
      </w:r>
      <w:proofErr w:type="spellStart"/>
      <w:r w:rsidRPr="00AF2DE8">
        <w:t>ых</w:t>
      </w:r>
      <w:proofErr w:type="spellEnd"/>
      <w:r w:rsidRPr="00AF2DE8">
        <w:t>) огня (огней)».</w:t>
      </w:r>
    </w:p>
    <w:p w:rsidR="00931A3D" w:rsidRPr="00D360F5" w:rsidRDefault="00931A3D" w:rsidP="00931A3D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</w:r>
      <w:r>
        <w:t>Обоснование</w:t>
      </w:r>
      <w:r w:rsidR="0090404F">
        <w:rPr>
          <w:lang w:val="en-US"/>
        </w:rPr>
        <w:t xml:space="preserve"> </w:t>
      </w:r>
    </w:p>
    <w:p w:rsidR="00931A3D" w:rsidRPr="00156712" w:rsidRDefault="00931A3D" w:rsidP="0090404F">
      <w:pPr>
        <w:pStyle w:val="SingleTxtG"/>
        <w:rPr>
          <w:b/>
        </w:rPr>
      </w:pPr>
      <w:r w:rsidRPr="00156712">
        <w:t>1.</w:t>
      </w:r>
      <w:r w:rsidRPr="00156712">
        <w:tab/>
      </w:r>
      <w:r>
        <w:t>На</w:t>
      </w:r>
      <w:r w:rsidRPr="00156712">
        <w:t xml:space="preserve"> </w:t>
      </w:r>
      <w:r>
        <w:t>предыдущих</w:t>
      </w:r>
      <w:r w:rsidRPr="00156712">
        <w:t xml:space="preserve"> </w:t>
      </w:r>
      <w:r>
        <w:t>сессиях</w:t>
      </w:r>
      <w:r w:rsidRPr="00156712">
        <w:t xml:space="preserve"> </w:t>
      </w:r>
      <w:r w:rsidRPr="00D360F5">
        <w:rPr>
          <w:lang w:val="en-US"/>
        </w:rPr>
        <w:t>GRE</w:t>
      </w:r>
      <w:r w:rsidRPr="00156712">
        <w:t xml:space="preserve"> </w:t>
      </w:r>
      <w:r>
        <w:t>Индия</w:t>
      </w:r>
      <w:r w:rsidRPr="00156712">
        <w:t xml:space="preserve"> </w:t>
      </w:r>
      <w:r>
        <w:t>представила</w:t>
      </w:r>
      <w:r w:rsidRPr="00156712">
        <w:t xml:space="preserve"> </w:t>
      </w:r>
      <w:r>
        <w:t>несколько</w:t>
      </w:r>
      <w:r w:rsidRPr="00156712">
        <w:t xml:space="preserve"> </w:t>
      </w:r>
      <w:r>
        <w:t>неофициальных</w:t>
      </w:r>
      <w:r w:rsidRPr="00156712">
        <w:t xml:space="preserve"> </w:t>
      </w:r>
      <w:r>
        <w:t>документов</w:t>
      </w:r>
      <w:r w:rsidRPr="00156712">
        <w:t xml:space="preserve"> </w:t>
      </w:r>
      <w:r>
        <w:t>и</w:t>
      </w:r>
      <w:r w:rsidRPr="00156712">
        <w:t xml:space="preserve"> </w:t>
      </w:r>
      <w:r>
        <w:t>официальный</w:t>
      </w:r>
      <w:r w:rsidRPr="00156712">
        <w:t xml:space="preserve"> </w:t>
      </w:r>
      <w:r>
        <w:t>документ</w:t>
      </w:r>
      <w:r w:rsidRPr="00156712">
        <w:t xml:space="preserve"> </w:t>
      </w:r>
      <w:r w:rsidRPr="00D360F5">
        <w:rPr>
          <w:lang w:val="en-US"/>
        </w:rPr>
        <w:t>ECE</w:t>
      </w:r>
      <w:r w:rsidRPr="00156712">
        <w:t>/</w:t>
      </w:r>
      <w:r w:rsidRPr="00D360F5">
        <w:rPr>
          <w:lang w:val="en-US"/>
        </w:rPr>
        <w:t>TRANSWP</w:t>
      </w:r>
      <w:r w:rsidRPr="00156712">
        <w:t>.29/</w:t>
      </w:r>
      <w:r w:rsidRPr="00D360F5">
        <w:rPr>
          <w:lang w:val="en-US"/>
        </w:rPr>
        <w:t>GRE</w:t>
      </w:r>
      <w:r w:rsidRPr="00156712">
        <w:t xml:space="preserve">/2018/47 </w:t>
      </w:r>
      <w:r>
        <w:t>в целях</w:t>
      </w:r>
      <w:r w:rsidRPr="00156712">
        <w:t xml:space="preserve">: </w:t>
      </w:r>
    </w:p>
    <w:p w:rsidR="00931A3D" w:rsidRPr="00156712" w:rsidRDefault="00931A3D" w:rsidP="0090404F">
      <w:pPr>
        <w:pStyle w:val="Bullet1G"/>
        <w:rPr>
          <w:b/>
        </w:rPr>
      </w:pPr>
      <w:r>
        <w:t>введения требования о факультативной установке переднего габаритного огня и</w:t>
      </w:r>
      <w:r w:rsidRPr="00156712">
        <w:t xml:space="preserve"> </w:t>
      </w:r>
    </w:p>
    <w:p w:rsidR="00931A3D" w:rsidRPr="00FB25D9" w:rsidRDefault="00931A3D" w:rsidP="0090404F">
      <w:pPr>
        <w:pStyle w:val="Bullet1G"/>
        <w:rPr>
          <w:b/>
        </w:rPr>
      </w:pPr>
      <w:r>
        <w:t>изменения</w:t>
      </w:r>
      <w:r w:rsidRPr="00FB25D9">
        <w:t xml:space="preserve"> </w:t>
      </w:r>
      <w:r>
        <w:t>положений</w:t>
      </w:r>
      <w:r w:rsidRPr="00FB25D9">
        <w:t xml:space="preserve"> </w:t>
      </w:r>
      <w:r>
        <w:t>об</w:t>
      </w:r>
      <w:r w:rsidRPr="00FB25D9">
        <w:t xml:space="preserve"> </w:t>
      </w:r>
      <w:r>
        <w:t>электрических</w:t>
      </w:r>
      <w:r w:rsidRPr="00FB25D9">
        <w:t xml:space="preserve"> </w:t>
      </w:r>
      <w:r>
        <w:t>соединениях</w:t>
      </w:r>
      <w:r w:rsidRPr="00FB25D9">
        <w:t xml:space="preserve"> </w:t>
      </w:r>
      <w:r>
        <w:t>в</w:t>
      </w:r>
      <w:r w:rsidRPr="00FB25D9">
        <w:t xml:space="preserve"> </w:t>
      </w:r>
      <w:r>
        <w:t>контексте</w:t>
      </w:r>
      <w:r w:rsidRPr="00FB25D9">
        <w:t xml:space="preserve"> </w:t>
      </w:r>
      <w:r>
        <w:t>одновременного включения огней, т.</w:t>
      </w:r>
      <w:r w:rsidR="0090404F">
        <w:rPr>
          <w:lang w:val="en-US"/>
        </w:rPr>
        <w:t> </w:t>
      </w:r>
      <w:r>
        <w:t>е.</w:t>
      </w:r>
      <w:r w:rsidRPr="00FB25D9">
        <w:t xml:space="preserve"> </w:t>
      </w:r>
      <w:r>
        <w:t>для включения задних фонарей перед включением передних фонарей.</w:t>
      </w:r>
    </w:p>
    <w:p w:rsidR="00931A3D" w:rsidRPr="00C40D34" w:rsidRDefault="00931A3D" w:rsidP="0090404F">
      <w:pPr>
        <w:pStyle w:val="SingleTxtG"/>
        <w:rPr>
          <w:b/>
        </w:rPr>
      </w:pPr>
      <w:r w:rsidRPr="00FB25D9">
        <w:t>2.</w:t>
      </w:r>
      <w:r w:rsidRPr="00FB25D9">
        <w:tab/>
      </w:r>
      <w:proofErr w:type="gramStart"/>
      <w:r>
        <w:t>С</w:t>
      </w:r>
      <w:proofErr w:type="gramEnd"/>
      <w:r>
        <w:t xml:space="preserve"> учетом материалов, поступивших в ходе этих сессий</w:t>
      </w:r>
      <w:r w:rsidRPr="00FB25D9">
        <w:t xml:space="preserve"> </w:t>
      </w:r>
      <w:r w:rsidRPr="00D360F5">
        <w:rPr>
          <w:lang w:val="en-US"/>
        </w:rPr>
        <w:t>GRE</w:t>
      </w:r>
      <w:r>
        <w:t xml:space="preserve"> от экспертов от Договаривающихся сторон, а также в </w:t>
      </w:r>
      <w:r w:rsidR="0090404F">
        <w:t>процессе двусторонней дискуссии</w:t>
      </w:r>
      <w:r>
        <w:t xml:space="preserve"> Индия решила, что для принятия данного нормативного положения в представленное предложение необходимо внести технические коррективы. Индия благодарна всем Договаривающимся сторонам за понимание указанных опасений и за внесение предложений относительно усовершенствования текста. С учетом предложений, поступивших до восемьдесят первой сессии </w:t>
      </w:r>
      <w:r w:rsidRPr="00D360F5">
        <w:rPr>
          <w:lang w:val="en-US"/>
        </w:rPr>
        <w:t>GRE</w:t>
      </w:r>
      <w:r>
        <w:t>, состоявшейся в апреле</w:t>
      </w:r>
      <w:r w:rsidRPr="003D7F29">
        <w:t xml:space="preserve"> 2019</w:t>
      </w:r>
      <w:r>
        <w:t xml:space="preserve"> года</w:t>
      </w:r>
      <w:r w:rsidRPr="003D7F29">
        <w:t xml:space="preserve">, </w:t>
      </w:r>
      <w:r>
        <w:t xml:space="preserve">официальный документ, представленный к </w:t>
      </w:r>
      <w:r w:rsidR="00755F4C">
        <w:t>восьмидесятой</w:t>
      </w:r>
      <w:r>
        <w:t xml:space="preserve"> сессии </w:t>
      </w:r>
      <w:r w:rsidRPr="00D360F5">
        <w:rPr>
          <w:lang w:val="en-US"/>
        </w:rPr>
        <w:t>GRE</w:t>
      </w:r>
      <w:r>
        <w:t>, сейчас пересматривается</w:t>
      </w:r>
      <w:r w:rsidRPr="003D7F29">
        <w:t xml:space="preserve">. </w:t>
      </w:r>
      <w:r>
        <w:t>В</w:t>
      </w:r>
      <w:r w:rsidRPr="00C40D34">
        <w:t xml:space="preserve"> </w:t>
      </w:r>
      <w:r>
        <w:t>настоящем</w:t>
      </w:r>
      <w:r w:rsidRPr="00C40D34">
        <w:t xml:space="preserve"> </w:t>
      </w:r>
      <w:r>
        <w:t>документе нашли отражение все</w:t>
      </w:r>
      <w:r w:rsidRPr="00C40D34">
        <w:t xml:space="preserve"> </w:t>
      </w:r>
      <w:r>
        <w:t>эти изменения</w:t>
      </w:r>
      <w:r w:rsidRPr="00C40D34">
        <w:t>.</w:t>
      </w:r>
    </w:p>
    <w:p w:rsidR="00931A3D" w:rsidRPr="00C40D34" w:rsidRDefault="00931A3D" w:rsidP="0090404F">
      <w:pPr>
        <w:pStyle w:val="SingleTxtG"/>
      </w:pPr>
      <w:r w:rsidRPr="00C40D34">
        <w:t>3.</w:t>
      </w:r>
      <w:r w:rsidRPr="00C40D34">
        <w:tab/>
      </w:r>
      <w:proofErr w:type="gramStart"/>
      <w:r>
        <w:t>В</w:t>
      </w:r>
      <w:proofErr w:type="gramEnd"/>
      <w:r>
        <w:t xml:space="preserve"> представленных нами ранее документах уже указывалось, что:</w:t>
      </w:r>
    </w:p>
    <w:p w:rsidR="00931A3D" w:rsidRPr="0090404F" w:rsidRDefault="00931A3D" w:rsidP="0090404F">
      <w:pPr>
        <w:pStyle w:val="Bullet1G"/>
      </w:pPr>
      <w:r w:rsidRPr="0090404F">
        <w:t xml:space="preserve">ПГО необходим для указания присутствия мотоцикла спереди, </w:t>
      </w:r>
    </w:p>
    <w:p w:rsidR="00931A3D" w:rsidRPr="0090404F" w:rsidRDefault="00931A3D" w:rsidP="0090404F">
      <w:pPr>
        <w:pStyle w:val="Bullet1G"/>
      </w:pPr>
      <w:r w:rsidRPr="0090404F">
        <w:t>вместо ПГО можно использовать функцию автоматического включения фар (АВФ)/дневных ходовых огней (ДХО),</w:t>
      </w:r>
    </w:p>
    <w:p w:rsidR="00931A3D" w:rsidRPr="0090404F" w:rsidRDefault="00931A3D" w:rsidP="0090404F">
      <w:pPr>
        <w:pStyle w:val="Bullet1G"/>
      </w:pPr>
      <w:r w:rsidRPr="0090404F">
        <w:t xml:space="preserve">требования в отношении дублирования, которые не выполняются в случае ПГО, могут быть выполнены в случае АВФ/ДХО.  </w:t>
      </w:r>
    </w:p>
    <w:p w:rsidR="00931A3D" w:rsidRPr="007731CC" w:rsidRDefault="00931A3D" w:rsidP="0090404F">
      <w:pPr>
        <w:pStyle w:val="SingleTxtG"/>
      </w:pPr>
      <w:r w:rsidRPr="007731CC">
        <w:t>4.</w:t>
      </w:r>
      <w:r w:rsidRPr="007731CC">
        <w:tab/>
      </w:r>
      <w:r>
        <w:t>Предлагаемые</w:t>
      </w:r>
      <w:r w:rsidRPr="007731CC">
        <w:t xml:space="preserve"> </w:t>
      </w:r>
      <w:r>
        <w:t>изменения</w:t>
      </w:r>
      <w:r w:rsidRPr="007731CC">
        <w:t xml:space="preserve"> </w:t>
      </w:r>
      <w:r>
        <w:t>резюмируются в приведенной ниже таблице.</w:t>
      </w:r>
    </w:p>
    <w:p w:rsidR="00931A3D" w:rsidRPr="007731CC" w:rsidRDefault="00931A3D" w:rsidP="00931A3D">
      <w:pPr>
        <w:suppressAutoHyphens w:val="0"/>
        <w:spacing w:line="240" w:lineRule="auto"/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556"/>
        <w:gridCol w:w="727"/>
        <w:gridCol w:w="6632"/>
        <w:gridCol w:w="1722"/>
      </w:tblGrid>
      <w:tr w:rsidR="002C557B" w:rsidRPr="002C557B" w:rsidTr="002C557B">
        <w:trPr>
          <w:tblHeader/>
        </w:trPr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1A3D" w:rsidRPr="002C557B" w:rsidRDefault="00931A3D" w:rsidP="002C557B">
            <w:pPr>
              <w:spacing w:before="80" w:after="80" w:line="200" w:lineRule="exact"/>
              <w:ind w:left="43" w:right="43"/>
              <w:rPr>
                <w:rFonts w:cs="Times New Roman"/>
                <w:i/>
                <w:sz w:val="16"/>
                <w:lang w:val="en-US"/>
              </w:rPr>
            </w:pPr>
            <w:r w:rsidRPr="002C557B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735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1A3D" w:rsidRPr="002C557B" w:rsidRDefault="00931A3D" w:rsidP="002C557B">
            <w:pPr>
              <w:spacing w:before="80" w:after="80" w:line="200" w:lineRule="exact"/>
              <w:ind w:left="43" w:right="43"/>
              <w:rPr>
                <w:rFonts w:cs="Times New Roman"/>
                <w:i/>
                <w:sz w:val="16"/>
                <w:lang w:val="en-US"/>
              </w:rPr>
            </w:pPr>
            <w:r w:rsidRPr="002C557B">
              <w:rPr>
                <w:rFonts w:cs="Times New Roman"/>
                <w:i/>
                <w:sz w:val="16"/>
              </w:rPr>
              <w:t>Описание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1A3D" w:rsidRPr="002C557B" w:rsidRDefault="00931A3D" w:rsidP="002C557B">
            <w:pPr>
              <w:spacing w:before="80" w:after="80" w:line="200" w:lineRule="exact"/>
              <w:ind w:left="43" w:right="43"/>
              <w:rPr>
                <w:rFonts w:cs="Times New Roman"/>
                <w:i/>
                <w:sz w:val="16"/>
              </w:rPr>
            </w:pPr>
            <w:r w:rsidRPr="002C557B">
              <w:rPr>
                <w:rFonts w:cs="Times New Roman"/>
                <w:i/>
                <w:sz w:val="16"/>
              </w:rPr>
              <w:t xml:space="preserve">Изменения, указанные </w:t>
            </w:r>
            <w:r w:rsidR="002C557B">
              <w:rPr>
                <w:rFonts w:cs="Times New Roman"/>
                <w:i/>
                <w:sz w:val="16"/>
              </w:rPr>
              <w:br/>
            </w:r>
            <w:r w:rsidRPr="002C557B">
              <w:rPr>
                <w:rFonts w:cs="Times New Roman"/>
                <w:i/>
                <w:sz w:val="16"/>
              </w:rPr>
              <w:t>в пункте предложения</w:t>
            </w:r>
          </w:p>
        </w:tc>
      </w:tr>
      <w:tr w:rsidR="00931A3D" w:rsidRPr="002C557B" w:rsidTr="002C557B"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59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sz w:val="18"/>
                <w:szCs w:val="18"/>
              </w:rPr>
              <w:t>Предложение об изменении положений, касающихся одновременного включения задних огней.</w:t>
            </w:r>
          </w:p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sz w:val="18"/>
                <w:szCs w:val="18"/>
              </w:rPr>
              <w:t>Системы освещения, используемые на мотоциклах в контексте системы постоянного тока или переменного тока либо как постоянного, так и переменного тока. Практикуется также эксплуатация некоторых огней на переменном токе и некоторых огней на постоянном токе. С учетом широкомасштабного использования огней (т.</w:t>
            </w:r>
            <w:r w:rsidR="00730E6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C557B">
              <w:rPr>
                <w:rFonts w:cs="Times New Roman"/>
                <w:sz w:val="18"/>
                <w:szCs w:val="18"/>
              </w:rPr>
              <w:t>е. светоизлучающих диодов типа СИД) существует вероятность использования обеих энергосистем на мотоциклах. Настоящее предложение позволяет без ограничений применять два различных источника электроэнергии</w:t>
            </w:r>
            <w:r w:rsidR="009B36E0">
              <w:rPr>
                <w:rFonts w:cs="Times New Roman"/>
                <w:sz w:val="18"/>
                <w:szCs w:val="18"/>
              </w:rPr>
              <w:t xml:space="preserve">. </w:t>
            </w:r>
            <w:r w:rsidRPr="002C557B">
              <w:rPr>
                <w:rFonts w:cs="Times New Roman"/>
                <w:sz w:val="18"/>
                <w:szCs w:val="18"/>
              </w:rPr>
              <w:t>Таким образом, огни, функционирующие в контексте системы постоянного тока, могут включаться при включении освещения, а огни, функционирующие в контексте системы переменного тока, могут включаться при запуске двигателя.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</w:tcPr>
          <w:p w:rsidR="002C557B" w:rsidRPr="002C557B" w:rsidRDefault="002C557B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br/>
            </w:r>
          </w:p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5.10</w:t>
            </w:r>
          </w:p>
        </w:tc>
      </w:tr>
      <w:tr w:rsidR="00931A3D" w:rsidRPr="002C557B" w:rsidTr="002C557B">
        <w:tc>
          <w:tcPr>
            <w:tcW w:w="556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sz w:val="18"/>
                <w:szCs w:val="18"/>
              </w:rPr>
              <w:t>Предлагается соответствующий текст для обязательной и факультативной установки передних габаритных огней с учетом надлежащих перекрестных ссылок.</w:t>
            </w:r>
          </w:p>
        </w:tc>
        <w:tc>
          <w:tcPr>
            <w:tcW w:w="1722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5.14</w:t>
            </w:r>
          </w:p>
        </w:tc>
      </w:tr>
      <w:tr w:rsidR="00931A3D" w:rsidRPr="002C557B" w:rsidTr="002C557B">
        <w:tc>
          <w:tcPr>
            <w:tcW w:w="556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3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sz w:val="18"/>
                <w:szCs w:val="18"/>
              </w:rPr>
              <w:t xml:space="preserve">Предлагаются конкретные условия, в которых установка передних габаритных огней становится факультативной. </w:t>
            </w:r>
          </w:p>
        </w:tc>
        <w:tc>
          <w:tcPr>
            <w:tcW w:w="1722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5.15</w:t>
            </w:r>
          </w:p>
        </w:tc>
      </w:tr>
      <w:tr w:rsidR="00931A3D" w:rsidRPr="002C557B" w:rsidTr="002C557B">
        <w:tc>
          <w:tcPr>
            <w:tcW w:w="556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6632" w:type="dxa"/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bCs/>
                <w:sz w:val="18"/>
                <w:szCs w:val="18"/>
              </w:rPr>
              <w:t>Правилами № 53 ООН предписываются различные схемы установки фар(ы). Если предусмотрено более одного луча в фаре (либо дальнего, либо ближнего света), то выход из строя одного луча обычно не сказывается на функционировании другого луча в такой (таких) фаре (фарах), в том числе если установлен дневной ходовой огонь. Во всех подобных случаях ПГО является излишним.</w:t>
            </w:r>
          </w:p>
        </w:tc>
        <w:tc>
          <w:tcPr>
            <w:tcW w:w="1722" w:type="dxa"/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 xml:space="preserve">5.15.6, </w:t>
            </w:r>
            <w:proofErr w:type="spellStart"/>
            <w:r w:rsidRPr="002C557B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C557B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2C557B">
              <w:rPr>
                <w:rFonts w:cs="Times New Roman"/>
                <w:sz w:val="18"/>
                <w:szCs w:val="18"/>
              </w:rPr>
              <w:t xml:space="preserve">и </w:t>
            </w:r>
            <w:r w:rsidRPr="002C557B">
              <w:rPr>
                <w:rFonts w:cs="Times New Roman"/>
                <w:sz w:val="18"/>
                <w:szCs w:val="18"/>
                <w:lang w:val="en-US"/>
              </w:rPr>
              <w:t>ii)</w:t>
            </w:r>
          </w:p>
        </w:tc>
      </w:tr>
      <w:tr w:rsidR="00931A3D" w:rsidRPr="002C557B" w:rsidTr="002C557B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</w:rPr>
              <w:t xml:space="preserve">Углы видимости и фотометрические значения ДХО и/или </w:t>
            </w:r>
            <w:r w:rsidRPr="002C557B">
              <w:rPr>
                <w:rFonts w:cs="Times New Roman"/>
                <w:sz w:val="18"/>
                <w:szCs w:val="18"/>
                <w:lang w:val="en-US"/>
              </w:rPr>
              <w:t>A</w:t>
            </w:r>
            <w:r w:rsidRPr="002C557B">
              <w:rPr>
                <w:rFonts w:cs="Times New Roman"/>
                <w:sz w:val="18"/>
                <w:szCs w:val="18"/>
              </w:rPr>
              <w:t>ВФ (ближний свет) при условии их соответствия передним габаритным огням и представления соответствующих доказательств органу по официальному утверждению типа/</w:t>
            </w:r>
            <w:r w:rsidR="00345C7F">
              <w:rPr>
                <w:rFonts w:cs="Times New Roman"/>
                <w:sz w:val="18"/>
                <w:szCs w:val="18"/>
              </w:rPr>
              <w:br/>
            </w:r>
            <w:r w:rsidRPr="002C557B">
              <w:rPr>
                <w:rFonts w:cs="Times New Roman"/>
                <w:sz w:val="18"/>
                <w:szCs w:val="18"/>
              </w:rPr>
              <w:t>органу, проводящему испытания, могут быть заменены АВФ или ДХО. В таких случаях ПГО является излишним</w:t>
            </w:r>
            <w:r w:rsidRPr="002C557B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5.15.6, iii)</w:t>
            </w:r>
          </w:p>
        </w:tc>
      </w:tr>
      <w:tr w:rsidR="00931A3D" w:rsidRPr="002C557B" w:rsidTr="002C557B"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5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</w:rPr>
            </w:pPr>
            <w:r w:rsidRPr="002C557B">
              <w:rPr>
                <w:rFonts w:cs="Times New Roman"/>
                <w:sz w:val="18"/>
                <w:szCs w:val="18"/>
              </w:rPr>
              <w:t>При том понимании, что ПГО при определенных условиях может быть факультативным, настоящий текст предлагается для внесения ясности в отношении того, что условия, предписанные для ПГО, применяются только в том случае, когда ПГО установлен.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shd w:val="clear" w:color="auto" w:fill="auto"/>
          </w:tcPr>
          <w:p w:rsidR="00931A3D" w:rsidRPr="002C557B" w:rsidRDefault="00931A3D" w:rsidP="002C557B">
            <w:pPr>
              <w:spacing w:before="40" w:after="120"/>
              <w:ind w:left="43" w:right="43"/>
              <w:rPr>
                <w:rFonts w:cs="Times New Roman"/>
                <w:sz w:val="18"/>
                <w:szCs w:val="18"/>
                <w:lang w:val="en-US"/>
              </w:rPr>
            </w:pPr>
            <w:r w:rsidRPr="002C557B">
              <w:rPr>
                <w:rFonts w:cs="Times New Roman"/>
                <w:sz w:val="18"/>
                <w:szCs w:val="18"/>
                <w:lang w:val="en-US"/>
              </w:rPr>
              <w:t>6.13.7.1</w:t>
            </w:r>
          </w:p>
        </w:tc>
      </w:tr>
    </w:tbl>
    <w:p w:rsidR="00E12C5F" w:rsidRPr="002C557B" w:rsidRDefault="002C557B" w:rsidP="002C557B">
      <w:pPr>
        <w:spacing w:before="24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12C5F" w:rsidRPr="002C557B" w:rsidSect="00931A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B2" w:rsidRPr="00A312BC" w:rsidRDefault="00B519B2" w:rsidP="00A312BC"/>
  </w:endnote>
  <w:endnote w:type="continuationSeparator" w:id="0">
    <w:p w:rsidR="00B519B2" w:rsidRPr="00A312BC" w:rsidRDefault="00B519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3D" w:rsidRPr="00931A3D" w:rsidRDefault="00931A3D">
    <w:pPr>
      <w:pStyle w:val="a8"/>
    </w:pPr>
    <w:r w:rsidRPr="00931A3D">
      <w:rPr>
        <w:b/>
        <w:sz w:val="18"/>
      </w:rPr>
      <w:fldChar w:fldCharType="begin"/>
    </w:r>
    <w:r w:rsidRPr="00931A3D">
      <w:rPr>
        <w:b/>
        <w:sz w:val="18"/>
      </w:rPr>
      <w:instrText xml:space="preserve"> PAGE  \* MERGEFORMAT </w:instrText>
    </w:r>
    <w:r w:rsidRPr="00931A3D">
      <w:rPr>
        <w:b/>
        <w:sz w:val="18"/>
      </w:rPr>
      <w:fldChar w:fldCharType="separate"/>
    </w:r>
    <w:r w:rsidR="0015019B">
      <w:rPr>
        <w:b/>
        <w:noProof/>
        <w:sz w:val="18"/>
      </w:rPr>
      <w:t>4</w:t>
    </w:r>
    <w:r w:rsidRPr="00931A3D">
      <w:rPr>
        <w:b/>
        <w:sz w:val="18"/>
      </w:rPr>
      <w:fldChar w:fldCharType="end"/>
    </w:r>
    <w:r>
      <w:rPr>
        <w:b/>
        <w:sz w:val="18"/>
      </w:rPr>
      <w:tab/>
    </w:r>
    <w:r>
      <w:t>GE.19-13521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3D" w:rsidRPr="00931A3D" w:rsidRDefault="00931A3D" w:rsidP="00931A3D">
    <w:pPr>
      <w:pStyle w:val="a8"/>
      <w:tabs>
        <w:tab w:val="clear" w:pos="9639"/>
        <w:tab w:val="right" w:pos="9638"/>
      </w:tabs>
      <w:rPr>
        <w:b/>
        <w:sz w:val="18"/>
      </w:rPr>
    </w:pPr>
    <w:r>
      <w:t>GE.19-13521</w:t>
    </w:r>
    <w:r>
      <w:tab/>
    </w:r>
    <w:r w:rsidRPr="00931A3D">
      <w:rPr>
        <w:b/>
        <w:sz w:val="18"/>
      </w:rPr>
      <w:fldChar w:fldCharType="begin"/>
    </w:r>
    <w:r w:rsidRPr="00931A3D">
      <w:rPr>
        <w:b/>
        <w:sz w:val="18"/>
      </w:rPr>
      <w:instrText xml:space="preserve"> PAGE  \* MERGEFORMAT </w:instrText>
    </w:r>
    <w:r w:rsidRPr="00931A3D">
      <w:rPr>
        <w:b/>
        <w:sz w:val="18"/>
      </w:rPr>
      <w:fldChar w:fldCharType="separate"/>
    </w:r>
    <w:r w:rsidR="0015019B">
      <w:rPr>
        <w:b/>
        <w:noProof/>
        <w:sz w:val="18"/>
      </w:rPr>
      <w:t>3</w:t>
    </w:r>
    <w:r w:rsidRPr="00931A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31A3D" w:rsidRDefault="00931A3D" w:rsidP="00931A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13521  (</w:t>
    </w:r>
    <w:proofErr w:type="gramEnd"/>
    <w:r>
      <w:t>R)</w:t>
    </w:r>
    <w:r>
      <w:rPr>
        <w:lang w:val="en-US"/>
      </w:rPr>
      <w:t xml:space="preserve">  130819  150819</w:t>
    </w:r>
    <w:r>
      <w:br/>
    </w:r>
    <w:r w:rsidRPr="00931A3D">
      <w:rPr>
        <w:rFonts w:ascii="C39T30Lfz" w:hAnsi="C39T30Lfz"/>
        <w:kern w:val="14"/>
        <w:sz w:val="56"/>
      </w:rPr>
      <w:t></w:t>
    </w:r>
    <w:r w:rsidRPr="00931A3D">
      <w:rPr>
        <w:rFonts w:ascii="C39T30Lfz" w:hAnsi="C39T30Lfz"/>
        <w:kern w:val="14"/>
        <w:sz w:val="56"/>
      </w:rPr>
      <w:t></w:t>
    </w:r>
    <w:r w:rsidRPr="00931A3D">
      <w:rPr>
        <w:rFonts w:ascii="C39T30Lfz" w:hAnsi="C39T30Lfz"/>
        <w:kern w:val="14"/>
        <w:sz w:val="56"/>
      </w:rPr>
      <w:t></w:t>
    </w:r>
    <w:r w:rsidRPr="00931A3D">
      <w:rPr>
        <w:rFonts w:ascii="C39T30Lfz" w:hAnsi="C39T30Lfz"/>
        <w:kern w:val="14"/>
        <w:sz w:val="56"/>
      </w:rPr>
      <w:t></w:t>
    </w:r>
    <w:r w:rsidRPr="00931A3D">
      <w:rPr>
        <w:rFonts w:ascii="C39T30Lfz" w:hAnsi="C39T30Lfz"/>
        <w:kern w:val="14"/>
        <w:sz w:val="56"/>
      </w:rPr>
      <w:t></w:t>
    </w:r>
    <w:r w:rsidRPr="00931A3D">
      <w:rPr>
        <w:rFonts w:ascii="C39T30Lfz" w:hAnsi="C39T30Lfz"/>
        <w:kern w:val="14"/>
        <w:sz w:val="56"/>
      </w:rPr>
      <w:t></w:t>
    </w:r>
    <w:r w:rsidRPr="00931A3D">
      <w:rPr>
        <w:rFonts w:ascii="C39T30Lfz" w:hAnsi="C39T30Lfz"/>
        <w:kern w:val="14"/>
        <w:sz w:val="56"/>
      </w:rPr>
      <w:t></w:t>
    </w:r>
    <w:r w:rsidRPr="00931A3D">
      <w:rPr>
        <w:rFonts w:ascii="C39T30Lfz" w:hAnsi="C39T30Lfz"/>
        <w:kern w:val="14"/>
        <w:sz w:val="56"/>
      </w:rPr>
      <w:t></w:t>
    </w:r>
    <w:r w:rsidRPr="00931A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B2" w:rsidRPr="001075E9" w:rsidRDefault="00B519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19B2" w:rsidRDefault="00B519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1A3D" w:rsidRPr="00706101" w:rsidRDefault="00931A3D" w:rsidP="00931A3D">
      <w:pPr>
        <w:pStyle w:val="ad"/>
      </w:pPr>
      <w:r w:rsidRPr="00A90EA8">
        <w:tab/>
      </w:r>
      <w:r w:rsidRPr="00931A3D">
        <w:rPr>
          <w:rStyle w:val="aa"/>
          <w:sz w:val="20"/>
          <w:vertAlign w:val="baseline"/>
        </w:rPr>
        <w:t>*</w:t>
      </w:r>
      <w:r w:rsidRPr="00B67AB8">
        <w:rPr>
          <w:sz w:val="20"/>
        </w:rPr>
        <w:tab/>
      </w:r>
      <w:r w:rsidRPr="00B67AB8">
        <w:t>В соответствии с программой работы Комитета по внутреннему транспорту на 2018–2019 годы (</w:t>
      </w:r>
      <w:r>
        <w:t>ECE</w:t>
      </w:r>
      <w:r w:rsidRPr="00B67AB8">
        <w:t>/</w:t>
      </w:r>
      <w:r>
        <w:t>TRANS</w:t>
      </w:r>
      <w:r w:rsidRPr="00B67AB8">
        <w:t xml:space="preserve">/274, пункт 123, и </w:t>
      </w:r>
      <w:r>
        <w:t>ECE</w:t>
      </w:r>
      <w:r w:rsidRPr="00B67AB8">
        <w:t>/</w:t>
      </w:r>
      <w:r>
        <w:t>TRANS</w:t>
      </w:r>
      <w:r w:rsidRPr="00B67AB8">
        <w:t>/2018/21/</w:t>
      </w:r>
      <w:r>
        <w:t>Add</w:t>
      </w:r>
      <w:r w:rsidR="007331BE">
        <w:t>.1, направление деятельности 3.</w:t>
      </w:r>
      <w:r w:rsidRPr="00B67AB8">
        <w:t>1)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B67AB8">
        <w:rPr>
          <w:szCs w:val="18"/>
        </w:rPr>
        <w:t xml:space="preserve">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3D" w:rsidRPr="00931A3D" w:rsidRDefault="00CD6934">
    <w:pPr>
      <w:pStyle w:val="a5"/>
    </w:pPr>
    <w:fldSimple w:instr=" TITLE  \* MERGEFORMAT ">
      <w:r>
        <w:t>ECE/TRANS/WP.29/GRE/2019/18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3D" w:rsidRPr="00931A3D" w:rsidRDefault="00CD6934" w:rsidP="00931A3D">
    <w:pPr>
      <w:pStyle w:val="a5"/>
      <w:jc w:val="right"/>
    </w:pPr>
    <w:fldSimple w:instr=" TITLE  \* MERGEFORMAT ">
      <w:r>
        <w:t>ECE/TRANS/WP.29/GRE/2019/18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4A3A"/>
    <w:multiLevelType w:val="hybridMultilevel"/>
    <w:tmpl w:val="943EABE8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58DC"/>
    <w:multiLevelType w:val="hybridMultilevel"/>
    <w:tmpl w:val="91F28730"/>
    <w:lvl w:ilvl="0" w:tplc="33C8E26E">
      <w:start w:val="1"/>
      <w:numFmt w:val="lowerRoman"/>
      <w:lvlText w:val="(%1)"/>
      <w:lvlJc w:val="left"/>
      <w:pPr>
        <w:ind w:left="26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30" w:hanging="360"/>
      </w:pPr>
    </w:lvl>
    <w:lvl w:ilvl="2" w:tplc="4009001B" w:tentative="1">
      <w:start w:val="1"/>
      <w:numFmt w:val="lowerRoman"/>
      <w:lvlText w:val="%3."/>
      <w:lvlJc w:val="right"/>
      <w:pPr>
        <w:ind w:left="4050" w:hanging="180"/>
      </w:pPr>
    </w:lvl>
    <w:lvl w:ilvl="3" w:tplc="4009000F" w:tentative="1">
      <w:start w:val="1"/>
      <w:numFmt w:val="decimal"/>
      <w:lvlText w:val="%4."/>
      <w:lvlJc w:val="left"/>
      <w:pPr>
        <w:ind w:left="4770" w:hanging="360"/>
      </w:pPr>
    </w:lvl>
    <w:lvl w:ilvl="4" w:tplc="40090019" w:tentative="1">
      <w:start w:val="1"/>
      <w:numFmt w:val="lowerLetter"/>
      <w:lvlText w:val="%5."/>
      <w:lvlJc w:val="left"/>
      <w:pPr>
        <w:ind w:left="5490" w:hanging="360"/>
      </w:pPr>
    </w:lvl>
    <w:lvl w:ilvl="5" w:tplc="4009001B" w:tentative="1">
      <w:start w:val="1"/>
      <w:numFmt w:val="lowerRoman"/>
      <w:lvlText w:val="%6."/>
      <w:lvlJc w:val="right"/>
      <w:pPr>
        <w:ind w:left="6210" w:hanging="180"/>
      </w:pPr>
    </w:lvl>
    <w:lvl w:ilvl="6" w:tplc="4009000F" w:tentative="1">
      <w:start w:val="1"/>
      <w:numFmt w:val="decimal"/>
      <w:lvlText w:val="%7."/>
      <w:lvlJc w:val="left"/>
      <w:pPr>
        <w:ind w:left="6930" w:hanging="360"/>
      </w:pPr>
    </w:lvl>
    <w:lvl w:ilvl="7" w:tplc="40090019" w:tentative="1">
      <w:start w:val="1"/>
      <w:numFmt w:val="lowerLetter"/>
      <w:lvlText w:val="%8."/>
      <w:lvlJc w:val="left"/>
      <w:pPr>
        <w:ind w:left="7650" w:hanging="360"/>
      </w:pPr>
    </w:lvl>
    <w:lvl w:ilvl="8" w:tplc="4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867106"/>
    <w:multiLevelType w:val="hybridMultilevel"/>
    <w:tmpl w:val="8B585662"/>
    <w:lvl w:ilvl="0" w:tplc="40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2"/>
    <w:rsid w:val="000214F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19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557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C7F"/>
    <w:rsid w:val="00381C24"/>
    <w:rsid w:val="00387CD4"/>
    <w:rsid w:val="003958D0"/>
    <w:rsid w:val="003A0D43"/>
    <w:rsid w:val="003A48CE"/>
    <w:rsid w:val="003B00E5"/>
    <w:rsid w:val="003E020F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427"/>
    <w:rsid w:val="006C2031"/>
    <w:rsid w:val="006D461A"/>
    <w:rsid w:val="006F35EE"/>
    <w:rsid w:val="007021FF"/>
    <w:rsid w:val="00712895"/>
    <w:rsid w:val="00730E6C"/>
    <w:rsid w:val="007331BE"/>
    <w:rsid w:val="00734ACB"/>
    <w:rsid w:val="00755F4C"/>
    <w:rsid w:val="00757357"/>
    <w:rsid w:val="00792497"/>
    <w:rsid w:val="00795DF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04F"/>
    <w:rsid w:val="00906890"/>
    <w:rsid w:val="00911BE4"/>
    <w:rsid w:val="00931A3D"/>
    <w:rsid w:val="00951972"/>
    <w:rsid w:val="009608F3"/>
    <w:rsid w:val="009A24AC"/>
    <w:rsid w:val="009B36E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68C6"/>
    <w:rsid w:val="00B10CC7"/>
    <w:rsid w:val="00B36DF7"/>
    <w:rsid w:val="00B519B2"/>
    <w:rsid w:val="00B539E7"/>
    <w:rsid w:val="00B62458"/>
    <w:rsid w:val="00B973FA"/>
    <w:rsid w:val="00BC18B2"/>
    <w:rsid w:val="00BD33EE"/>
    <w:rsid w:val="00BE1CC7"/>
    <w:rsid w:val="00BE4E9E"/>
    <w:rsid w:val="00C106D6"/>
    <w:rsid w:val="00C119AE"/>
    <w:rsid w:val="00C60F0C"/>
    <w:rsid w:val="00C71E84"/>
    <w:rsid w:val="00C805C9"/>
    <w:rsid w:val="00C92939"/>
    <w:rsid w:val="00CA1679"/>
    <w:rsid w:val="00CB151C"/>
    <w:rsid w:val="00CD693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D7D3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FBDBDE3-56A2-4088-B611-9B41992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-E Fußnotenzeichen,BVI fnr,Footnote symbol,Footnote,Footnote Reference Superscript,SUPERS,(Footnote Reference), BVI fn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rsid w:val="00931A3D"/>
    <w:rPr>
      <w:lang w:val="ru-RU" w:eastAsia="en-US"/>
    </w:rPr>
  </w:style>
  <w:style w:type="character" w:customStyle="1" w:styleId="HChGChar">
    <w:name w:val="_ H _Ch_G Char"/>
    <w:link w:val="HChG"/>
    <w:rsid w:val="00931A3D"/>
    <w:rPr>
      <w:b/>
      <w:sz w:val="28"/>
      <w:lang w:val="ru-RU" w:eastAsia="ru-RU"/>
    </w:rPr>
  </w:style>
  <w:style w:type="character" w:customStyle="1" w:styleId="H1GChar">
    <w:name w:val="_ H_1_G Char"/>
    <w:link w:val="H1G"/>
    <w:uiPriority w:val="99"/>
    <w:rsid w:val="00931A3D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931A3D"/>
    <w:pPr>
      <w:ind w:left="720"/>
      <w:contextualSpacing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1114</Words>
  <Characters>7684</Characters>
  <Application>Microsoft Office Word</Application>
  <DocSecurity>0</DocSecurity>
  <Lines>184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ECE/TRANS/WP.29/GRE/2019/18</vt:lpstr>
      <vt:lpstr>A/</vt:lpstr>
      <vt:lpstr>A/</vt:lpstr>
    </vt:vector>
  </TitlesOfParts>
  <Company>DCM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ECE/TRANS/WP.29/GRE/2019/18</dc:title>
  <dc:subject/>
  <dc:creator>Tatiana SHARKINA</dc:creator>
  <cp:keywords/>
  <cp:lastModifiedBy>Tatiana Sharkina</cp:lastModifiedBy>
  <cp:revision>4</cp:revision>
  <cp:lastPrinted>2019-08-15T08:49:00Z</cp:lastPrinted>
  <dcterms:created xsi:type="dcterms:W3CDTF">2019-08-15T08:49:00Z</dcterms:created>
  <dcterms:modified xsi:type="dcterms:W3CDTF">2019-08-15T08:50:00Z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