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30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3084" w:rsidP="00183084">
            <w:pPr>
              <w:jc w:val="right"/>
            </w:pPr>
            <w:r w:rsidRPr="00183084">
              <w:rPr>
                <w:sz w:val="40"/>
              </w:rPr>
              <w:t>ECE</w:t>
            </w:r>
            <w:r>
              <w:t>/TRANS/WP.29/GRE/2019/8</w:t>
            </w:r>
          </w:p>
        </w:tc>
      </w:tr>
      <w:tr w:rsidR="002D5AAC" w:rsidRPr="0018308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308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3084" w:rsidRDefault="00183084" w:rsidP="001830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February 2019</w:t>
            </w:r>
          </w:p>
          <w:p w:rsidR="00183084" w:rsidRDefault="00183084" w:rsidP="001830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3084" w:rsidRPr="008D53B6" w:rsidRDefault="00183084" w:rsidP="001830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8308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83084" w:rsidRPr="00183084" w:rsidRDefault="00183084" w:rsidP="00183084">
      <w:pPr>
        <w:spacing w:before="120"/>
        <w:rPr>
          <w:sz w:val="28"/>
          <w:szCs w:val="28"/>
        </w:rPr>
      </w:pPr>
      <w:r w:rsidRPr="00183084">
        <w:rPr>
          <w:sz w:val="28"/>
          <w:szCs w:val="28"/>
        </w:rPr>
        <w:t>Комитет по внутреннему транспорту</w:t>
      </w:r>
    </w:p>
    <w:p w:rsidR="00183084" w:rsidRPr="00CE30AC" w:rsidRDefault="00183084" w:rsidP="00183084">
      <w:pPr>
        <w:spacing w:before="120"/>
        <w:rPr>
          <w:b/>
          <w:sz w:val="24"/>
          <w:szCs w:val="24"/>
        </w:rPr>
      </w:pPr>
      <w:r w:rsidRPr="00183084">
        <w:rPr>
          <w:b/>
          <w:bCs/>
          <w:sz w:val="24"/>
          <w:szCs w:val="24"/>
        </w:rPr>
        <w:t>Всемирный форум для согласов</w:t>
      </w:r>
      <w:r w:rsidRPr="00BB4397">
        <w:rPr>
          <w:b/>
          <w:bCs/>
          <w:sz w:val="24"/>
          <w:szCs w:val="24"/>
        </w:rPr>
        <w:t xml:space="preserve">ания правил </w:t>
      </w:r>
      <w:r w:rsidRPr="00BB4397">
        <w:rPr>
          <w:b/>
          <w:bCs/>
          <w:sz w:val="24"/>
          <w:szCs w:val="24"/>
        </w:rPr>
        <w:br/>
      </w:r>
      <w:r w:rsidRPr="00FF462C">
        <w:rPr>
          <w:b/>
          <w:bCs/>
          <w:sz w:val="24"/>
          <w:szCs w:val="24"/>
        </w:rPr>
        <w:t>в области транспортных средств</w:t>
      </w:r>
    </w:p>
    <w:p w:rsidR="00183084" w:rsidRPr="00CE30AC" w:rsidRDefault="00183084" w:rsidP="00183084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:rsidR="00183084" w:rsidRPr="00CE30AC" w:rsidRDefault="00183084" w:rsidP="00183084">
      <w:pPr>
        <w:ind w:right="1134"/>
        <w:rPr>
          <w:b/>
        </w:rPr>
      </w:pPr>
      <w:r>
        <w:rPr>
          <w:b/>
          <w:bCs/>
        </w:rPr>
        <w:t>Восемьдесят первая сессия</w:t>
      </w:r>
    </w:p>
    <w:p w:rsidR="00183084" w:rsidRPr="00CE30AC" w:rsidRDefault="00183084" w:rsidP="00183084">
      <w:pPr>
        <w:ind w:right="1134"/>
      </w:pPr>
      <w:r>
        <w:t>Женева, 15–18 апреля 2019 года</w:t>
      </w:r>
    </w:p>
    <w:p w:rsidR="00183084" w:rsidRPr="00CE30AC" w:rsidRDefault="00183084" w:rsidP="00183084">
      <w:pPr>
        <w:ind w:right="1134"/>
        <w:rPr>
          <w:b/>
          <w:bCs/>
        </w:rPr>
      </w:pPr>
      <w:r>
        <w:t>Пункт 6 a) предварительной повестки дня</w:t>
      </w:r>
      <w:r>
        <w:br/>
      </w:r>
      <w:r>
        <w:rPr>
          <w:b/>
          <w:bCs/>
        </w:rPr>
        <w:t xml:space="preserve">Правила № 48 ООН (установка устройств </w:t>
      </w:r>
      <w:r>
        <w:rPr>
          <w:b/>
          <w:bCs/>
        </w:rPr>
        <w:br/>
        <w:t>освещения и световой сигнализации):</w:t>
      </w:r>
    </w:p>
    <w:p w:rsidR="00183084" w:rsidRPr="00CE30AC" w:rsidRDefault="00183084" w:rsidP="00183084">
      <w:pPr>
        <w:ind w:right="1467"/>
        <w:jc w:val="both"/>
        <w:rPr>
          <w:b/>
          <w:bCs/>
        </w:rPr>
      </w:pPr>
      <w:r>
        <w:rPr>
          <w:b/>
          <w:bCs/>
        </w:rPr>
        <w:t>Предложения по поправкам к поправкам серий 05 и 06</w:t>
      </w:r>
    </w:p>
    <w:p w:rsidR="00183084" w:rsidRPr="00CE30AC" w:rsidRDefault="00183084" w:rsidP="0018308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06 к Правилам № 48 ООН (установка устройств освещения и световой сигнализации)</w:t>
      </w:r>
      <w:r>
        <w:t xml:space="preserve"> </w:t>
      </w:r>
    </w:p>
    <w:p w:rsidR="00183084" w:rsidRPr="00CE30AC" w:rsidRDefault="00183084" w:rsidP="00183084">
      <w:pPr>
        <w:pStyle w:val="H1G"/>
        <w:rPr>
          <w:szCs w:val="24"/>
        </w:rPr>
      </w:pPr>
      <w:r>
        <w:tab/>
      </w:r>
      <w:r>
        <w:tab/>
        <w:t>Представлено экспертом от Германии</w:t>
      </w:r>
      <w:r w:rsidRPr="00183084">
        <w:rPr>
          <w:b w:val="0"/>
          <w:sz w:val="20"/>
        </w:rPr>
        <w:footnoteReference w:customMarkFollows="1" w:id="1"/>
        <w:t>*</w:t>
      </w:r>
      <w:r>
        <w:t xml:space="preserve"> </w:t>
      </w:r>
    </w:p>
    <w:p w:rsidR="00183084" w:rsidRDefault="00183084" w:rsidP="00183084">
      <w:pPr>
        <w:pStyle w:val="SingleTxtG"/>
        <w:tabs>
          <w:tab w:val="left" w:pos="8505"/>
        </w:tabs>
        <w:ind w:firstLine="567"/>
      </w:pPr>
      <w:r>
        <w:t>Воспроизведенный ниже текст был подготовлен экспертом от Германии. В нем содержатся два предложения:</w:t>
      </w:r>
    </w:p>
    <w:p w:rsidR="00183084" w:rsidRPr="00CE30AC" w:rsidRDefault="00183084" w:rsidP="00183084">
      <w:pPr>
        <w:pStyle w:val="SingleTxtG"/>
        <w:numPr>
          <w:ilvl w:val="0"/>
          <w:numId w:val="22"/>
        </w:numPr>
        <w:tabs>
          <w:tab w:val="left" w:pos="8505"/>
        </w:tabs>
        <w:ind w:left="1701" w:hanging="567"/>
      </w:pPr>
      <w:r>
        <w:t>для транспортных средств, предназначенных для использования вооруженными силами и силами, ответственными за поддержание общественного порядка,</w:t>
      </w:r>
      <w:r w:rsidR="00F85C0E">
        <w:t xml:space="preserve"> –</w:t>
      </w:r>
      <w:r>
        <w:t xml:space="preserve"> ручное отключение всех устройств освещения при любых обстоятельствах;</w:t>
      </w:r>
    </w:p>
    <w:p w:rsidR="00183084" w:rsidRPr="00CE30AC" w:rsidRDefault="00183084" w:rsidP="00183084">
      <w:pPr>
        <w:pStyle w:val="SingleTxtG"/>
        <w:numPr>
          <w:ilvl w:val="0"/>
          <w:numId w:val="22"/>
        </w:numPr>
        <w:tabs>
          <w:tab w:val="left" w:pos="8505"/>
        </w:tabs>
        <w:ind w:left="1701" w:hanging="567"/>
      </w:pPr>
      <w:r>
        <w:t>при отсутствии «системы помощи и предупреждения, предназначенной для двери транспортного средства»</w:t>
      </w:r>
      <w:r w:rsidR="00A1499B">
        <w:t xml:space="preserve"> –</w:t>
      </w:r>
      <w:r>
        <w:t xml:space="preserve"> обязательное применение сигналов предупреждения об опасности с целью снижения рисков для безопасности в случае, если дверь открывается в сторону проезжей части.</w:t>
      </w:r>
    </w:p>
    <w:p w:rsidR="00183084" w:rsidRPr="00CE30AC" w:rsidRDefault="00183084" w:rsidP="00183084">
      <w:pPr>
        <w:pStyle w:val="SingleTxtG"/>
        <w:tabs>
          <w:tab w:val="left" w:pos="8505"/>
        </w:tabs>
        <w:ind w:firstLine="567"/>
      </w:pPr>
      <w:r>
        <w:t xml:space="preserve">Изменения к действующему тексту Правил выделены жирным шрифтом в случае новых положений и зачеркиванием в случае исключенных элементов. </w:t>
      </w:r>
    </w:p>
    <w:p w:rsidR="00183084" w:rsidRPr="00CE30AC" w:rsidRDefault="00183084" w:rsidP="00183084">
      <w:pPr>
        <w:tabs>
          <w:tab w:val="left" w:pos="8505"/>
        </w:tabs>
        <w:ind w:left="1134" w:right="1134" w:firstLine="567"/>
        <w:jc w:val="both"/>
      </w:pPr>
    </w:p>
    <w:p w:rsidR="00183084" w:rsidRPr="00CE30AC" w:rsidRDefault="00183084" w:rsidP="00183084">
      <w:pPr>
        <w:pStyle w:val="HChG"/>
        <w:spacing w:before="120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183084" w:rsidRPr="00CE30AC" w:rsidRDefault="00183084" w:rsidP="00183084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</w:pPr>
      <w:r>
        <w:rPr>
          <w:i/>
          <w:iCs/>
        </w:rPr>
        <w:t>Включить новый пункт 5.30</w:t>
      </w:r>
      <w:r>
        <w:t xml:space="preserve"> следующего содержания:</w:t>
      </w:r>
    </w:p>
    <w:p w:rsidR="00183084" w:rsidRPr="00CE30AC" w:rsidRDefault="00183084" w:rsidP="00183084">
      <w:pPr>
        <w:adjustRightInd w:val="0"/>
        <w:snapToGrid w:val="0"/>
        <w:spacing w:after="120"/>
        <w:ind w:left="2259" w:right="1134" w:hanging="1125"/>
        <w:jc w:val="both"/>
      </w:pPr>
      <w:r w:rsidRPr="00183084">
        <w:rPr>
          <w:bCs/>
        </w:rPr>
        <w:t>«</w:t>
      </w:r>
      <w:r>
        <w:rPr>
          <w:b/>
          <w:bCs/>
        </w:rPr>
        <w:t>5.30</w:t>
      </w:r>
      <w:r>
        <w:t xml:space="preserve"> </w:t>
      </w:r>
      <w:r>
        <w:tab/>
      </w:r>
      <w:r>
        <w:rPr>
          <w:b/>
          <w:bCs/>
        </w:rPr>
        <w:t>Требования пунктов 5.1–5.20 не применяются к транспортным средствам, предназначенным для использования вооруженными силами и силами, ответственными за поддержание общественного порядка, в отношении ручного отключения всех устройств освещения, что должно быть возможно при любых обстоятельствах для таких транспортных средств.</w:t>
      </w:r>
      <w:r>
        <w:t xml:space="preserve"> </w:t>
      </w:r>
    </w:p>
    <w:p w:rsidR="00183084" w:rsidRPr="00CE30AC" w:rsidRDefault="00183084" w:rsidP="00183084">
      <w:pPr>
        <w:adjustRightInd w:val="0"/>
        <w:snapToGrid w:val="0"/>
        <w:spacing w:after="120"/>
        <w:ind w:left="2259" w:right="1134" w:firstLine="9"/>
        <w:jc w:val="both"/>
        <w:rPr>
          <w:b/>
        </w:rPr>
      </w:pPr>
      <w:r>
        <w:rPr>
          <w:b/>
          <w:bCs/>
        </w:rPr>
        <w:t>В этом случае изготовитель транспортного средства предоставляет вместе с транспортным средством подробные инструкции в отношении его использования</w:t>
      </w:r>
      <w:r>
        <w:t>».</w:t>
      </w:r>
    </w:p>
    <w:p w:rsidR="00183084" w:rsidRPr="00CE30AC" w:rsidRDefault="00183084" w:rsidP="00183084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  <w:iCs/>
        </w:rPr>
        <w:t>Пункт 6.5.7</w:t>
      </w:r>
      <w:r>
        <w:t xml:space="preserve"> изменить следующим образом:</w:t>
      </w:r>
    </w:p>
    <w:p w:rsidR="00183084" w:rsidRPr="00CE30AC" w:rsidRDefault="00183084" w:rsidP="00183084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t xml:space="preserve">«6.5.7 </w:t>
      </w:r>
      <w:r>
        <w:tab/>
      </w:r>
      <w:r w:rsidR="00FF462C">
        <w:tab/>
      </w:r>
      <w:r>
        <w:t>Функциональная электрическая схема</w:t>
      </w:r>
    </w:p>
    <w:p w:rsidR="00183084" w:rsidRPr="00CE30AC" w:rsidRDefault="00183084" w:rsidP="00183084">
      <w:pPr>
        <w:autoSpaceDE w:val="0"/>
        <w:autoSpaceDN w:val="0"/>
        <w:adjustRightInd w:val="0"/>
        <w:snapToGrid w:val="0"/>
        <w:spacing w:after="120"/>
        <w:ind w:left="2259" w:right="1134" w:hanging="1125"/>
        <w:jc w:val="both"/>
      </w:pPr>
      <w:r>
        <w:rPr>
          <w:b/>
          <w:bCs/>
        </w:rPr>
        <w:t>6.5.7.1</w:t>
      </w:r>
      <w:r>
        <w:tab/>
        <w:t>Включение указателей поворота производится независимо от включения других огней. Все указатели поворота, расположенные на одной и той же стороне транспортного средства, должны включаться и выключаться одним и тем же устройством и работать в мигающем режиме в одной фазе.</w:t>
      </w:r>
    </w:p>
    <w:p w:rsidR="00183084" w:rsidRPr="00CE30AC" w:rsidRDefault="00183084" w:rsidP="00183084">
      <w:pPr>
        <w:autoSpaceDE w:val="0"/>
        <w:autoSpaceDN w:val="0"/>
        <w:adjustRightInd w:val="0"/>
        <w:snapToGrid w:val="0"/>
        <w:spacing w:after="120"/>
        <w:ind w:left="2259" w:right="1134" w:firstLine="9"/>
        <w:jc w:val="both"/>
      </w:pPr>
      <w:r>
        <w:t>На транспортных средствах категорий М</w:t>
      </w:r>
      <w:r>
        <w:rPr>
          <w:vertAlign w:val="subscript"/>
        </w:rPr>
        <w:t xml:space="preserve">1 </w:t>
      </w:r>
      <w:r>
        <w:t>и N</w:t>
      </w:r>
      <w:r>
        <w:rPr>
          <w:vertAlign w:val="subscript"/>
        </w:rPr>
        <w:t>1</w:t>
      </w:r>
      <w:r>
        <w:t xml:space="preserve"> длиной менее 6 м, соответствующих требованиям пункта 6.5.5.2, выше, боковые габаритные огни автожелтого цвета, если таковые устанавливаются, должны работать в мигающем режиме с такой же частотой (по фазе), с какой включаются огни указателей поворота».</w:t>
      </w:r>
    </w:p>
    <w:p w:rsidR="00183084" w:rsidRPr="00CE30AC" w:rsidRDefault="00183084" w:rsidP="00183084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Cs/>
        </w:rPr>
      </w:pPr>
      <w:r>
        <w:rPr>
          <w:i/>
          <w:iCs/>
        </w:rPr>
        <w:t>Включить новый пункт 6.5.7.2</w:t>
      </w:r>
      <w:r>
        <w:t xml:space="preserve"> следующего содержания:</w:t>
      </w:r>
    </w:p>
    <w:p w:rsidR="00183084" w:rsidRPr="00CE30AC" w:rsidRDefault="00183084" w:rsidP="00183084">
      <w:pPr>
        <w:autoSpaceDE w:val="0"/>
        <w:autoSpaceDN w:val="0"/>
        <w:adjustRightInd w:val="0"/>
        <w:snapToGrid w:val="0"/>
        <w:spacing w:after="120"/>
        <w:ind w:left="2259" w:right="1134" w:hanging="1125"/>
        <w:jc w:val="both"/>
      </w:pPr>
      <w:r w:rsidRPr="00183084">
        <w:rPr>
          <w:bCs/>
        </w:rPr>
        <w:t>«</w:t>
      </w:r>
      <w:r>
        <w:rPr>
          <w:b/>
          <w:bCs/>
        </w:rPr>
        <w:t>6.5.7.2</w:t>
      </w:r>
      <w:r>
        <w:tab/>
      </w:r>
      <w:r>
        <w:rPr>
          <w:b/>
          <w:bCs/>
        </w:rPr>
        <w:t>Если автотранспортное средство не оснащено "системой помощи и предупреждения, предназначенной для двери транспортного средства", и транспортное средство находится в стояночном положении, то при открытии двери (слева для транспортного средства, предназначенного для правостороннего движения, и справа для транспортного средства, предназначенного для левостороннего движения) включается не более чем на три мигающих цикла огонь аварийной сигнализации</w:t>
      </w:r>
      <w:r>
        <w:t>».</w:t>
      </w:r>
    </w:p>
    <w:p w:rsidR="00183084" w:rsidRPr="00CE30AC" w:rsidRDefault="00183084" w:rsidP="0018308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183084" w:rsidRPr="00CE30AC" w:rsidRDefault="00386B27" w:rsidP="00386B27">
      <w:pPr>
        <w:pStyle w:val="H4G"/>
      </w:pPr>
      <w:r>
        <w:tab/>
      </w:r>
      <w:r>
        <w:tab/>
      </w:r>
      <w:r w:rsidR="00183084">
        <w:t xml:space="preserve">Пункт 5.30 (предложение a)) </w:t>
      </w:r>
    </w:p>
    <w:p w:rsidR="00183084" w:rsidRPr="00CE30AC" w:rsidRDefault="00183084" w:rsidP="00386B27">
      <w:pPr>
        <w:pStyle w:val="SingleTxtG"/>
      </w:pPr>
      <w:r>
        <w:t>1.</w:t>
      </w:r>
      <w:r>
        <w:tab/>
        <w:t xml:space="preserve">В настоящее время Правила № 48 ООН не допускают ручного отключения всех устройств освещения при любых обстоятельствах. Эта функция необходима вооруженным силам и силам, ответственным за поддержание общественного порядка, и запрашивается ими. Она ограничивается только транспортными средствами, предназначенными для использования вооруженными силами и силами, ответственными за поддержание общественного порядка. Настоящее предложение направлено на уменьшение недостатков и может повысить безопасность. Ответственность за дополнительные нормы, </w:t>
      </w:r>
      <w:r w:rsidRPr="00C81C59">
        <w:t>относящи</w:t>
      </w:r>
      <w:r>
        <w:t>е</w:t>
      </w:r>
      <w:r w:rsidRPr="00C81C59">
        <w:t>ся к поведению</w:t>
      </w:r>
      <w:r>
        <w:t>, лежит на Договаривающихся сторонах.</w:t>
      </w:r>
    </w:p>
    <w:p w:rsidR="00183084" w:rsidRPr="00CE30AC" w:rsidRDefault="00386B27" w:rsidP="00386B27">
      <w:pPr>
        <w:pStyle w:val="H4G"/>
      </w:pPr>
      <w:r>
        <w:tab/>
      </w:r>
      <w:r>
        <w:tab/>
      </w:r>
      <w:r w:rsidR="00183084">
        <w:t xml:space="preserve">Пункт 6.5.7 (предложение b)) </w:t>
      </w:r>
    </w:p>
    <w:p w:rsidR="00183084" w:rsidRPr="00CE30AC" w:rsidRDefault="00183084" w:rsidP="00183084">
      <w:pPr>
        <w:pStyle w:val="SingleTxtG"/>
      </w:pPr>
      <w:r>
        <w:t>2.</w:t>
      </w:r>
      <w:r>
        <w:tab/>
      </w:r>
      <w:r w:rsidR="00386B27">
        <w:t>«</w:t>
      </w:r>
      <w:r>
        <w:t xml:space="preserve">В Берлине полиция регистрирует в среднем почти два несчастных случая в день, когда в дверь машины, открытую водителем автомобиля </w:t>
      </w:r>
      <w:r w:rsidR="00FF462C">
        <w:t>или пассажиром, </w:t>
      </w:r>
      <w:r>
        <w:t>врезается велосипедист. Велосипедисты часто по</w:t>
      </w:r>
      <w:r w:rsidR="00FF462C">
        <w:t xml:space="preserve">лучают серьезные травмы. </w:t>
      </w:r>
      <w:r w:rsidR="00386B27">
        <w:t>В</w:t>
      </w:r>
      <w:r w:rsidR="00FF462C">
        <w:t xml:space="preserve"> </w:t>
      </w:r>
      <w:r w:rsidR="00386B27">
        <w:t>2017</w:t>
      </w:r>
      <w:r w:rsidR="00FF462C">
        <w:t xml:space="preserve"> </w:t>
      </w:r>
      <w:r>
        <w:t>году в Берлине в результате таких дорожно-транспортных происшествий погибли три велосипедиста. "Дверные аварии"</w:t>
      </w:r>
      <w:r w:rsidR="00386B27">
        <w:t xml:space="preserve"> –</w:t>
      </w:r>
      <w:r>
        <w:t xml:space="preserve"> так называются </w:t>
      </w:r>
      <w:r>
        <w:lastRenderedPageBreak/>
        <w:t>дорожно</w:t>
      </w:r>
      <w:r w:rsidR="00FF462C">
        <w:noBreakHyphen/>
      </w:r>
      <w:r>
        <w:t>транспортные происшествия, когда водители автомобилей сбивают велосипедистов открытой дверью. В 2016</w:t>
      </w:r>
      <w:r w:rsidR="00FF462C">
        <w:t xml:space="preserve"> году в Берлине произошло почти </w:t>
      </w:r>
      <w:r>
        <w:t>7</w:t>
      </w:r>
      <w:r w:rsidR="00FF462C">
        <w:t> 500 </w:t>
      </w:r>
      <w:r>
        <w:t>происшествий с участием велосипедистов, в том числе около 1</w:t>
      </w:r>
      <w:r w:rsidR="00FF462C">
        <w:t> 500 дорожно</w:t>
      </w:r>
      <w:r w:rsidR="00FF462C">
        <w:noBreakHyphen/>
      </w:r>
      <w:r>
        <w:t>транспортных происшествий и почти 600 "дверных аварий". "Дверные аварии" составляют менее 10% от числа всех дорожно-транспортных происшествий с участием велосипедистов, но очень часто приводят к серьезным травмам, а подчас и к травмам со смертельным исходом. Ответственность за конкретную аварию почти во всех случаях ложится на водителя (или его пассажиров)»</w:t>
      </w:r>
      <w:r>
        <w:rPr>
          <w:rStyle w:val="FootnoteReference"/>
        </w:rPr>
        <w:footnoteReference w:id="2"/>
      </w:r>
      <w:r>
        <w:t>.</w:t>
      </w:r>
    </w:p>
    <w:p w:rsidR="00183084" w:rsidRPr="00CE30AC" w:rsidRDefault="00183084" w:rsidP="00183084">
      <w:pPr>
        <w:pStyle w:val="SingleTxtG"/>
      </w:pPr>
      <w:r>
        <w:t>3.</w:t>
      </w:r>
      <w:r>
        <w:tab/>
        <w:t xml:space="preserve">Для предотвращения </w:t>
      </w:r>
      <w:r w:rsidR="00FF462C">
        <w:t>«</w:t>
      </w:r>
      <w:r>
        <w:t>дверных аварий</w:t>
      </w:r>
      <w:r w:rsidR="00FF462C">
        <w:t>»</w:t>
      </w:r>
      <w:r>
        <w:t xml:space="preserve"> автотранспортные средства должны быть оснащены устройством короткого автоматического включения сигнала предупреждения об опасности или</w:t>
      </w:r>
      <w:r w:rsidR="00FF462C">
        <w:t xml:space="preserve"> в качестве альтернативы</w:t>
      </w:r>
      <w:r>
        <w:t xml:space="preserve"> автоматической системой блокировки дверей автомобиля, предотвращающей их открывание непосредственно перед проездом велосипедиста или во время его проезда.</w:t>
      </w:r>
    </w:p>
    <w:p w:rsidR="00183084" w:rsidRDefault="00183084" w:rsidP="00183084">
      <w:pPr>
        <w:pStyle w:val="SingleTxtG"/>
      </w:pPr>
      <w:r>
        <w:t>4.</w:t>
      </w:r>
      <w:r>
        <w:tab/>
        <w:t>В будущем «система помощи и предупреждения, предназначенная для двери транспортного средства», должна с высокой эффективностью уменьшать вышеупомянутые факторы опасности в диапазоне низких скоростей или в положении остановки</w:t>
      </w:r>
      <w:r w:rsidR="00386B27">
        <w:t xml:space="preserve"> –</w:t>
      </w:r>
      <w:r>
        <w:t xml:space="preserve"> возможно, в сочетании с системой помощи при парковке (посредством которой водитель уже информируется о расстояниях до близлежащих объектов в процессе парковки). Пока такие системы не станут доступными по цене, безопасность можно повысить путем включения сигнала предупреждения об опасности, который в принципе также можно модернизировать.</w:t>
      </w:r>
    </w:p>
    <w:p w:rsidR="00183084" w:rsidRPr="00CE30AC" w:rsidRDefault="00183084" w:rsidP="00183084">
      <w:pPr>
        <w:pStyle w:val="endnotetable"/>
        <w:spacing w:before="240" w:line="240" w:lineRule="atLeast"/>
        <w:ind w:firstLine="0"/>
        <w:jc w:val="center"/>
        <w:rPr>
          <w:u w:val="single"/>
          <w:lang w:val="ru-RU"/>
        </w:rPr>
      </w:pPr>
      <w:r w:rsidRPr="00CE30AC">
        <w:rPr>
          <w:u w:val="single"/>
          <w:lang w:val="ru-RU"/>
        </w:rPr>
        <w:tab/>
      </w:r>
      <w:r w:rsidRPr="00CE30AC">
        <w:rPr>
          <w:u w:val="single"/>
          <w:lang w:val="ru-RU"/>
        </w:rPr>
        <w:tab/>
      </w:r>
      <w:r w:rsidRPr="00CE30AC">
        <w:rPr>
          <w:u w:val="single"/>
          <w:lang w:val="ru-RU"/>
        </w:rPr>
        <w:tab/>
      </w:r>
      <w:r w:rsidRPr="00CE30AC">
        <w:rPr>
          <w:u w:val="single"/>
          <w:lang w:val="ru-RU"/>
        </w:rPr>
        <w:tab/>
      </w:r>
    </w:p>
    <w:p w:rsidR="00E12C5F" w:rsidRPr="008D53B6" w:rsidRDefault="00E12C5F" w:rsidP="00D9145B"/>
    <w:sectPr w:rsidR="00E12C5F" w:rsidRPr="008D53B6" w:rsidSect="001830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93" w:rsidRPr="00A312BC" w:rsidRDefault="00EA4893" w:rsidP="00A312BC"/>
  </w:endnote>
  <w:endnote w:type="continuationSeparator" w:id="0">
    <w:p w:rsidR="00EA4893" w:rsidRPr="00A312BC" w:rsidRDefault="00EA48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84" w:rsidRPr="00183084" w:rsidRDefault="00183084">
    <w:pPr>
      <w:pStyle w:val="Footer"/>
    </w:pPr>
    <w:r w:rsidRPr="00183084">
      <w:rPr>
        <w:b/>
        <w:sz w:val="18"/>
      </w:rPr>
      <w:fldChar w:fldCharType="begin"/>
    </w:r>
    <w:r w:rsidRPr="00183084">
      <w:rPr>
        <w:b/>
        <w:sz w:val="18"/>
      </w:rPr>
      <w:instrText xml:space="preserve"> PAGE  \* MERGEFORMAT </w:instrText>
    </w:r>
    <w:r w:rsidRPr="00183084">
      <w:rPr>
        <w:b/>
        <w:sz w:val="18"/>
      </w:rPr>
      <w:fldChar w:fldCharType="separate"/>
    </w:r>
    <w:r w:rsidR="001302CF">
      <w:rPr>
        <w:b/>
        <w:noProof/>
        <w:sz w:val="18"/>
      </w:rPr>
      <w:t>2</w:t>
    </w:r>
    <w:r w:rsidRPr="00183084">
      <w:rPr>
        <w:b/>
        <w:sz w:val="18"/>
      </w:rPr>
      <w:fldChar w:fldCharType="end"/>
    </w:r>
    <w:r>
      <w:rPr>
        <w:b/>
        <w:sz w:val="18"/>
      </w:rPr>
      <w:tab/>
    </w:r>
    <w:r>
      <w:t>GE.19-01560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84" w:rsidRPr="00183084" w:rsidRDefault="00183084" w:rsidP="00183084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GE.19-01560</w:t>
    </w:r>
    <w:r>
      <w:tab/>
    </w:r>
    <w:r w:rsidRPr="00183084">
      <w:rPr>
        <w:b/>
        <w:sz w:val="18"/>
      </w:rPr>
      <w:fldChar w:fldCharType="begin"/>
    </w:r>
    <w:r w:rsidRPr="00183084">
      <w:rPr>
        <w:b/>
        <w:sz w:val="18"/>
      </w:rPr>
      <w:instrText xml:space="preserve"> PAGE  \* MERGEFORMAT </w:instrText>
    </w:r>
    <w:r w:rsidRPr="00183084">
      <w:rPr>
        <w:b/>
        <w:sz w:val="18"/>
      </w:rPr>
      <w:fldChar w:fldCharType="separate"/>
    </w:r>
    <w:r w:rsidR="001302CF">
      <w:rPr>
        <w:b/>
        <w:noProof/>
        <w:sz w:val="18"/>
      </w:rPr>
      <w:t>3</w:t>
    </w:r>
    <w:r w:rsidRPr="001830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83084" w:rsidRDefault="00183084" w:rsidP="0018308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19-01560  (R)</w:t>
    </w:r>
    <w:r>
      <w:rPr>
        <w:lang w:val="en-US"/>
      </w:rPr>
      <w:t xml:space="preserve">  060219  070219</w:t>
    </w:r>
    <w:r>
      <w:br/>
    </w:r>
    <w:r w:rsidRPr="00183084">
      <w:rPr>
        <w:rFonts w:ascii="C39T30Lfz" w:hAnsi="C39T30Lfz"/>
        <w:kern w:val="14"/>
        <w:sz w:val="56"/>
      </w:rPr>
      <w:t></w:t>
    </w:r>
    <w:r w:rsidRPr="00183084">
      <w:rPr>
        <w:rFonts w:ascii="C39T30Lfz" w:hAnsi="C39T30Lfz"/>
        <w:kern w:val="14"/>
        <w:sz w:val="56"/>
      </w:rPr>
      <w:t></w:t>
    </w:r>
    <w:r w:rsidRPr="00183084">
      <w:rPr>
        <w:rFonts w:ascii="C39T30Lfz" w:hAnsi="C39T30Lfz"/>
        <w:kern w:val="14"/>
        <w:sz w:val="56"/>
      </w:rPr>
      <w:t></w:t>
    </w:r>
    <w:r w:rsidRPr="00183084">
      <w:rPr>
        <w:rFonts w:ascii="C39T30Lfz" w:hAnsi="C39T30Lfz"/>
        <w:kern w:val="14"/>
        <w:sz w:val="56"/>
      </w:rPr>
      <w:t></w:t>
    </w:r>
    <w:r w:rsidRPr="00183084">
      <w:rPr>
        <w:rFonts w:ascii="C39T30Lfz" w:hAnsi="C39T30Lfz"/>
        <w:kern w:val="14"/>
        <w:sz w:val="56"/>
      </w:rPr>
      <w:t></w:t>
    </w:r>
    <w:r w:rsidRPr="00183084">
      <w:rPr>
        <w:rFonts w:ascii="C39T30Lfz" w:hAnsi="C39T30Lfz"/>
        <w:kern w:val="14"/>
        <w:sz w:val="56"/>
      </w:rPr>
      <w:t></w:t>
    </w:r>
    <w:r w:rsidRPr="00183084">
      <w:rPr>
        <w:rFonts w:ascii="C39T30Lfz" w:hAnsi="C39T30Lfz"/>
        <w:kern w:val="14"/>
        <w:sz w:val="56"/>
      </w:rPr>
      <w:t></w:t>
    </w:r>
    <w:r w:rsidRPr="00183084">
      <w:rPr>
        <w:rFonts w:ascii="C39T30Lfz" w:hAnsi="C39T30Lfz"/>
        <w:kern w:val="14"/>
        <w:sz w:val="56"/>
      </w:rPr>
      <w:t></w:t>
    </w:r>
    <w:r w:rsidRPr="0018308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93" w:rsidRPr="001075E9" w:rsidRDefault="00EA48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4893" w:rsidRDefault="00EA48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83084" w:rsidRPr="00CE30AC" w:rsidRDefault="00183084" w:rsidP="00183084">
      <w:pPr>
        <w:pStyle w:val="FootnoteText"/>
      </w:pPr>
      <w:r>
        <w:tab/>
      </w:r>
      <w:r w:rsidRPr="0018308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183084" w:rsidRPr="00CE30AC" w:rsidRDefault="00183084" w:rsidP="0018308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946FC4">
          <w:rPr>
            <w:rStyle w:val="Hyperlink"/>
            <w:color w:val="auto"/>
          </w:rPr>
          <w:t>https://adfc-berlin.de/radverkehr/sicherheit/massnahmen-und-tipps/496-dooring-unfaelle-verhindern.html</w:t>
        </w:r>
      </w:hyperlink>
      <w:r w:rsidR="00946FC4" w:rsidRPr="00946FC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84" w:rsidRPr="00183084" w:rsidRDefault="00874EB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302CF">
      <w:t>ECE/TRANS/WP.29/GRE/2019/8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84" w:rsidRPr="00183084" w:rsidRDefault="00874EB8" w:rsidP="0018308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302CF">
      <w:t>ECE/TRANS/WP.29/GRE/2019/8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C2961"/>
    <w:multiLevelType w:val="hybridMultilevel"/>
    <w:tmpl w:val="73B42F04"/>
    <w:lvl w:ilvl="0" w:tplc="1062CF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  <w:lvlOverride w:ilvl="0">
      <w:lvl w:ilvl="0" w:tplc="1062CF54">
        <w:start w:val="1"/>
        <w:numFmt w:val="lowerLetter"/>
        <w:lvlText w:val="%1)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93"/>
    <w:rsid w:val="00033EE1"/>
    <w:rsid w:val="00042B72"/>
    <w:rsid w:val="000558BD"/>
    <w:rsid w:val="000B57E7"/>
    <w:rsid w:val="000B6373"/>
    <w:rsid w:val="000D1F69"/>
    <w:rsid w:val="000E4E5B"/>
    <w:rsid w:val="000E5F6A"/>
    <w:rsid w:val="000F09DF"/>
    <w:rsid w:val="000F61B2"/>
    <w:rsid w:val="001075E9"/>
    <w:rsid w:val="001302CF"/>
    <w:rsid w:val="0014152F"/>
    <w:rsid w:val="00180183"/>
    <w:rsid w:val="0018024D"/>
    <w:rsid w:val="00183084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B27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4EB8"/>
    <w:rsid w:val="00894693"/>
    <w:rsid w:val="008A08D7"/>
    <w:rsid w:val="008A37C8"/>
    <w:rsid w:val="008B6909"/>
    <w:rsid w:val="008D53B6"/>
    <w:rsid w:val="008F7609"/>
    <w:rsid w:val="00906890"/>
    <w:rsid w:val="00911BE4"/>
    <w:rsid w:val="00946FC4"/>
    <w:rsid w:val="00951972"/>
    <w:rsid w:val="009608F3"/>
    <w:rsid w:val="009A24AC"/>
    <w:rsid w:val="009C59D7"/>
    <w:rsid w:val="009C6FE6"/>
    <w:rsid w:val="009D7E7D"/>
    <w:rsid w:val="00A1499B"/>
    <w:rsid w:val="00A14DA8"/>
    <w:rsid w:val="00A312BC"/>
    <w:rsid w:val="00A84021"/>
    <w:rsid w:val="00A84D35"/>
    <w:rsid w:val="00A917B3"/>
    <w:rsid w:val="00AB4B51"/>
    <w:rsid w:val="00AD4435"/>
    <w:rsid w:val="00B10CC7"/>
    <w:rsid w:val="00B36DF7"/>
    <w:rsid w:val="00B539E7"/>
    <w:rsid w:val="00B62458"/>
    <w:rsid w:val="00BB4397"/>
    <w:rsid w:val="00BC18B2"/>
    <w:rsid w:val="00BC4017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4893"/>
    <w:rsid w:val="00ED0BDA"/>
    <w:rsid w:val="00EE142A"/>
    <w:rsid w:val="00EF1360"/>
    <w:rsid w:val="00EF3220"/>
    <w:rsid w:val="00F2523A"/>
    <w:rsid w:val="00F43903"/>
    <w:rsid w:val="00F85C0E"/>
    <w:rsid w:val="00F94155"/>
    <w:rsid w:val="00F9783F"/>
    <w:rsid w:val="00FD2EF7"/>
    <w:rsid w:val="00FE447E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AAD573-49DC-4417-93A3-EDA5801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endnotetable">
    <w:name w:val="endnote table"/>
    <w:basedOn w:val="Normal"/>
    <w:link w:val="endnotetableChar"/>
    <w:rsid w:val="00183084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183084"/>
    <w:rPr>
      <w:sz w:val="18"/>
      <w:szCs w:val="18"/>
      <w:lang w:val="en-GB" w:eastAsia="en-US"/>
    </w:rPr>
  </w:style>
  <w:style w:type="character" w:customStyle="1" w:styleId="SingleTxtGChar">
    <w:name w:val="_ Single Txt_G Char"/>
    <w:link w:val="SingleTxtG"/>
    <w:rsid w:val="00183084"/>
    <w:rPr>
      <w:lang w:val="ru-RU" w:eastAsia="en-US"/>
    </w:rPr>
  </w:style>
  <w:style w:type="character" w:customStyle="1" w:styleId="HChGChar">
    <w:name w:val="_ H _Ch_G Char"/>
    <w:link w:val="HChG"/>
    <w:rsid w:val="0018308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8308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fc-berlin.de/radverkehr/sicherheit/massnahmen-und-tipps/496-dooring-unfaelle-verhinder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ECE/TRANS/WP.29/GRE/2019/8</vt:lpstr>
      <vt:lpstr>ECE/TRANS/WP.29/GRE/2019/8</vt:lpstr>
      <vt:lpstr>A/</vt:lpstr>
    </vt:vector>
  </TitlesOfParts>
  <Company>DCM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ECE/TRANS/WP.29/GRE/2019/8</dc:title>
  <dc:subject/>
  <dc:creator>Elena IZOTOVA</dc:creator>
  <cp:keywords/>
  <cp:lastModifiedBy>Benedicte Boudol</cp:lastModifiedBy>
  <cp:revision>2</cp:revision>
  <cp:lastPrinted>2019-02-07T09:57:00Z</cp:lastPrinted>
  <dcterms:created xsi:type="dcterms:W3CDTF">2019-03-04T10:30:00Z</dcterms:created>
  <dcterms:modified xsi:type="dcterms:W3CDTF">2019-03-04T10:30:00Z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