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AFDC4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BC01DF" w14:textId="77777777" w:rsidR="002D5AAC" w:rsidRDefault="002D5AAC" w:rsidP="00995A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A0BD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9E29A0" w14:textId="77777777" w:rsidR="002D5AAC" w:rsidRDefault="00995A41" w:rsidP="00995A41">
            <w:pPr>
              <w:jc w:val="right"/>
            </w:pPr>
            <w:r w:rsidRPr="00995A41">
              <w:rPr>
                <w:sz w:val="40"/>
              </w:rPr>
              <w:t>ECE</w:t>
            </w:r>
            <w:r>
              <w:t>/TRANS/WP.11/2019/23</w:t>
            </w:r>
          </w:p>
        </w:tc>
      </w:tr>
      <w:tr w:rsidR="002D5AAC" w14:paraId="5B557C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A190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2BCA88" wp14:editId="0105AD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36B4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A91395" w14:textId="77777777" w:rsidR="002D5AAC" w:rsidRDefault="00995A4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60FA72" w14:textId="77777777" w:rsidR="00995A41" w:rsidRDefault="00995A41" w:rsidP="00995A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6574AD8C" w14:textId="77777777" w:rsidR="00995A41" w:rsidRDefault="00995A41" w:rsidP="00995A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32AE4C" w14:textId="77777777" w:rsidR="00995A41" w:rsidRPr="008D53B6" w:rsidRDefault="00995A41" w:rsidP="00995A4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9C648A" w14:textId="77777777" w:rsidR="00995A4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C9F9B7" w14:textId="77777777" w:rsidR="00995A41" w:rsidRPr="00995A41" w:rsidRDefault="00995A41" w:rsidP="00995A41">
      <w:pPr>
        <w:spacing w:before="120"/>
        <w:rPr>
          <w:sz w:val="28"/>
          <w:szCs w:val="28"/>
        </w:rPr>
      </w:pPr>
      <w:r w:rsidRPr="00995A41">
        <w:rPr>
          <w:sz w:val="28"/>
          <w:szCs w:val="28"/>
        </w:rPr>
        <w:t>Комитет по внутреннему транспорту</w:t>
      </w:r>
    </w:p>
    <w:p w14:paraId="027DDDCA" w14:textId="77777777" w:rsidR="00995A41" w:rsidRPr="00995A41" w:rsidRDefault="00995A41" w:rsidP="00995A41">
      <w:pPr>
        <w:spacing w:before="120"/>
        <w:rPr>
          <w:b/>
          <w:sz w:val="24"/>
          <w:szCs w:val="24"/>
        </w:rPr>
      </w:pPr>
      <w:r w:rsidRPr="00995A41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995A41">
        <w:rPr>
          <w:b/>
          <w:bCs/>
          <w:sz w:val="24"/>
          <w:szCs w:val="24"/>
        </w:rPr>
        <w:t>пищевых продуктов</w:t>
      </w:r>
    </w:p>
    <w:p w14:paraId="31B24F0C" w14:textId="77777777" w:rsidR="00995A41" w:rsidRPr="001F681F" w:rsidRDefault="00995A41" w:rsidP="00995A41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208F4FD6" w14:textId="77777777" w:rsidR="00995A41" w:rsidRPr="001F681F" w:rsidRDefault="00995A41" w:rsidP="00995A41">
      <w:r>
        <w:t>Женева, 8–11 октября 2019 года</w:t>
      </w:r>
    </w:p>
    <w:p w14:paraId="34F6925E" w14:textId="77777777" w:rsidR="00995A41" w:rsidRPr="001F681F" w:rsidRDefault="00995A41" w:rsidP="00995A41">
      <w:r>
        <w:t>Пункт 5 b) предварительной повестки дня</w:t>
      </w:r>
    </w:p>
    <w:p w14:paraId="725A00E1" w14:textId="77777777" w:rsidR="00995A41" w:rsidRPr="001F681F" w:rsidRDefault="00995A41" w:rsidP="00995A41">
      <w:pPr>
        <w:rPr>
          <w:b/>
        </w:rPr>
      </w:pPr>
      <w:r>
        <w:rPr>
          <w:b/>
          <w:bCs/>
        </w:rPr>
        <w:t>Предложение по поправкам к СПС:</w:t>
      </w:r>
      <w:r>
        <w:t xml:space="preserve"> </w:t>
      </w:r>
      <w:r>
        <w:br/>
      </w:r>
      <w:r>
        <w:rPr>
          <w:b/>
          <w:bCs/>
        </w:rPr>
        <w:t>новые предложения</w:t>
      </w:r>
    </w:p>
    <w:p w14:paraId="01E0A4B0" w14:textId="77777777" w:rsidR="00995A41" w:rsidRPr="001F681F" w:rsidRDefault="00995A41" w:rsidP="00995A41">
      <w:pPr>
        <w:pStyle w:val="HChG"/>
      </w:pPr>
      <w:r>
        <w:tab/>
      </w:r>
      <w:r>
        <w:tab/>
        <w:t>Временные свидетельства СПС на прототип оборудования</w:t>
      </w:r>
    </w:p>
    <w:p w14:paraId="221AAB9D" w14:textId="77777777" w:rsidR="00995A41" w:rsidRPr="001F681F" w:rsidRDefault="00995A41" w:rsidP="00995A41">
      <w:pPr>
        <w:pStyle w:val="H1G"/>
      </w:pPr>
      <w:r>
        <w:tab/>
      </w:r>
      <w:r>
        <w:tab/>
        <w:t xml:space="preserve">Передано </w:t>
      </w:r>
      <w:r w:rsidRPr="00995A41">
        <w:t>Федерацией</w:t>
      </w:r>
      <w:r>
        <w:t xml:space="preserve"> «Трансфригорут интернэшнл» (ТИ)</w:t>
      </w:r>
    </w:p>
    <w:p w14:paraId="743657F0" w14:textId="77777777" w:rsidR="00995A41" w:rsidRPr="00CE2F81" w:rsidRDefault="00995A41" w:rsidP="00995A41">
      <w:pPr>
        <w:pStyle w:val="HChG"/>
      </w:pPr>
      <w:r>
        <w:tab/>
      </w:r>
      <w:r w:rsidRPr="00CE2F81">
        <w:t>I.</w:t>
      </w:r>
      <w:r w:rsidRPr="00CE2F81">
        <w:tab/>
      </w:r>
      <w:r>
        <w:tab/>
        <w:t>Контекст</w:t>
      </w:r>
    </w:p>
    <w:p w14:paraId="63D881FB" w14:textId="77777777" w:rsidR="00995A41" w:rsidRPr="001F681F" w:rsidRDefault="00995A41" w:rsidP="00995A41">
      <w:pPr>
        <w:pStyle w:val="SingleTxtG"/>
      </w:pPr>
      <w:r w:rsidRPr="001F681F">
        <w:t>1.</w:t>
      </w:r>
      <w:r w:rsidRPr="001F681F">
        <w:tab/>
      </w:r>
      <w:r>
        <w:t>Для удовлетворения меняющихся потребностей отрасли перевозок в условиях регулируемой температуры изготовителям бортовых механических компрессоров, генераторов переменного тока и криогенного оборудования приходится разрабатывать новые изделия. Основные цели этих разработок заключаются в производстве более энергоэффективного оборудования, внедрении новых технологий, удовлетворении спроса на хладагенты с более низким ПГП, изготовлении новых силовых агрегатов и снижении воздействия на окружающую среду.</w:t>
      </w:r>
    </w:p>
    <w:p w14:paraId="03FF5454" w14:textId="77777777" w:rsidR="00995A41" w:rsidRPr="001F681F" w:rsidRDefault="00995A41" w:rsidP="00995A41">
      <w:pPr>
        <w:pStyle w:val="SingleTxtG"/>
      </w:pPr>
      <w:r w:rsidRPr="001F681F">
        <w:t>2.</w:t>
      </w:r>
      <w:r w:rsidRPr="001F681F">
        <w:tab/>
      </w:r>
      <w:r>
        <w:t xml:space="preserve">Для обеспечения оптимальных эксплуатационных характеристик при любых климатических условиях этот прототип оборудования необходимо подвергать испытаниям в реальных условиях эксплуатации в диапазоне температур конденсации и испарения в условиях окружающей среды, варьирующихся от очень низких до очень высоких. Это предполагает необходимость проведения испытаний данного оборудования в разных районах многих </w:t>
      </w:r>
      <w:r w:rsidR="00813775">
        <w:t>договаривающихся</w:t>
      </w:r>
      <w:r>
        <w:t xml:space="preserve"> сторон СПС до их запуска в серийное производство.</w:t>
      </w:r>
    </w:p>
    <w:p w14:paraId="7552BB55" w14:textId="77777777" w:rsidR="00995A41" w:rsidRPr="001F681F" w:rsidRDefault="00995A41" w:rsidP="00995A41">
      <w:pPr>
        <w:pStyle w:val="SingleTxtG"/>
      </w:pPr>
      <w:r w:rsidRPr="001F681F">
        <w:t>3.</w:t>
      </w:r>
      <w:r w:rsidRPr="001F681F">
        <w:tab/>
      </w:r>
      <w:r>
        <w:t>Настоящее предложение имеет целью наладить согласованный процесс, позволяющий использовать ограниченное число единиц оборудования до его представления на испытания в целях допущения к эксплуатации, как это описано в разделе 3 добавления 2 к приложению 1 СПС. Максимальный срок действия такого допущения можно было бы ограничить 12 месяцами с возможностью дальнейшего продления на 12 месяцев при условии утверждения соответствующим компетентным органом.</w:t>
      </w:r>
    </w:p>
    <w:p w14:paraId="01E99B27" w14:textId="77777777" w:rsidR="00995A41" w:rsidRPr="001F681F" w:rsidRDefault="00995A41" w:rsidP="006A3B70">
      <w:pPr>
        <w:pStyle w:val="SingleTxtG"/>
        <w:pageBreakBefore/>
        <w:ind w:left="1138" w:right="1138"/>
      </w:pPr>
      <w:r w:rsidRPr="001F681F">
        <w:lastRenderedPageBreak/>
        <w:t>4.</w:t>
      </w:r>
      <w:r w:rsidRPr="001F681F">
        <w:tab/>
      </w:r>
      <w:r>
        <w:t>Временные свидетельства СПС можно было бы выдавать на следующей основе:</w:t>
      </w:r>
    </w:p>
    <w:p w14:paraId="79F1D09A" w14:textId="77777777" w:rsidR="00995A41" w:rsidRPr="001F681F" w:rsidRDefault="00995A41" w:rsidP="00995A41">
      <w:pPr>
        <w:pStyle w:val="SingleTxtG"/>
        <w:ind w:firstLine="567"/>
      </w:pPr>
      <w:r w:rsidRPr="001F681F">
        <w:t>a)</w:t>
      </w:r>
      <w:r w:rsidRPr="001F681F">
        <w:tab/>
      </w:r>
      <w:r>
        <w:t>изготовитель оборудования мог бы обратиться к компетентному органу СПС, в котором находится изготовитель или в котором должно быть изготовлено данное оборудование, с просьбой получить соответствующее подтверждение;</w:t>
      </w:r>
    </w:p>
    <w:p w14:paraId="4CDC8EF2" w14:textId="77777777" w:rsidR="00995A41" w:rsidRPr="001F681F" w:rsidRDefault="00995A41" w:rsidP="00995A41">
      <w:pPr>
        <w:pStyle w:val="SingleTxtG"/>
        <w:ind w:firstLine="567"/>
      </w:pPr>
      <w:r w:rsidRPr="001F681F">
        <w:t>b)</w:t>
      </w:r>
      <w:r w:rsidRPr="001F681F">
        <w:tab/>
      </w:r>
      <w:r>
        <w:t>максимальное число единиц прототипа данного оборудования не должн</w:t>
      </w:r>
      <w:r w:rsidR="002121A4">
        <w:t>о</w:t>
      </w:r>
      <w:r>
        <w:t xml:space="preserve"> превышать 50;</w:t>
      </w:r>
    </w:p>
    <w:p w14:paraId="4464B327" w14:textId="77777777" w:rsidR="00995A41" w:rsidRPr="001F681F" w:rsidRDefault="00995A41" w:rsidP="00995A41">
      <w:pPr>
        <w:pStyle w:val="SingleTxtG"/>
        <w:ind w:firstLine="567"/>
      </w:pPr>
      <w:r w:rsidRPr="001F681F">
        <w:t>c)</w:t>
      </w:r>
      <w:r w:rsidRPr="001F681F">
        <w:tab/>
      </w:r>
      <w:r>
        <w:t>обращаясь с заявкой в соответствующий компетентный орган, изготовитель оборудования берет на себя обязательство в конце периода испытаний представить оборудование серийного производства для испытания на допущение типа, как указано в разделе 3 добавления 2 к приложению 1 к СПС, с тем чтобы иметь достаточно времени для внесения в это серийное оборудование всех необходимых изменений, выявленных в результате испытания;</w:t>
      </w:r>
    </w:p>
    <w:p w14:paraId="6639C5D1" w14:textId="77777777" w:rsidR="00995A41" w:rsidRDefault="00995A41" w:rsidP="00995A41">
      <w:pPr>
        <w:pStyle w:val="SingleTxtG"/>
        <w:ind w:firstLine="567"/>
      </w:pPr>
      <w:r>
        <w:t>d)</w:t>
      </w:r>
      <w:r>
        <w:tab/>
      </w:r>
      <w:r w:rsidR="002121A4">
        <w:t xml:space="preserve">изготовитель </w:t>
      </w:r>
      <w:r>
        <w:t>оборудования представляет на конфиденциальной основе: а) подробное описание работы систем охлаждения и отопления; b) документальное подтверждение характеристик основных компонентов прототипа оборудования; с)</w:t>
      </w:r>
      <w:r w:rsidR="002121A4">
        <w:t> </w:t>
      </w:r>
      <w:r>
        <w:t>данные предварительных калориметрических испытаний с указанием холодопроизводительности и, при необходимости, теплопроизводительности (Р ном.) в каждой из установленных в СПС точек проверки температуры; d) измеренные объемы воздушного потока, позволяющие обеспечить минимальное соответствие подразделам 3.2, 3.3 и 3.4 добавления 2 к приложению 1 к СПС;</w:t>
      </w:r>
    </w:p>
    <w:p w14:paraId="5166DD48" w14:textId="77777777" w:rsidR="00995A41" w:rsidRPr="001F681F" w:rsidRDefault="00995A41" w:rsidP="00995A41">
      <w:pPr>
        <w:pStyle w:val="SingleTxtG"/>
        <w:ind w:firstLine="567"/>
      </w:pPr>
      <w:r w:rsidRPr="001F681F">
        <w:t>e)</w:t>
      </w:r>
      <w:r w:rsidRPr="001F681F">
        <w:tab/>
      </w:r>
      <w:r w:rsidR="002121A4">
        <w:t xml:space="preserve">максимальный </w:t>
      </w:r>
      <w:r>
        <w:t>срок действия временного свидетельства СПС составляет 12 месяцев с начала периода испытания. Эта дата подлежит согласованию между компетентным органом и изготовителем. Возможность продления испытательного срока на дополнительный период не свыше 12 месяцев, может подтверждаться соответствующим компетентным органом;</w:t>
      </w:r>
    </w:p>
    <w:p w14:paraId="724404BF" w14:textId="77777777" w:rsidR="00995A41" w:rsidRPr="001F681F" w:rsidRDefault="00995A41" w:rsidP="00995A41">
      <w:pPr>
        <w:pStyle w:val="SingleTxtG"/>
        <w:ind w:firstLine="567"/>
      </w:pPr>
      <w:r w:rsidRPr="001F681F">
        <w:t>f)</w:t>
      </w:r>
      <w:r w:rsidRPr="001F681F">
        <w:tab/>
      </w:r>
      <w:r w:rsidR="002121A4">
        <w:t xml:space="preserve">прототип </w:t>
      </w:r>
      <w:r>
        <w:t>оборудования остается собственностью изготовителя оборудования в течение всего периода испытания;</w:t>
      </w:r>
    </w:p>
    <w:p w14:paraId="3676FB50" w14:textId="77777777" w:rsidR="00995A41" w:rsidRPr="001F681F" w:rsidRDefault="00995A41" w:rsidP="00995A41">
      <w:pPr>
        <w:pStyle w:val="SingleTxtG"/>
        <w:ind w:firstLine="567"/>
      </w:pPr>
      <w:r w:rsidRPr="001F681F">
        <w:t>g)</w:t>
      </w:r>
      <w:r w:rsidRPr="001F681F">
        <w:tab/>
      </w:r>
      <w:r w:rsidR="002121A4">
        <w:t xml:space="preserve">производитель </w:t>
      </w:r>
      <w:r>
        <w:t>оборудования принимает все необходимые меры в целях поддержания требуемого температурного режима для обеспечения целостности скоропортящихся продуктов, перевозимых в период испытаний данного прототипа.</w:t>
      </w:r>
    </w:p>
    <w:p w14:paraId="0D940382" w14:textId="77777777" w:rsidR="00995A41" w:rsidRDefault="00995A41" w:rsidP="00995A41">
      <w:pPr>
        <w:pStyle w:val="HChG"/>
      </w:pPr>
      <w:r>
        <w:tab/>
        <w:t>II.</w:t>
      </w:r>
      <w:r>
        <w:tab/>
      </w:r>
      <w:r>
        <w:tab/>
        <w:t>Современное состояние</w:t>
      </w:r>
    </w:p>
    <w:p w14:paraId="025744BB" w14:textId="77777777" w:rsidR="00995A41" w:rsidRPr="001F681F" w:rsidRDefault="00995A41" w:rsidP="006A3B70">
      <w:pPr>
        <w:pStyle w:val="SingleTxtG"/>
      </w:pPr>
      <w:r w:rsidRPr="001F681F">
        <w:t>5.</w:t>
      </w:r>
      <w:r w:rsidRPr="001F681F">
        <w:tab/>
      </w:r>
      <w:r>
        <w:t>В нынешнем варианте СПС никаких положений по этому вопросу нет.</w:t>
      </w:r>
    </w:p>
    <w:p w14:paraId="68F47DBE" w14:textId="77777777" w:rsidR="00995A41" w:rsidRDefault="00995A41" w:rsidP="00995A41">
      <w:pPr>
        <w:pStyle w:val="HChG"/>
      </w:pPr>
      <w:r>
        <w:tab/>
        <w:t>III.</w:t>
      </w:r>
      <w:r>
        <w:tab/>
      </w:r>
      <w:r>
        <w:tab/>
      </w:r>
      <w:r w:rsidRPr="00995A41">
        <w:t>Техническое</w:t>
      </w:r>
      <w:r>
        <w:t xml:space="preserve"> воздействие предложенной меры</w:t>
      </w:r>
    </w:p>
    <w:p w14:paraId="0688CAA1" w14:textId="77777777" w:rsidR="00995A41" w:rsidRPr="001F681F" w:rsidRDefault="00995A41" w:rsidP="00995A41">
      <w:pPr>
        <w:pStyle w:val="SingleTxtG"/>
      </w:pPr>
      <w:r w:rsidRPr="001F681F">
        <w:t>6.</w:t>
      </w:r>
      <w:r w:rsidRPr="001F681F">
        <w:tab/>
      </w:r>
      <w:r>
        <w:t>В случае принятия этого предложения оно позволит ускорить разработку более современных энергоэффективных технологий, необходимых для удовлетворения меняющихся потребностей системы перевозок в условиях регулируемой температуры.</w:t>
      </w:r>
    </w:p>
    <w:p w14:paraId="48D23C7C" w14:textId="77777777" w:rsidR="00995A41" w:rsidRDefault="00995A41" w:rsidP="00995A41">
      <w:pPr>
        <w:pStyle w:val="HChG"/>
      </w:pPr>
      <w:r>
        <w:tab/>
        <w:t>IV.</w:t>
      </w:r>
      <w:r>
        <w:tab/>
      </w:r>
      <w:r>
        <w:tab/>
      </w:r>
      <w:r>
        <w:rPr>
          <w:bCs/>
        </w:rPr>
        <w:t>Экономическое воздействие предлагаемой меры</w:t>
      </w:r>
    </w:p>
    <w:p w14:paraId="44672B27" w14:textId="77777777" w:rsidR="00995A41" w:rsidRPr="001F681F" w:rsidRDefault="00995A41" w:rsidP="00995A41">
      <w:pPr>
        <w:pStyle w:val="SingleTxtG"/>
      </w:pPr>
      <w:r w:rsidRPr="001F681F">
        <w:t>7.</w:t>
      </w:r>
      <w:r w:rsidRPr="001F681F">
        <w:tab/>
      </w:r>
      <w:r>
        <w:t>Разработка более энергоэффективного оборудования позволит сократить эксплуатационные расходы для перевозчиков.</w:t>
      </w:r>
    </w:p>
    <w:p w14:paraId="44EF434C" w14:textId="77777777" w:rsidR="00995A41" w:rsidRPr="001F681F" w:rsidRDefault="00995A41" w:rsidP="00995A41">
      <w:pPr>
        <w:pStyle w:val="HChG"/>
      </w:pPr>
      <w:r>
        <w:tab/>
        <w:t>V.</w:t>
      </w:r>
      <w:r>
        <w:tab/>
      </w:r>
      <w:r>
        <w:tab/>
      </w:r>
      <w:r>
        <w:rPr>
          <w:bCs/>
        </w:rPr>
        <w:t>Воздействие предлагаемой меры на окружающую среду</w:t>
      </w:r>
    </w:p>
    <w:p w14:paraId="29F58311" w14:textId="77777777" w:rsidR="00995A41" w:rsidRPr="001F681F" w:rsidRDefault="00995A41" w:rsidP="00995A41">
      <w:pPr>
        <w:pStyle w:val="SingleTxtG"/>
      </w:pPr>
      <w:r w:rsidRPr="001F681F">
        <w:t>8.</w:t>
      </w:r>
      <w:r w:rsidRPr="001F681F">
        <w:tab/>
      </w:r>
      <w:r>
        <w:t xml:space="preserve">Разработка более </w:t>
      </w:r>
      <w:r w:rsidR="002121A4">
        <w:t>энергоэффективного оборудования</w:t>
      </w:r>
      <w:r>
        <w:t xml:space="preserve"> может оказать существенное воздействие на сокращение выбросов NO</w:t>
      </w:r>
      <w:r>
        <w:rPr>
          <w:vertAlign w:val="subscript"/>
        </w:rPr>
        <w:t>х</w:t>
      </w:r>
      <w:r>
        <w:t xml:space="preserve"> и ТЧ транспортным оборудованием в соответствии с целевыми показателями, установленными в Парижском соглашении и Кигалийском договоре, а также на улучшение качества воздуха в городских районах.</w:t>
      </w:r>
    </w:p>
    <w:p w14:paraId="4AB1EF74" w14:textId="77777777" w:rsidR="00995A41" w:rsidRPr="001F681F" w:rsidRDefault="00995A41" w:rsidP="00995A41">
      <w:pPr>
        <w:pStyle w:val="HChG"/>
      </w:pPr>
      <w:r>
        <w:lastRenderedPageBreak/>
        <w:tab/>
        <w:t>VI.</w:t>
      </w:r>
      <w:r>
        <w:tab/>
      </w:r>
      <w:r>
        <w:tab/>
      </w:r>
      <w:r>
        <w:rPr>
          <w:bCs/>
        </w:rPr>
        <w:t>Заключение</w:t>
      </w:r>
    </w:p>
    <w:p w14:paraId="273C0B89" w14:textId="77777777" w:rsidR="00995A41" w:rsidRPr="001F681F" w:rsidRDefault="00995A41" w:rsidP="00995A41">
      <w:pPr>
        <w:pStyle w:val="H1G"/>
      </w:pPr>
      <w:r>
        <w:tab/>
      </w:r>
      <w:r>
        <w:tab/>
      </w:r>
      <w:r>
        <w:rPr>
          <w:bCs/>
        </w:rPr>
        <w:t>Предложение по поправке (в случае применимости)</w:t>
      </w:r>
    </w:p>
    <w:p w14:paraId="45934ACE" w14:textId="77777777" w:rsidR="00995A41" w:rsidRPr="001F681F" w:rsidRDefault="00995A41" w:rsidP="00995A41">
      <w:pPr>
        <w:pStyle w:val="SingleTxtG"/>
      </w:pPr>
      <w:r w:rsidRPr="001F681F">
        <w:t>9.</w:t>
      </w:r>
      <w:r w:rsidRPr="001F681F">
        <w:tab/>
      </w:r>
      <w:r>
        <w:t>Раздел СПС, которого касается это предложение:</w:t>
      </w:r>
    </w:p>
    <w:p w14:paraId="3EA997FA" w14:textId="77777777" w:rsidR="00995A41" w:rsidRDefault="00995A41" w:rsidP="00995A41">
      <w:pPr>
        <w:pStyle w:val="SingleTxtG"/>
      </w:pPr>
      <w:r>
        <w:t>Перечень соответствующих пунктов, например: раздел 3 добавления 2 к приложению</w:t>
      </w:r>
      <w:r w:rsidR="006A3B70">
        <w:rPr>
          <w:lang w:val="en-US"/>
        </w:rPr>
        <w:t> </w:t>
      </w:r>
      <w:r>
        <w:t>1 к СПС.</w:t>
      </w:r>
    </w:p>
    <w:p w14:paraId="0B38352E" w14:textId="77777777" w:rsidR="00995A41" w:rsidRDefault="00995A41" w:rsidP="00995A41">
      <w:pPr>
        <w:pStyle w:val="SingleTxtG"/>
      </w:pPr>
      <w:r>
        <w:tab/>
      </w:r>
      <w:r>
        <w:tab/>
        <w:t>6.</w:t>
      </w:r>
      <w:r>
        <w:tab/>
        <w:t>[...]</w:t>
      </w:r>
    </w:p>
    <w:p w14:paraId="065CD3A5" w14:textId="77777777" w:rsidR="00995A41" w:rsidRPr="00995A41" w:rsidRDefault="00995A41" w:rsidP="00995A41">
      <w:pPr>
        <w:pStyle w:val="SingleTxtG"/>
        <w:rPr>
          <w:b/>
          <w:bCs/>
          <w:lang w:val="en-US"/>
        </w:rPr>
      </w:pPr>
      <w:r>
        <w:tab/>
      </w:r>
      <w:r>
        <w:tab/>
      </w:r>
      <w:r>
        <w:rPr>
          <w:lang w:val="en-US"/>
        </w:rPr>
        <w:t>6.2)</w:t>
      </w:r>
    </w:p>
    <w:p w14:paraId="323021AE" w14:textId="77777777" w:rsidR="00E12C5F" w:rsidRPr="00995A41" w:rsidRDefault="00995A41" w:rsidP="00995A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88E7A6" w14:textId="77777777" w:rsidR="00995A41" w:rsidRPr="008D53B6" w:rsidRDefault="00995A41"/>
    <w:sectPr w:rsidR="00995A41" w:rsidRPr="008D53B6" w:rsidSect="00995A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9504" w14:textId="77777777" w:rsidR="000C218F" w:rsidRPr="00A312BC" w:rsidRDefault="000C218F" w:rsidP="00A312BC"/>
  </w:endnote>
  <w:endnote w:type="continuationSeparator" w:id="0">
    <w:p w14:paraId="5905D743" w14:textId="77777777" w:rsidR="000C218F" w:rsidRPr="00A312BC" w:rsidRDefault="000C21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E421" w14:textId="77777777" w:rsidR="00995A41" w:rsidRPr="00995A41" w:rsidRDefault="00995A41">
    <w:pPr>
      <w:pStyle w:val="Footer"/>
    </w:pPr>
    <w:r w:rsidRPr="00995A41">
      <w:rPr>
        <w:b/>
        <w:sz w:val="18"/>
      </w:rPr>
      <w:fldChar w:fldCharType="begin"/>
    </w:r>
    <w:r w:rsidRPr="00995A41">
      <w:rPr>
        <w:b/>
        <w:sz w:val="18"/>
      </w:rPr>
      <w:instrText xml:space="preserve"> PAGE  \* MERGEFORMAT </w:instrText>
    </w:r>
    <w:r w:rsidRPr="00995A41">
      <w:rPr>
        <w:b/>
        <w:sz w:val="18"/>
      </w:rPr>
      <w:fldChar w:fldCharType="separate"/>
    </w:r>
    <w:r w:rsidR="00315229">
      <w:rPr>
        <w:b/>
        <w:noProof/>
        <w:sz w:val="18"/>
      </w:rPr>
      <w:t>2</w:t>
    </w:r>
    <w:r w:rsidRPr="00995A41">
      <w:rPr>
        <w:b/>
        <w:sz w:val="18"/>
      </w:rPr>
      <w:fldChar w:fldCharType="end"/>
    </w:r>
    <w:r>
      <w:rPr>
        <w:b/>
        <w:sz w:val="18"/>
      </w:rPr>
      <w:tab/>
    </w:r>
    <w:r>
      <w:t>GE.19-12589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4F8B" w14:textId="77777777" w:rsidR="00995A41" w:rsidRPr="00995A41" w:rsidRDefault="00995A41" w:rsidP="00995A4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GE.19-12589</w:t>
    </w:r>
    <w:r>
      <w:tab/>
    </w:r>
    <w:r w:rsidRPr="00995A41">
      <w:rPr>
        <w:b/>
        <w:sz w:val="18"/>
      </w:rPr>
      <w:fldChar w:fldCharType="begin"/>
    </w:r>
    <w:r w:rsidRPr="00995A41">
      <w:rPr>
        <w:b/>
        <w:sz w:val="18"/>
      </w:rPr>
      <w:instrText xml:space="preserve"> PAGE  \* MERGEFORMAT </w:instrText>
    </w:r>
    <w:r w:rsidRPr="00995A41">
      <w:rPr>
        <w:b/>
        <w:sz w:val="18"/>
      </w:rPr>
      <w:fldChar w:fldCharType="separate"/>
    </w:r>
    <w:r w:rsidR="00315229">
      <w:rPr>
        <w:b/>
        <w:noProof/>
        <w:sz w:val="18"/>
      </w:rPr>
      <w:t>3</w:t>
    </w:r>
    <w:r w:rsidRPr="00995A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40FA" w14:textId="77777777" w:rsidR="00042B72" w:rsidRPr="00995A41" w:rsidRDefault="00995A41" w:rsidP="00995A4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74E690" wp14:editId="66BE16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12589  (</w:t>
    </w:r>
    <w:proofErr w:type="gramEnd"/>
    <w:r>
      <w:t>R)</w:t>
    </w:r>
    <w:r w:rsidR="002121A4">
      <w:t xml:space="preserve">  050819  060819</w:t>
    </w:r>
    <w:r>
      <w:br/>
    </w:r>
    <w:r w:rsidRPr="00995A41">
      <w:rPr>
        <w:rFonts w:ascii="C39T30Lfz" w:hAnsi="C39T30Lfz"/>
        <w:kern w:val="14"/>
        <w:sz w:val="56"/>
      </w:rPr>
      <w:t></w:t>
    </w:r>
    <w:r w:rsidRPr="00995A41">
      <w:rPr>
        <w:rFonts w:ascii="C39T30Lfz" w:hAnsi="C39T30Lfz"/>
        <w:kern w:val="14"/>
        <w:sz w:val="56"/>
      </w:rPr>
      <w:t></w:t>
    </w:r>
    <w:r w:rsidRPr="00995A41">
      <w:rPr>
        <w:rFonts w:ascii="C39T30Lfz" w:hAnsi="C39T30Lfz"/>
        <w:kern w:val="14"/>
        <w:sz w:val="56"/>
      </w:rPr>
      <w:t></w:t>
    </w:r>
    <w:r w:rsidRPr="00995A41">
      <w:rPr>
        <w:rFonts w:ascii="C39T30Lfz" w:hAnsi="C39T30Lfz"/>
        <w:kern w:val="14"/>
        <w:sz w:val="56"/>
      </w:rPr>
      <w:t></w:t>
    </w:r>
    <w:r w:rsidRPr="00995A41">
      <w:rPr>
        <w:rFonts w:ascii="C39T30Lfz" w:hAnsi="C39T30Lfz"/>
        <w:kern w:val="14"/>
        <w:sz w:val="56"/>
      </w:rPr>
      <w:t></w:t>
    </w:r>
    <w:r w:rsidRPr="00995A41">
      <w:rPr>
        <w:rFonts w:ascii="C39T30Lfz" w:hAnsi="C39T30Lfz"/>
        <w:kern w:val="14"/>
        <w:sz w:val="56"/>
      </w:rPr>
      <w:t></w:t>
    </w:r>
    <w:r w:rsidRPr="00995A41">
      <w:rPr>
        <w:rFonts w:ascii="C39T30Lfz" w:hAnsi="C39T30Lfz"/>
        <w:kern w:val="14"/>
        <w:sz w:val="56"/>
      </w:rPr>
      <w:t></w:t>
    </w:r>
    <w:r w:rsidRPr="00995A41">
      <w:rPr>
        <w:rFonts w:ascii="C39T30Lfz" w:hAnsi="C39T30Lfz"/>
        <w:kern w:val="14"/>
        <w:sz w:val="56"/>
      </w:rPr>
      <w:t></w:t>
    </w:r>
    <w:r w:rsidRPr="00995A4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8167AC" wp14:editId="7072FD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AF1B" w14:textId="77777777" w:rsidR="000C218F" w:rsidRPr="001075E9" w:rsidRDefault="000C21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A47DE8" w14:textId="77777777" w:rsidR="000C218F" w:rsidRDefault="000C21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C84F" w14:textId="14C37B0E" w:rsidR="00995A41" w:rsidRPr="00995A41" w:rsidRDefault="00FD3B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8257" w14:textId="05689CBF" w:rsidR="00995A41" w:rsidRPr="00995A41" w:rsidRDefault="00FD3B03" w:rsidP="00995A4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875474F"/>
    <w:multiLevelType w:val="hybridMultilevel"/>
    <w:tmpl w:val="4314D524"/>
    <w:lvl w:ilvl="0" w:tplc="6BCC04FA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0A07"/>
    <w:multiLevelType w:val="hybridMultilevel"/>
    <w:tmpl w:val="67C68B44"/>
    <w:lvl w:ilvl="0" w:tplc="CA6ADF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A43FD"/>
    <w:multiLevelType w:val="hybridMultilevel"/>
    <w:tmpl w:val="717E5B04"/>
    <w:lvl w:ilvl="0" w:tplc="9E04A9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5"/>
    <w:lvlOverride w:ilvl="0">
      <w:lvl w:ilvl="0" w:tplc="9E04A988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3">
    <w:abstractNumId w:val="11"/>
    <w:lvlOverride w:ilvl="0">
      <w:lvl w:ilvl="0" w:tplc="6BCC04FA">
        <w:start w:val="1"/>
        <w:numFmt w:val="lowerLetter"/>
        <w:lvlText w:val="%1)"/>
        <w:lvlJc w:val="left"/>
        <w:pPr>
          <w:ind w:left="1689" w:hanging="555"/>
        </w:pPr>
        <w:rPr>
          <w:rFonts w:hint="default"/>
        </w:rPr>
      </w:lvl>
    </w:lvlOverride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8F"/>
    <w:rsid w:val="00022612"/>
    <w:rsid w:val="00033EE1"/>
    <w:rsid w:val="00042B72"/>
    <w:rsid w:val="000558BD"/>
    <w:rsid w:val="000B57E7"/>
    <w:rsid w:val="000B6373"/>
    <w:rsid w:val="000C218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21A4"/>
    <w:rsid w:val="00226B91"/>
    <w:rsid w:val="00255343"/>
    <w:rsid w:val="0025667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229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71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B7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377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DDF"/>
    <w:rsid w:val="00951972"/>
    <w:rsid w:val="009608F3"/>
    <w:rsid w:val="00995A4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3B0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F3257"/>
  <w15:docId w15:val="{6F85EFC3-1EBF-4C8B-B7CD-D10E1875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ECE/TRANS/WP.11/2019/23</vt:lpstr>
      <vt:lpstr>A/</vt:lpstr>
      <vt:lpstr>A/</vt:lpstr>
    </vt:vector>
  </TitlesOfParts>
  <Company>DCM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ECE/TRANS/WP.11/2019/23</dc:title>
  <dc:subject/>
  <dc:creator>Tatiana SHARKINA</dc:creator>
  <cp:keywords/>
  <cp:lastModifiedBy>Marie-Claude Collet</cp:lastModifiedBy>
  <cp:revision>3</cp:revision>
  <cp:lastPrinted>2019-08-27T05:41:00Z</cp:lastPrinted>
  <dcterms:created xsi:type="dcterms:W3CDTF">2019-08-27T05:41:00Z</dcterms:created>
  <dcterms:modified xsi:type="dcterms:W3CDTF">2019-08-27T05:41:00Z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