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77" w:tblpY="568"/>
        <w:tblOverlap w:val="never"/>
        <w:tblW w:w="9578" w:type="dxa"/>
        <w:tblLayout w:type="fixed"/>
        <w:tblCellMar>
          <w:left w:w="0" w:type="dxa"/>
          <w:right w:w="0" w:type="dxa"/>
        </w:tblCellMar>
        <w:tblLook w:val="01E0" w:firstRow="1" w:lastRow="1" w:firstColumn="1" w:lastColumn="1" w:noHBand="0" w:noVBand="0"/>
      </w:tblPr>
      <w:tblGrid>
        <w:gridCol w:w="1155"/>
        <w:gridCol w:w="5622"/>
        <w:gridCol w:w="2801"/>
      </w:tblGrid>
      <w:tr w:rsidR="00C63A23" w:rsidRPr="00C63A23" w:rsidTr="004507B9">
        <w:trPr>
          <w:cantSplit/>
          <w:trHeight w:hRule="exact" w:val="881"/>
        </w:trPr>
        <w:tc>
          <w:tcPr>
            <w:tcW w:w="1155" w:type="dxa"/>
            <w:tcBorders>
              <w:bottom w:val="single" w:sz="4" w:space="0" w:color="auto"/>
            </w:tcBorders>
            <w:vAlign w:val="bottom"/>
          </w:tcPr>
          <w:p w:rsidR="00C63A23" w:rsidRPr="00C63A23" w:rsidRDefault="00C63A23" w:rsidP="004507B9">
            <w:pPr>
              <w:rPr>
                <w:lang w:val="en-GB"/>
              </w:rPr>
            </w:pPr>
          </w:p>
        </w:tc>
        <w:tc>
          <w:tcPr>
            <w:tcW w:w="8423" w:type="dxa"/>
            <w:gridSpan w:val="2"/>
            <w:tcBorders>
              <w:bottom w:val="single" w:sz="4" w:space="0" w:color="auto"/>
            </w:tcBorders>
            <w:vAlign w:val="bottom"/>
          </w:tcPr>
          <w:p w:rsidR="00C63A23" w:rsidRPr="00C63A23" w:rsidRDefault="00C63A23" w:rsidP="004507B9">
            <w:pPr>
              <w:jc w:val="right"/>
              <w:rPr>
                <w:lang w:val="en-GB"/>
              </w:rPr>
            </w:pPr>
            <w:r w:rsidRPr="00C63A23">
              <w:rPr>
                <w:b/>
                <w:sz w:val="40"/>
                <w:szCs w:val="40"/>
                <w:lang w:val="en-GB"/>
              </w:rPr>
              <w:t>INF.</w:t>
            </w:r>
            <w:r w:rsidR="00957DD2">
              <w:rPr>
                <w:b/>
                <w:sz w:val="40"/>
                <w:szCs w:val="40"/>
                <w:lang w:val="en-GB"/>
              </w:rPr>
              <w:t>5</w:t>
            </w:r>
          </w:p>
        </w:tc>
      </w:tr>
      <w:tr w:rsidR="00C63A23" w:rsidRPr="00C63A23" w:rsidTr="004507B9">
        <w:trPr>
          <w:cantSplit/>
          <w:trHeight w:hRule="exact" w:val="3810"/>
        </w:trPr>
        <w:tc>
          <w:tcPr>
            <w:tcW w:w="6777" w:type="dxa"/>
            <w:gridSpan w:val="2"/>
            <w:tcBorders>
              <w:top w:val="single" w:sz="4" w:space="0" w:color="auto"/>
              <w:bottom w:val="single" w:sz="12" w:space="0" w:color="auto"/>
            </w:tcBorders>
          </w:tcPr>
          <w:p w:rsidR="00C63A23" w:rsidRPr="00367E6A" w:rsidRDefault="00C63A23" w:rsidP="004507B9">
            <w:pPr>
              <w:spacing w:before="120"/>
              <w:rPr>
                <w:b/>
                <w:sz w:val="28"/>
                <w:szCs w:val="28"/>
                <w:lang w:val="fr-FR"/>
              </w:rPr>
            </w:pPr>
            <w:r w:rsidRPr="00367E6A">
              <w:rPr>
                <w:b/>
                <w:sz w:val="28"/>
                <w:szCs w:val="28"/>
                <w:lang w:val="fr-FR"/>
              </w:rPr>
              <w:t>Commission économique pour l’Europe</w:t>
            </w:r>
          </w:p>
          <w:p w:rsidR="00C63A23" w:rsidRPr="00367E6A" w:rsidRDefault="00C63A23" w:rsidP="004507B9">
            <w:pPr>
              <w:spacing w:before="120"/>
              <w:rPr>
                <w:sz w:val="28"/>
                <w:szCs w:val="28"/>
                <w:lang w:val="fr-FR"/>
              </w:rPr>
            </w:pPr>
            <w:r w:rsidRPr="00367E6A">
              <w:rPr>
                <w:sz w:val="28"/>
                <w:szCs w:val="28"/>
                <w:lang w:val="fr-FR"/>
              </w:rPr>
              <w:t>Comité des transports intérieurs</w:t>
            </w:r>
          </w:p>
          <w:p w:rsidR="00C63A23" w:rsidRPr="00367E6A" w:rsidRDefault="00C63A23" w:rsidP="004507B9">
            <w:pPr>
              <w:spacing w:before="120"/>
              <w:rPr>
                <w:b/>
                <w:sz w:val="24"/>
                <w:szCs w:val="24"/>
                <w:lang w:val="fr-FR"/>
              </w:rPr>
            </w:pPr>
            <w:r w:rsidRPr="00367E6A">
              <w:rPr>
                <w:b/>
                <w:sz w:val="24"/>
                <w:szCs w:val="24"/>
                <w:lang w:val="fr-FR"/>
              </w:rPr>
              <w:t>Groupe de travail des transports de marchandises dangereuses</w:t>
            </w:r>
          </w:p>
          <w:p w:rsidR="00C63A23" w:rsidRPr="00A17EEC" w:rsidRDefault="00C63A23" w:rsidP="004507B9">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C63A23" w:rsidRPr="00234E40" w:rsidRDefault="00957DD2" w:rsidP="004507B9">
            <w:pPr>
              <w:spacing w:before="120"/>
              <w:rPr>
                <w:b/>
              </w:rPr>
            </w:pPr>
            <w:r>
              <w:rPr>
                <w:b/>
              </w:rPr>
              <w:t>Trente-quatrième</w:t>
            </w:r>
            <w:r w:rsidR="00C63A23">
              <w:rPr>
                <w:b/>
              </w:rPr>
              <w:t xml:space="preserve"> </w:t>
            </w:r>
            <w:r w:rsidR="00C63A23" w:rsidRPr="00234E40">
              <w:rPr>
                <w:b/>
              </w:rPr>
              <w:t>session</w:t>
            </w:r>
          </w:p>
          <w:p w:rsidR="00C63A23" w:rsidRDefault="00957DD2" w:rsidP="004507B9">
            <w:r>
              <w:t>Genève, 21-25 janvier 2019</w:t>
            </w:r>
          </w:p>
          <w:p w:rsidR="00C63A23" w:rsidRDefault="00C63A23" w:rsidP="004507B9">
            <w:r w:rsidRPr="00B93E72">
              <w:t xml:space="preserve">Point </w:t>
            </w:r>
            <w:r w:rsidR="00957DD2">
              <w:t>5</w:t>
            </w:r>
            <w:r w:rsidRPr="0013653F">
              <w:t xml:space="preserve"> b)</w:t>
            </w:r>
            <w:r w:rsidRPr="00B93E72">
              <w:t xml:space="preserve"> de l</w:t>
            </w:r>
            <w:r>
              <w:t>’</w:t>
            </w:r>
            <w:r w:rsidRPr="00B93E72">
              <w:t>ordre du jour provisoire</w:t>
            </w:r>
          </w:p>
          <w:p w:rsidR="00C63A23" w:rsidRPr="00B30CFB" w:rsidRDefault="00C63A23" w:rsidP="004507B9">
            <w:pPr>
              <w:rPr>
                <w:b/>
                <w:lang w:val="fr-FR"/>
              </w:rPr>
            </w:pPr>
            <w:r w:rsidRPr="00B30CFB">
              <w:rPr>
                <w:b/>
                <w:lang w:val="fr-FR"/>
              </w:rPr>
              <w:t xml:space="preserve">Propositions </w:t>
            </w:r>
            <w:r>
              <w:rPr>
                <w:b/>
                <w:lang w:val="fr-FR"/>
              </w:rPr>
              <w:t>d'amendements au R</w:t>
            </w:r>
            <w:r w:rsidRPr="00B30CFB">
              <w:rPr>
                <w:b/>
                <w:lang w:val="fr-FR"/>
              </w:rPr>
              <w:t>èglement annexé à l'ADN</w:t>
            </w:r>
            <w:r>
              <w:rPr>
                <w:b/>
                <w:lang w:val="fr-FR"/>
              </w:rPr>
              <w:t> :</w:t>
            </w:r>
          </w:p>
          <w:p w:rsidR="00C63A23" w:rsidRPr="00C63AC1" w:rsidRDefault="00C63A23" w:rsidP="004507B9">
            <w:proofErr w:type="gramStart"/>
            <w:r>
              <w:rPr>
                <w:b/>
                <w:lang w:val="fr-FR"/>
              </w:rPr>
              <w:t>autres</w:t>
            </w:r>
            <w:proofErr w:type="gramEnd"/>
            <w:r>
              <w:rPr>
                <w:b/>
                <w:lang w:val="fr-FR"/>
              </w:rPr>
              <w:t xml:space="preserve"> propositions</w:t>
            </w:r>
          </w:p>
          <w:p w:rsidR="00C63A23" w:rsidRPr="00C63A23" w:rsidRDefault="00C63A23" w:rsidP="004507B9">
            <w:pPr>
              <w:spacing w:after="120"/>
              <w:rPr>
                <w:b/>
                <w:lang w:val="en-GB"/>
              </w:rPr>
            </w:pPr>
          </w:p>
        </w:tc>
        <w:tc>
          <w:tcPr>
            <w:tcW w:w="2801" w:type="dxa"/>
            <w:tcBorders>
              <w:top w:val="single" w:sz="4" w:space="0" w:color="auto"/>
              <w:bottom w:val="single" w:sz="12" w:space="0" w:color="auto"/>
            </w:tcBorders>
          </w:tcPr>
          <w:p w:rsidR="00C63A23" w:rsidRPr="00C63A23" w:rsidRDefault="00C63A23" w:rsidP="004507B9">
            <w:pPr>
              <w:spacing w:before="120"/>
              <w:rPr>
                <w:lang w:val="en-GB"/>
              </w:rPr>
            </w:pPr>
          </w:p>
          <w:p w:rsidR="00C63A23" w:rsidRDefault="00F96D8C" w:rsidP="004507B9">
            <w:pPr>
              <w:spacing w:before="120"/>
              <w:rPr>
                <w:bCs/>
                <w:lang w:val="en-GB"/>
              </w:rPr>
            </w:pPr>
            <w:r>
              <w:rPr>
                <w:bCs/>
                <w:lang w:val="en-GB"/>
              </w:rPr>
              <w:t>9</w:t>
            </w:r>
            <w:r w:rsidR="00957DD2">
              <w:rPr>
                <w:bCs/>
                <w:lang w:val="en-GB"/>
              </w:rPr>
              <w:t xml:space="preserve"> </w:t>
            </w:r>
            <w:proofErr w:type="spellStart"/>
            <w:r w:rsidR="00957DD2">
              <w:rPr>
                <w:bCs/>
                <w:lang w:val="en-GB"/>
              </w:rPr>
              <w:t>janvier</w:t>
            </w:r>
            <w:proofErr w:type="spellEnd"/>
            <w:r w:rsidR="00957DD2">
              <w:rPr>
                <w:bCs/>
                <w:lang w:val="en-GB"/>
              </w:rPr>
              <w:t xml:space="preserve"> </w:t>
            </w:r>
            <w:r w:rsidR="00C63A23" w:rsidRPr="00C63A23">
              <w:rPr>
                <w:bCs/>
                <w:lang w:val="en-GB"/>
              </w:rPr>
              <w:t>201</w:t>
            </w:r>
            <w:r w:rsidR="00957DD2">
              <w:rPr>
                <w:bCs/>
                <w:lang w:val="en-GB"/>
              </w:rPr>
              <w:t>9</w:t>
            </w:r>
          </w:p>
          <w:p w:rsidR="00C63A23" w:rsidRPr="00F96D8C" w:rsidRDefault="00706DC5" w:rsidP="004507B9">
            <w:pPr>
              <w:spacing w:before="120"/>
              <w:rPr>
                <w:bCs/>
                <w:lang w:val="en-GB"/>
              </w:rPr>
            </w:pPr>
            <w:proofErr w:type="spellStart"/>
            <w:r w:rsidRPr="00F96D8C">
              <w:rPr>
                <w:bCs/>
                <w:lang w:val="en-GB"/>
              </w:rPr>
              <w:t>Français</w:t>
            </w:r>
            <w:proofErr w:type="spellEnd"/>
          </w:p>
        </w:tc>
      </w:tr>
    </w:tbl>
    <w:p w:rsidR="003447BF" w:rsidRPr="00EA0C87" w:rsidRDefault="003447BF" w:rsidP="00D0029B">
      <w:pPr>
        <w:pStyle w:val="HChG"/>
        <w:keepNext w:val="0"/>
      </w:pPr>
      <w:r w:rsidRPr="00C63AC1">
        <w:tab/>
      </w:r>
      <w:r w:rsidRPr="00C63AC1">
        <w:tab/>
      </w:r>
      <w:r w:rsidR="00957DD2" w:rsidRPr="00D878C3">
        <w:rPr>
          <w:lang w:val="fr-FR"/>
        </w:rPr>
        <w:t>Propositions pour l'adaptation des renvois au CEVNI figurant dans l'ADN</w:t>
      </w:r>
    </w:p>
    <w:p w:rsidR="003447BF" w:rsidRDefault="003447BF" w:rsidP="00D0029B">
      <w:pPr>
        <w:pStyle w:val="H1G"/>
        <w:keepNext w:val="0"/>
        <w:rPr>
          <w:b w:val="0"/>
          <w:bCs/>
          <w:szCs w:val="24"/>
        </w:rPr>
      </w:pPr>
      <w:r w:rsidRPr="00EA0C87">
        <w:tab/>
      </w:r>
      <w:r w:rsidRPr="00EA0C87">
        <w:tab/>
      </w:r>
      <w:r w:rsidR="00957DD2" w:rsidRPr="00D878C3">
        <w:t>Communication de la Commission centrale pour la navigation du Rhin (CCNR)</w:t>
      </w:r>
    </w:p>
    <w:p w:rsidR="00D0029B" w:rsidRDefault="00D0029B" w:rsidP="00D146BA">
      <w:pPr>
        <w:pStyle w:val="HChG"/>
        <w:numPr>
          <w:ilvl w:val="0"/>
          <w:numId w:val="8"/>
        </w:numPr>
        <w:tabs>
          <w:tab w:val="clear" w:pos="851"/>
        </w:tabs>
        <w:ind w:left="1134"/>
        <w:rPr>
          <w:lang w:val="de-DE"/>
        </w:rPr>
      </w:pPr>
      <w:proofErr w:type="spellStart"/>
      <w:r w:rsidRPr="00D0029B">
        <w:rPr>
          <w:lang w:val="de-DE"/>
        </w:rPr>
        <w:t>Introduction</w:t>
      </w:r>
      <w:proofErr w:type="spellEnd"/>
    </w:p>
    <w:p w:rsidR="00957DD2" w:rsidRPr="00D878C3" w:rsidRDefault="00957DD2" w:rsidP="00D146BA">
      <w:pPr>
        <w:pStyle w:val="SingleTxtG"/>
      </w:pPr>
      <w:r w:rsidRPr="00D878C3">
        <w:t>1.</w:t>
      </w:r>
      <w:r w:rsidRPr="00D878C3">
        <w:tab/>
        <w:t>Le Secrétariat de la CCNR souhaite attirer l'attention du Comité de sécurité de l'ADN sur les disparités constatées dans les renvois au CEVNI figurant dans l'ADN et propose de procéder à leur harmonisation en tenant dûment compte du statut juridique du CEVNI.</w:t>
      </w:r>
    </w:p>
    <w:p w:rsidR="00D0029B" w:rsidRDefault="00D0029B" w:rsidP="00D0029B">
      <w:pPr>
        <w:pStyle w:val="HChG"/>
      </w:pPr>
      <w:r>
        <w:rPr>
          <w:lang w:val="fr-FR"/>
        </w:rPr>
        <w:tab/>
      </w:r>
      <w:r w:rsidRPr="00D0029B">
        <w:rPr>
          <w:lang w:val="fr-FR"/>
        </w:rPr>
        <w:t>II.</w:t>
      </w:r>
      <w:r w:rsidRPr="00D0029B">
        <w:rPr>
          <w:lang w:val="fr-FR"/>
        </w:rPr>
        <w:tab/>
      </w:r>
      <w:r w:rsidR="00957DD2" w:rsidRPr="00D878C3">
        <w:t>Contexte</w:t>
      </w:r>
    </w:p>
    <w:p w:rsidR="00957DD2" w:rsidRPr="00D878C3" w:rsidRDefault="00957DD2" w:rsidP="00957DD2">
      <w:pPr>
        <w:pStyle w:val="SingleTxtG"/>
      </w:pPr>
      <w:r w:rsidRPr="00D878C3">
        <w:t>2.</w:t>
      </w:r>
      <w:r w:rsidRPr="00D878C3">
        <w:tab/>
        <w:t xml:space="preserve">Des renvois au CEVNI sont présents dans neuf dispositions de l'ADN (voir </w:t>
      </w:r>
      <w:r w:rsidR="004C1C2F">
        <w:t>l'annexe </w:t>
      </w:r>
      <w:r w:rsidRPr="00D878C3">
        <w:t>1). Le Secrétariat de la CCNR estime qu'il conviendrait de procéder à examen individuel de chacun de ces renvois et d'en modifier la rédaction s'il y a lieu, afin d'éviter des contradictions entre le CEVNI et les prescriptions de police.</w:t>
      </w:r>
    </w:p>
    <w:p w:rsidR="00957DD2" w:rsidRPr="00D878C3" w:rsidRDefault="00957DD2" w:rsidP="00957DD2">
      <w:pPr>
        <w:pStyle w:val="SingleTxtG"/>
      </w:pPr>
      <w:r w:rsidRPr="00D878C3">
        <w:t>3.</w:t>
      </w:r>
      <w:r w:rsidRPr="00D878C3">
        <w:tab/>
        <w:t>Le Secrétariat de la CCNR a effectué ces vérifications en prenant en considération le fait que le CEVNI n'est ni un accord international ni un règlement résultant d'un accord international. Le CEVNI constitue un texte de référence non contraignant proposé aux États membres par une résolution de la CEE-ONU, lequel est destiné à tenir lieu de modèle pour les prescriptions de police. Ainsi, le CEVNI ne peut être considéré comme faisant partie des « prescriptions locales, régionales ou internationales applicables, de façon générale, aux transports de marchandises par voies de navigation intérieures ». (Voir la sous-section 1.1.4.6 ADN).</w:t>
      </w:r>
    </w:p>
    <w:p w:rsidR="00957DD2" w:rsidRPr="00D878C3" w:rsidRDefault="00957DD2" w:rsidP="00957DD2">
      <w:pPr>
        <w:pStyle w:val="SingleTxtG"/>
        <w:spacing w:after="600"/>
      </w:pPr>
      <w:r w:rsidRPr="00D878C3">
        <w:t>4.</w:t>
      </w:r>
      <w:r w:rsidRPr="00D878C3">
        <w:tab/>
        <w:t>Le statut juridique, à savoir un texte destiné à tenir lieu de modèle, doit par conséquent être pris en compte dans les renvois figurant dans l'ADN. À titre d'exemple, la rédaction retenue au 7.1.5.0.1 n'est pas correcte sur le plan juridique, les obligations ne découlant pas du CEVNI en tant que tel mais des règlements de police.</w:t>
      </w:r>
    </w:p>
    <w:p w:rsidR="00957DD2" w:rsidRDefault="00957DD2" w:rsidP="00F96D8C">
      <w:pPr>
        <w:pStyle w:val="SingleTxtG"/>
      </w:pPr>
      <w:proofErr w:type="gramStart"/>
      <w:r w:rsidRPr="00D878C3">
        <w:lastRenderedPageBreak/>
        <w:t>«7.1.5.0.1</w:t>
      </w:r>
      <w:proofErr w:type="gramEnd"/>
      <w:r w:rsidR="00F96D8C">
        <w:t> :</w:t>
      </w:r>
      <w:r w:rsidR="00F96D8C">
        <w:tab/>
      </w:r>
      <w:bookmarkStart w:id="0" w:name="_GoBack"/>
      <w:bookmarkEnd w:id="0"/>
      <w:r w:rsidRPr="00D878C3">
        <w:t>Les bateaux transportant des marchandises dangereuses énumérées au tableau A du chapitre 3.2 doivent, conformément au chapitre 3 du Code européen des voies de navigation intérieure (CEVNI), être signalisés selon les prescriptions de la colonne 12 de ce tableau. ».</w:t>
      </w:r>
    </w:p>
    <w:p w:rsidR="00957DD2" w:rsidRPr="00D878C3" w:rsidRDefault="00957DD2" w:rsidP="00957DD2">
      <w:pPr>
        <w:pStyle w:val="SingleTxtG"/>
      </w:pPr>
      <w:r w:rsidRPr="00D878C3">
        <w:t>5.</w:t>
      </w:r>
      <w:r w:rsidRPr="00D878C3">
        <w:tab/>
        <w:t>Afin d’éviter les contradictions entre les prescriptions locales, régionales ou internationales, telles que les règlements de police par exemple, et le CEVNI, il conviendrait de renvoyer en premier lieu aux prescriptions locales régionales ou internationales en vigueur. En l’absence de telles prescriptions locales, régionales ou internationales, il sera possible de renvoyer aux dispositions correspondantes du CEVNI.</w:t>
      </w:r>
    </w:p>
    <w:p w:rsidR="00957DD2" w:rsidRPr="00D878C3" w:rsidRDefault="00957DD2" w:rsidP="00957DD2">
      <w:pPr>
        <w:pStyle w:val="HChG"/>
      </w:pPr>
      <w:r w:rsidRPr="00D878C3">
        <w:tab/>
        <w:t>III.</w:t>
      </w:r>
      <w:r w:rsidRPr="00D878C3">
        <w:tab/>
        <w:t>Propositions</w:t>
      </w:r>
    </w:p>
    <w:p w:rsidR="00957DD2" w:rsidRPr="00D878C3" w:rsidRDefault="00957DD2" w:rsidP="00957DD2">
      <w:pPr>
        <w:pStyle w:val="SingleTxtG"/>
      </w:pPr>
      <w:r w:rsidRPr="00D878C3">
        <w:t>6.</w:t>
      </w:r>
      <w:r w:rsidRPr="00D878C3">
        <w:tab/>
        <w:t>Le Secrétariat de la CCNR propose par conséquent d'apporter les modifications ci-après (voir l'annexe 1).</w:t>
      </w:r>
    </w:p>
    <w:p w:rsidR="00957DD2" w:rsidRDefault="00957DD2" w:rsidP="00957DD2">
      <w:pPr>
        <w:pStyle w:val="SingleTxtG"/>
      </w:pPr>
      <w:r w:rsidRPr="00D878C3">
        <w:t>7.</w:t>
      </w:r>
      <w:r w:rsidRPr="00D878C3">
        <w:tab/>
        <w:t>Le Comité de sécurité de l'ADN est invité à examiner ces propositions au cours de sa prochaine réunion</w:t>
      </w:r>
      <w:r>
        <w:t>.</w:t>
      </w:r>
    </w:p>
    <w:p w:rsidR="00957DD2" w:rsidRDefault="00957DD2">
      <w:pPr>
        <w:suppressAutoHyphens w:val="0"/>
        <w:spacing w:line="240" w:lineRule="auto"/>
      </w:pPr>
      <w:r>
        <w:br w:type="page"/>
      </w:r>
    </w:p>
    <w:p w:rsidR="00957DD2" w:rsidRPr="00D146BA" w:rsidRDefault="00957DD2" w:rsidP="00D146BA">
      <w:pPr>
        <w:pStyle w:val="HChG"/>
        <w:rPr>
          <w:rFonts w:eastAsia="Calibri"/>
        </w:rPr>
      </w:pPr>
      <w:r w:rsidRPr="00D146BA">
        <w:rPr>
          <w:rFonts w:eastAsia="Calibri"/>
        </w:rPr>
        <w:lastRenderedPageBreak/>
        <w:tab/>
        <w:t>Annexe 1</w:t>
      </w:r>
    </w:p>
    <w:p w:rsidR="00957DD2" w:rsidRPr="0083650B" w:rsidRDefault="00957DD2" w:rsidP="00D146BA">
      <w:pPr>
        <w:pStyle w:val="HChG"/>
        <w:tabs>
          <w:tab w:val="clear" w:pos="851"/>
        </w:tabs>
        <w:ind w:left="851" w:hanging="851"/>
        <w:rPr>
          <w:rFonts w:eastAsia="Calibri"/>
        </w:rPr>
      </w:pPr>
      <w:r w:rsidRPr="0083650B">
        <w:rPr>
          <w:rFonts w:eastAsia="Calibri"/>
        </w:rPr>
        <w:t>Occurrences dans l'ADN et propositions d'amendement</w:t>
      </w:r>
    </w:p>
    <w:p w:rsidR="00957DD2" w:rsidRPr="009E044C" w:rsidRDefault="00957DD2" w:rsidP="00957DD2">
      <w:pPr>
        <w:pStyle w:val="SingleTxtG"/>
        <w:ind w:left="0"/>
        <w:rPr>
          <w:rFonts w:eastAsia="Calibri"/>
          <w:b/>
          <w:bCs/>
          <w:u w:val="single"/>
        </w:rPr>
      </w:pPr>
      <w:r w:rsidRPr="009E044C">
        <w:rPr>
          <w:rFonts w:eastAsia="Calibri"/>
          <w:b/>
          <w:bCs/>
          <w:u w:val="single"/>
        </w:rPr>
        <w:t>Chapitre 1.2 Définitions</w:t>
      </w:r>
    </w:p>
    <w:p w:rsidR="00957DD2" w:rsidRPr="009E044C" w:rsidRDefault="00957DD2" w:rsidP="00957DD2">
      <w:pPr>
        <w:pStyle w:val="SingleTxtG"/>
        <w:ind w:left="0"/>
        <w:rPr>
          <w:rFonts w:eastAsia="Calibri"/>
        </w:rPr>
      </w:pPr>
      <w:r w:rsidRPr="009E044C">
        <w:rPr>
          <w:rFonts w:eastAsia="Calibri"/>
          <w:i/>
        </w:rPr>
        <w:t>CEVNI</w:t>
      </w:r>
      <w:r>
        <w:rPr>
          <w:rFonts w:eastAsia="Calibri"/>
          <w:i/>
        </w:rPr>
        <w:t xml:space="preserve"> </w:t>
      </w:r>
      <w:r w:rsidRPr="009E044C">
        <w:rPr>
          <w:rFonts w:eastAsia="Calibri"/>
        </w:rPr>
        <w:t xml:space="preserve">: Code Européen des Voies de Navigation </w:t>
      </w:r>
      <w:proofErr w:type="gramStart"/>
      <w:r w:rsidRPr="009E044C">
        <w:rPr>
          <w:rFonts w:eastAsia="Calibri"/>
        </w:rPr>
        <w:t>Intérieure;</w:t>
      </w:r>
      <w:proofErr w:type="gramEnd"/>
    </w:p>
    <w:p w:rsidR="00957DD2" w:rsidRPr="009E044C" w:rsidRDefault="00957DD2" w:rsidP="00957DD2">
      <w:pPr>
        <w:pStyle w:val="SingleTxtG"/>
        <w:ind w:left="0"/>
        <w:rPr>
          <w:rFonts w:eastAsia="Calibri"/>
        </w:rPr>
      </w:pPr>
      <w:r w:rsidRPr="009E044C">
        <w:rPr>
          <w:rFonts w:eastAsia="Calibri"/>
          <w:i/>
        </w:rPr>
        <w:t>Conducteur</w:t>
      </w:r>
      <w:r>
        <w:rPr>
          <w:rFonts w:eastAsia="Calibri"/>
          <w:i/>
        </w:rPr>
        <w:t xml:space="preserve"> </w:t>
      </w:r>
      <w:r w:rsidRPr="009E044C">
        <w:rPr>
          <w:rFonts w:eastAsia="Calibri"/>
          <w:i/>
        </w:rPr>
        <w:t xml:space="preserve">: </w:t>
      </w:r>
      <w:r w:rsidRPr="009E044C">
        <w:rPr>
          <w:rFonts w:eastAsia="Calibri"/>
        </w:rPr>
        <w:t>une personne répondant à la définition de l'article 1.02 du Code européen des voies de navigation intérieure (CEVNI)</w:t>
      </w:r>
      <w:r>
        <w:rPr>
          <w:rFonts w:eastAsia="Calibri"/>
        </w:rPr>
        <w:t xml:space="preserve"> </w:t>
      </w:r>
      <w:r w:rsidRPr="009E044C">
        <w:rPr>
          <w:rFonts w:eastAsia="Calibri"/>
        </w:rPr>
        <w:t>;</w:t>
      </w:r>
    </w:p>
    <w:p w:rsidR="00957DD2" w:rsidRPr="009E044C" w:rsidRDefault="00957DD2" w:rsidP="00957DD2">
      <w:pPr>
        <w:pStyle w:val="H1G"/>
        <w:rPr>
          <w:rFonts w:eastAsia="Calibri"/>
          <w:u w:val="single"/>
        </w:rPr>
      </w:pPr>
      <w:r w:rsidRPr="009E044C">
        <w:rPr>
          <w:rFonts w:eastAsia="Calibri"/>
          <w:u w:val="single"/>
        </w:rPr>
        <w:t>Chapitre 7.1</w:t>
      </w:r>
    </w:p>
    <w:p w:rsidR="00957DD2" w:rsidRPr="009E044C" w:rsidRDefault="00957DD2" w:rsidP="00957DD2">
      <w:pPr>
        <w:pStyle w:val="SingleTxtG"/>
        <w:ind w:left="0"/>
        <w:rPr>
          <w:rFonts w:eastAsia="Calibri"/>
          <w:b/>
          <w:bCs/>
        </w:rPr>
      </w:pPr>
      <w:r w:rsidRPr="009E044C">
        <w:rPr>
          <w:rFonts w:eastAsia="Calibri"/>
          <w:b/>
          <w:bCs/>
        </w:rPr>
        <w:t>7.1.5.0.1</w:t>
      </w:r>
    </w:p>
    <w:p w:rsidR="00957DD2" w:rsidRPr="009E044C" w:rsidRDefault="00957DD2" w:rsidP="00957DD2">
      <w:pPr>
        <w:pStyle w:val="SingleTxtG"/>
        <w:ind w:left="0"/>
        <w:rPr>
          <w:rFonts w:eastAsia="Calibri"/>
        </w:rPr>
      </w:pPr>
      <w:r w:rsidRPr="009E044C">
        <w:rPr>
          <w:rFonts w:eastAsia="Calibri"/>
        </w:rPr>
        <w:t xml:space="preserve">Les bateaux transportant des marchandises dangereuses énumérées au tableau A du chapitre 3.2 doivent </w:t>
      </w:r>
      <w:r w:rsidRPr="009E044C">
        <w:rPr>
          <w:rFonts w:eastAsia="Calibri"/>
          <w:u w:val="single"/>
        </w:rPr>
        <w:t xml:space="preserve">être signalisés selon les prescriptions de la colonne (12) de ce tableau </w:t>
      </w:r>
      <w:r w:rsidRPr="009E044C">
        <w:rPr>
          <w:rFonts w:eastAsia="Calibri"/>
          <w:bCs/>
          <w:u w:val="single"/>
        </w:rPr>
        <w:t>conformément aux prescriptions de police locales, régionales ou internationales ou, si de telles prescriptions ne sont pas applicables</w:t>
      </w:r>
      <w:r w:rsidRPr="009E044C">
        <w:rPr>
          <w:rFonts w:eastAsia="Calibri"/>
        </w:rPr>
        <w:t>, conformément au chapitre 3 du Code européen des voies de navigation intérieure (CEVNI).</w:t>
      </w:r>
      <w:r w:rsidRPr="009E044C">
        <w:rPr>
          <w:rFonts w:eastAsia="Calibri"/>
          <w:strike/>
        </w:rPr>
        <w:t>,</w:t>
      </w:r>
      <w:r w:rsidRPr="009E044C">
        <w:rPr>
          <w:rFonts w:eastAsia="Calibri"/>
        </w:rPr>
        <w:t xml:space="preserve"> </w:t>
      </w:r>
      <w:r w:rsidRPr="009E044C">
        <w:rPr>
          <w:rFonts w:eastAsia="Calibri"/>
          <w:strike/>
        </w:rPr>
        <w:t>être signalisés selon les prescriptions de la colonne 12 de ce tableau</w:t>
      </w:r>
      <w:r w:rsidRPr="009E044C">
        <w:rPr>
          <w:rFonts w:eastAsia="Calibri"/>
        </w:rPr>
        <w:t>.</w:t>
      </w:r>
    </w:p>
    <w:p w:rsidR="00957DD2" w:rsidRPr="009E044C" w:rsidRDefault="00957DD2" w:rsidP="00957DD2">
      <w:pPr>
        <w:pStyle w:val="SingleTxtG"/>
        <w:ind w:left="0"/>
        <w:rPr>
          <w:rFonts w:eastAsia="Calibri"/>
          <w:b/>
          <w:bCs/>
        </w:rPr>
      </w:pPr>
      <w:r w:rsidRPr="009E044C">
        <w:rPr>
          <w:rFonts w:eastAsia="Calibri"/>
          <w:b/>
          <w:bCs/>
        </w:rPr>
        <w:t>7.1.5.0.5</w:t>
      </w:r>
    </w:p>
    <w:p w:rsidR="00957DD2" w:rsidRPr="00D878C3" w:rsidRDefault="00957DD2" w:rsidP="00957DD2">
      <w:pPr>
        <w:pStyle w:val="SingleTxtG"/>
        <w:ind w:left="0"/>
        <w:rPr>
          <w:rFonts w:eastAsia="Calibri"/>
        </w:rPr>
      </w:pPr>
      <w:r w:rsidRPr="00D878C3">
        <w:rPr>
          <w:rFonts w:eastAsia="Calibri"/>
        </w:rPr>
        <w:t xml:space="preserve">En dérogation au 7.1.5.0.1 ci-dessus, conformément </w:t>
      </w:r>
      <w:r w:rsidRPr="009E044C">
        <w:rPr>
          <w:rFonts w:eastAsia="Calibri"/>
          <w:u w:val="single"/>
        </w:rPr>
        <w:t xml:space="preserve">aux prescriptions de police locales, régionales ou internationales </w:t>
      </w:r>
      <w:r w:rsidRPr="009E044C">
        <w:rPr>
          <w:rFonts w:eastAsia="Calibri"/>
          <w:bCs/>
          <w:u w:val="single"/>
        </w:rPr>
        <w:t>ou, si de telles prescriptions ne sont pas applicables, conformément</w:t>
      </w:r>
      <w:r w:rsidRPr="00D878C3">
        <w:rPr>
          <w:rFonts w:eastAsia="Calibri"/>
          <w:bCs/>
        </w:rPr>
        <w:t xml:space="preserve"> </w:t>
      </w:r>
      <w:r w:rsidRPr="00D878C3">
        <w:rPr>
          <w:rFonts w:eastAsia="Calibri"/>
        </w:rPr>
        <w:t xml:space="preserve">aux notes de bas de page relatives à l'article 3.14 du Code européen des voies de navigation intérieure (CEVNI), l'autorité compétente d'une Partie contractante peut autoriser, pour les navires de mer, lorsqu'ils sont utilisés à titre temporaire seulement dans les zones de navigation intérieure sur le territoire de cette Partie contractante, l'utilisation des signaux de nuit et de jour prescrits dans les Recommandations relatives à la sécurité du transport des cargaisons dangereuses et des activités apparentées dans les zones portuaires adoptées par le Comité de la sécurité maritime de l'Organisation maritime internationale (de nuit, un feu rouge fixe omnidirectionnel, et de jour, le pavillon "B" du Code international de signaux) à la place des signaux prescrits au 7.1.5.0.1. La Partie contractante qui a pris l'initiative de la dérogation temporaire ainsi accordée informera de cette dérogation le Secrétaire exécutif de la CEE-ONU qui la portera à la </w:t>
      </w:r>
      <w:r w:rsidRPr="009E044C">
        <w:rPr>
          <w:rFonts w:eastAsia="Calibri"/>
        </w:rPr>
        <w:t>connaissance</w:t>
      </w:r>
      <w:r w:rsidRPr="00D878C3">
        <w:rPr>
          <w:rFonts w:eastAsia="Calibri"/>
        </w:rPr>
        <w:t xml:space="preserve"> du </w:t>
      </w:r>
      <w:r w:rsidRPr="009E044C">
        <w:rPr>
          <w:rFonts w:eastAsia="Calibri"/>
        </w:rPr>
        <w:t>Comité</w:t>
      </w:r>
      <w:r w:rsidRPr="00D878C3">
        <w:rPr>
          <w:rFonts w:eastAsia="Calibri"/>
        </w:rPr>
        <w:t xml:space="preserve"> </w:t>
      </w:r>
      <w:r w:rsidRPr="009E044C">
        <w:rPr>
          <w:rFonts w:eastAsia="Calibri"/>
        </w:rPr>
        <w:t>d'administration</w:t>
      </w:r>
      <w:r w:rsidRPr="00D878C3">
        <w:rPr>
          <w:rFonts w:eastAsia="Calibri"/>
        </w:rPr>
        <w:t>.</w:t>
      </w:r>
    </w:p>
    <w:p w:rsidR="00957DD2" w:rsidRPr="009E044C" w:rsidRDefault="00957DD2" w:rsidP="00957DD2">
      <w:pPr>
        <w:pStyle w:val="H1G"/>
        <w:rPr>
          <w:rFonts w:eastAsia="Calibri"/>
          <w:u w:val="single"/>
        </w:rPr>
      </w:pPr>
      <w:r w:rsidRPr="009E044C">
        <w:rPr>
          <w:rFonts w:eastAsia="Calibri"/>
          <w:u w:val="single"/>
        </w:rPr>
        <w:t>Chapitre 7.2</w:t>
      </w:r>
    </w:p>
    <w:p w:rsidR="00957DD2" w:rsidRPr="009E044C" w:rsidRDefault="00957DD2" w:rsidP="00957DD2">
      <w:pPr>
        <w:pStyle w:val="SingleTxtG"/>
        <w:ind w:left="0"/>
        <w:rPr>
          <w:rFonts w:eastAsia="Calibri"/>
          <w:b/>
          <w:bCs/>
        </w:rPr>
      </w:pPr>
      <w:r w:rsidRPr="009E044C">
        <w:rPr>
          <w:rFonts w:eastAsia="Calibri"/>
          <w:b/>
          <w:bCs/>
        </w:rPr>
        <w:t>7.2.5.0.1</w:t>
      </w:r>
    </w:p>
    <w:p w:rsidR="00957DD2" w:rsidRPr="00D878C3" w:rsidRDefault="00957DD2" w:rsidP="00957DD2">
      <w:pPr>
        <w:pStyle w:val="SingleTxtG"/>
        <w:ind w:left="0"/>
        <w:rPr>
          <w:rFonts w:eastAsia="Calibri"/>
        </w:rPr>
      </w:pPr>
      <w:r w:rsidRPr="00D878C3">
        <w:rPr>
          <w:rFonts w:eastAsia="Calibri"/>
        </w:rPr>
        <w:t xml:space="preserve">Les bateaux transportant les matières énumérées au tableau C du chapitre 3.2 doivent montrer les cônes bleus ou feux bleus en nombre indiqué dans la colonne (19) dudit tableau et conformément </w:t>
      </w:r>
      <w:r w:rsidRPr="00D878C3">
        <w:rPr>
          <w:rFonts w:eastAsia="Calibri"/>
          <w:u w:val="single"/>
        </w:rPr>
        <w:t xml:space="preserve">aux prescriptions de police locales, régionales ou internationales </w:t>
      </w:r>
      <w:r w:rsidRPr="00D878C3">
        <w:rPr>
          <w:rFonts w:eastAsia="Calibri"/>
          <w:bCs/>
          <w:u w:val="single"/>
        </w:rPr>
        <w:t xml:space="preserve">ou, si de telles prescriptions ne sont pas </w:t>
      </w:r>
      <w:r>
        <w:rPr>
          <w:rFonts w:eastAsia="Calibri"/>
          <w:bCs/>
          <w:u w:val="single"/>
        </w:rPr>
        <w:t>applicables</w:t>
      </w:r>
      <w:r w:rsidRPr="00D878C3">
        <w:rPr>
          <w:rFonts w:eastAsia="Calibri"/>
          <w:bCs/>
          <w:u w:val="single"/>
        </w:rPr>
        <w:t xml:space="preserve">, conformément </w:t>
      </w:r>
      <w:r w:rsidRPr="00D878C3">
        <w:rPr>
          <w:rFonts w:eastAsia="Calibri"/>
          <w:bCs/>
        </w:rPr>
        <w:t>au</w:t>
      </w:r>
      <w:r w:rsidRPr="00CE0B5C">
        <w:rPr>
          <w:rFonts w:eastAsia="Calibri"/>
          <w:bCs/>
        </w:rPr>
        <w:t xml:space="preserve"> </w:t>
      </w:r>
      <w:r w:rsidRPr="00D878C3">
        <w:rPr>
          <w:rFonts w:eastAsia="Calibri"/>
        </w:rPr>
        <w:t>CEVNI. Lorsqu’en raison de la cargaison transportée aucune signalisation avec des cônes ou des feux bleus n’est prescrite, mais que la concentration de gaz et de vapeurs inflammables ou toxiques dans les citernes à cargaison, provenant de la dernière cargaison pour laquelle une telle signalisation était exigée, est supérieure à 20 % de la LIE ou aux niveaux d’exposition nationaux admis, le nombre de cônes bleus ou de feux bleus à porter est déterminé par la dernière cargaison pour laquelle une telle signalisation était exigée.</w:t>
      </w:r>
    </w:p>
    <w:p w:rsidR="00957DD2" w:rsidRPr="00D878C3" w:rsidRDefault="00957DD2" w:rsidP="00957DD2">
      <w:pPr>
        <w:rPr>
          <w:rFonts w:eastAsia="Calibri"/>
          <w:b/>
          <w:lang w:val="fr-FR"/>
        </w:rPr>
      </w:pPr>
      <w:r w:rsidRPr="00D878C3">
        <w:rPr>
          <w:rFonts w:eastAsia="Calibri"/>
          <w:b/>
          <w:lang w:val="fr-FR"/>
        </w:rPr>
        <w:br w:type="page"/>
      </w:r>
    </w:p>
    <w:p w:rsidR="00957DD2" w:rsidRPr="001F3BD3" w:rsidRDefault="00957DD2" w:rsidP="00957DD2">
      <w:pPr>
        <w:pStyle w:val="SingleTxtG"/>
        <w:ind w:left="0"/>
        <w:rPr>
          <w:rFonts w:eastAsia="Calibri"/>
          <w:b/>
          <w:bCs/>
        </w:rPr>
      </w:pPr>
      <w:r w:rsidRPr="001F3BD3">
        <w:rPr>
          <w:rFonts w:eastAsia="Calibri"/>
          <w:b/>
          <w:bCs/>
        </w:rPr>
        <w:lastRenderedPageBreak/>
        <w:t>7.2.5.0.3</w:t>
      </w:r>
    </w:p>
    <w:p w:rsidR="00957DD2" w:rsidRPr="00D878C3" w:rsidRDefault="00957DD2" w:rsidP="00957DD2">
      <w:pPr>
        <w:pStyle w:val="SingleTxtG"/>
        <w:ind w:left="0"/>
        <w:rPr>
          <w:rFonts w:eastAsia="Calibri"/>
        </w:rPr>
      </w:pPr>
      <w:r w:rsidRPr="001F3BD3">
        <w:rPr>
          <w:rFonts w:eastAsia="Calibri"/>
        </w:rPr>
        <w:t xml:space="preserve">En dérogation au 7.2.5.0.1 ci-dessus, conformément aux </w:t>
      </w:r>
      <w:r w:rsidRPr="001F3BD3">
        <w:rPr>
          <w:rFonts w:eastAsia="Calibri"/>
          <w:u w:val="single"/>
        </w:rPr>
        <w:t xml:space="preserve">prescriptions de police locales, régionales ou internationales </w:t>
      </w:r>
      <w:r w:rsidRPr="001F3BD3">
        <w:rPr>
          <w:rFonts w:eastAsia="Calibri"/>
          <w:bCs/>
          <w:u w:val="single"/>
        </w:rPr>
        <w:t>ou, si de telles prescriptions ne sont pas applicables, conformément</w:t>
      </w:r>
      <w:r w:rsidRPr="001F3BD3">
        <w:rPr>
          <w:rFonts w:eastAsia="Calibri"/>
          <w:bCs/>
        </w:rPr>
        <w:t xml:space="preserve"> </w:t>
      </w:r>
      <w:r w:rsidRPr="001F3BD3">
        <w:rPr>
          <w:rFonts w:eastAsia="Calibri"/>
        </w:rPr>
        <w:t xml:space="preserve">notes de bas de page relatives à l'article 3.14 du CEVNI, l'autorité compétente d'une Partie contractante peut autoriser, pour les navires de mer, lorsqu'ils sont utilisés à titre temporaire seulement dans les zones de navigation intérieure sur le territoire de cette Partie contractante, l'utilisation des signaux de nuit et de jour prescrits dans les Recommandations relatives à la sécurité du transport des cargaisons dangereuses et des activités apparentées dans les zones portuaires adoptées par le Comité de la sécurité maritime de l'Organisation maritime internationale (de nuit, un feu rouge fixe omnidirectionnel, et de jour, le pavillon "B" du Code international de signaux) à la place des signaux prescrits au 7.2.5.0.1. </w:t>
      </w:r>
      <w:r w:rsidRPr="00D878C3">
        <w:rPr>
          <w:rFonts w:eastAsia="Calibri"/>
        </w:rPr>
        <w:t>La Partie Contractante qui a pris l'initiative de la dérogation temporaire ainsi accordée informera de cette dérogation le Secrétaire exécutif de la CEE-ONU qui la portera à la connaissance du Comité d'administration.</w:t>
      </w:r>
    </w:p>
    <w:p w:rsidR="00957DD2" w:rsidRPr="001F3BD3" w:rsidRDefault="00957DD2" w:rsidP="00957DD2">
      <w:pPr>
        <w:pStyle w:val="H1G"/>
        <w:rPr>
          <w:rFonts w:eastAsia="Calibri"/>
          <w:u w:val="single"/>
        </w:rPr>
      </w:pPr>
      <w:r w:rsidRPr="001F3BD3">
        <w:rPr>
          <w:rFonts w:eastAsia="Calibri"/>
          <w:u w:val="single"/>
        </w:rPr>
        <w:t>Chapitre 8.1</w:t>
      </w:r>
    </w:p>
    <w:p w:rsidR="00957DD2" w:rsidRPr="001F3BD3" w:rsidRDefault="00957DD2" w:rsidP="00957DD2">
      <w:pPr>
        <w:pStyle w:val="SingleTxtG"/>
        <w:ind w:left="0"/>
        <w:rPr>
          <w:rFonts w:eastAsia="Calibri"/>
          <w:b/>
          <w:bCs/>
        </w:rPr>
      </w:pPr>
      <w:r w:rsidRPr="001F3BD3">
        <w:rPr>
          <w:rFonts w:eastAsia="Calibri"/>
          <w:b/>
          <w:bCs/>
        </w:rPr>
        <w:t>8.1.2.6</w:t>
      </w:r>
    </w:p>
    <w:p w:rsidR="00957DD2" w:rsidRPr="00D878C3" w:rsidRDefault="00957DD2" w:rsidP="00957DD2">
      <w:pPr>
        <w:pStyle w:val="SingleTxtG"/>
        <w:ind w:left="0"/>
        <w:rPr>
          <w:rFonts w:eastAsia="Calibri"/>
        </w:rPr>
      </w:pPr>
      <w:r w:rsidRPr="00D878C3">
        <w:rPr>
          <w:rFonts w:eastAsia="Calibri"/>
        </w:rPr>
        <w:t xml:space="preserve">La présence à bord du certificat d’agrément n’est pas requise dans le cas des barges de poussage qui ne transportent pas de marchandises dangereuses, à condition que les détails supplémentaires suivants soient indiqués, en lettres identiques, sur la plaque prévue par </w:t>
      </w:r>
      <w:r w:rsidRPr="00D878C3">
        <w:rPr>
          <w:rFonts w:eastAsia="Calibri"/>
          <w:u w:val="single"/>
        </w:rPr>
        <w:t xml:space="preserve">un modèle de prescriptions de police locales, régionales ou internationales </w:t>
      </w:r>
      <w:r w:rsidRPr="00D878C3">
        <w:rPr>
          <w:rFonts w:eastAsia="Calibri"/>
          <w:bCs/>
          <w:u w:val="single"/>
        </w:rPr>
        <w:t xml:space="preserve">ou, si de telles prescriptions ne sont pas </w:t>
      </w:r>
      <w:r>
        <w:rPr>
          <w:rFonts w:eastAsia="Calibri"/>
          <w:bCs/>
          <w:u w:val="single"/>
        </w:rPr>
        <w:t>applicables</w:t>
      </w:r>
      <w:r w:rsidRPr="00D878C3">
        <w:rPr>
          <w:rFonts w:eastAsia="Calibri"/>
          <w:bCs/>
          <w:u w:val="single"/>
        </w:rPr>
        <w:t>, de</w:t>
      </w:r>
      <w:r w:rsidRPr="00D878C3">
        <w:rPr>
          <w:rFonts w:eastAsia="Calibri"/>
          <w:u w:val="single"/>
        </w:rPr>
        <w:t xml:space="preserve"> l'article 1.10, paragraphe 5, </w:t>
      </w:r>
      <w:proofErr w:type="spellStart"/>
      <w:r w:rsidRPr="00D878C3">
        <w:rPr>
          <w:rFonts w:eastAsia="Calibri"/>
          <w:u w:val="single"/>
        </w:rPr>
        <w:t>du</w:t>
      </w:r>
      <w:r w:rsidRPr="00D878C3">
        <w:rPr>
          <w:rFonts w:eastAsia="Calibri"/>
          <w:strike/>
        </w:rPr>
        <w:t>le</w:t>
      </w:r>
      <w:proofErr w:type="spellEnd"/>
      <w:r w:rsidRPr="00D878C3">
        <w:rPr>
          <w:rFonts w:eastAsia="Calibri"/>
        </w:rPr>
        <w:t xml:space="preserve"> </w:t>
      </w:r>
      <w:proofErr w:type="gramStart"/>
      <w:r w:rsidRPr="00D878C3">
        <w:rPr>
          <w:rFonts w:eastAsia="Calibri"/>
        </w:rPr>
        <w:t>CEVNI:</w:t>
      </w:r>
      <w:proofErr w:type="gramEnd"/>
    </w:p>
    <w:p w:rsidR="00957DD2" w:rsidRPr="00D878C3" w:rsidRDefault="00957DD2" w:rsidP="00957DD2">
      <w:pPr>
        <w:pStyle w:val="SingleTxtG"/>
        <w:ind w:left="0"/>
        <w:rPr>
          <w:rFonts w:eastAsia="Calibri"/>
        </w:rPr>
      </w:pPr>
      <w:r w:rsidRPr="00D878C3">
        <w:rPr>
          <w:rFonts w:eastAsia="Calibri"/>
        </w:rPr>
        <w:t xml:space="preserve">Numéro du certificat </w:t>
      </w:r>
      <w:proofErr w:type="gramStart"/>
      <w:r w:rsidRPr="00D878C3">
        <w:rPr>
          <w:rFonts w:eastAsia="Calibri"/>
        </w:rPr>
        <w:t>d’agrément:</w:t>
      </w:r>
      <w:proofErr w:type="gramEnd"/>
      <w:r w:rsidRPr="00D878C3">
        <w:rPr>
          <w:rFonts w:eastAsia="Calibri"/>
        </w:rPr>
        <w:t xml:space="preserve"> ...</w:t>
      </w:r>
    </w:p>
    <w:p w:rsidR="00957DD2" w:rsidRPr="00D878C3" w:rsidRDefault="00957DD2" w:rsidP="00957DD2">
      <w:pPr>
        <w:pStyle w:val="SingleTxtG"/>
        <w:ind w:left="0"/>
        <w:rPr>
          <w:rFonts w:eastAsia="Calibri"/>
        </w:rPr>
      </w:pPr>
      <w:proofErr w:type="gramStart"/>
      <w:r w:rsidRPr="00D878C3">
        <w:rPr>
          <w:rFonts w:eastAsia="Calibri"/>
        </w:rPr>
        <w:t>délivré</w:t>
      </w:r>
      <w:proofErr w:type="gramEnd"/>
      <w:r w:rsidRPr="00D878C3">
        <w:rPr>
          <w:rFonts w:eastAsia="Calibri"/>
        </w:rPr>
        <w:t xml:space="preserve"> par: ...</w:t>
      </w:r>
    </w:p>
    <w:p w:rsidR="00957DD2" w:rsidRPr="00D878C3" w:rsidRDefault="00957DD2" w:rsidP="00957DD2">
      <w:pPr>
        <w:pStyle w:val="SingleTxtG"/>
        <w:ind w:left="0"/>
        <w:rPr>
          <w:rFonts w:eastAsia="Calibri"/>
        </w:rPr>
      </w:pPr>
      <w:proofErr w:type="gramStart"/>
      <w:r w:rsidRPr="00D878C3">
        <w:rPr>
          <w:rFonts w:eastAsia="Calibri"/>
        </w:rPr>
        <w:t>valable</w:t>
      </w:r>
      <w:proofErr w:type="gramEnd"/>
      <w:r w:rsidRPr="00D878C3">
        <w:rPr>
          <w:rFonts w:eastAsia="Calibri"/>
        </w:rPr>
        <w:t xml:space="preserve"> jusqu’au: ...</w:t>
      </w:r>
    </w:p>
    <w:p w:rsidR="00957DD2" w:rsidRPr="00D878C3" w:rsidRDefault="00957DD2" w:rsidP="00957DD2">
      <w:pPr>
        <w:pStyle w:val="SingleTxtG"/>
        <w:ind w:left="0"/>
        <w:rPr>
          <w:rFonts w:eastAsia="Calibri"/>
        </w:rPr>
      </w:pPr>
      <w:r w:rsidRPr="00D878C3">
        <w:rPr>
          <w:rFonts w:eastAsia="Calibri"/>
        </w:rPr>
        <w:t>Le certificat d’agrément et l'annexe visée au 1.16.1.4 sont alors conservés</w:t>
      </w:r>
      <w:r w:rsidRPr="00D878C3" w:rsidDel="00585523">
        <w:rPr>
          <w:rFonts w:eastAsia="Calibri"/>
        </w:rPr>
        <w:t xml:space="preserve"> </w:t>
      </w:r>
      <w:r w:rsidRPr="00D878C3">
        <w:rPr>
          <w:rFonts w:eastAsia="Calibri"/>
        </w:rPr>
        <w:t>chez le propriétaire de la barge.</w:t>
      </w:r>
    </w:p>
    <w:p w:rsidR="00957DD2" w:rsidRPr="00D878C3" w:rsidRDefault="00957DD2" w:rsidP="00957DD2">
      <w:pPr>
        <w:pStyle w:val="SingleTxtG"/>
        <w:ind w:left="0"/>
        <w:rPr>
          <w:rFonts w:eastAsia="Calibri"/>
        </w:rPr>
      </w:pPr>
      <w:r w:rsidRPr="00D878C3">
        <w:rPr>
          <w:rFonts w:eastAsia="Calibri"/>
        </w:rPr>
        <w:t>La concordance entre les indications portées sur la plaque et celles du certificat d’agrément doit être constatée par une autorité compétente, qui doit apposer son poinçon sur la plaque.</w:t>
      </w:r>
    </w:p>
    <w:p w:rsidR="00957DD2" w:rsidRPr="001F3BD3" w:rsidRDefault="00957DD2" w:rsidP="00957DD2">
      <w:pPr>
        <w:pStyle w:val="SingleTxtG"/>
        <w:ind w:left="0"/>
        <w:rPr>
          <w:rFonts w:eastAsia="Calibri"/>
          <w:b/>
          <w:bCs/>
        </w:rPr>
      </w:pPr>
      <w:r w:rsidRPr="001F3BD3">
        <w:rPr>
          <w:rFonts w:eastAsia="Calibri"/>
          <w:b/>
          <w:bCs/>
        </w:rPr>
        <w:t>8.1.2.7</w:t>
      </w:r>
    </w:p>
    <w:p w:rsidR="00957DD2" w:rsidRPr="00D878C3" w:rsidRDefault="00957DD2" w:rsidP="00957DD2">
      <w:pPr>
        <w:pStyle w:val="SingleTxtG"/>
        <w:ind w:left="0"/>
        <w:rPr>
          <w:rFonts w:eastAsia="Calibri"/>
        </w:rPr>
      </w:pPr>
      <w:r w:rsidRPr="00D878C3">
        <w:rPr>
          <w:rFonts w:eastAsia="Calibri"/>
        </w:rPr>
        <w:t xml:space="preserve">La présence à bord du certificat d’agrément n’est pas requise dans le cas de barges à marchandises sèche ou de barges-citernes transportant des marchandises dangereuses à condition que la plaque prévue par </w:t>
      </w:r>
      <w:r w:rsidRPr="00D878C3">
        <w:rPr>
          <w:rFonts w:eastAsia="Calibri"/>
          <w:u w:val="single"/>
        </w:rPr>
        <w:t xml:space="preserve">un modèle de prescriptions de police locales, régionales ou internationales </w:t>
      </w:r>
      <w:r w:rsidRPr="00D878C3">
        <w:rPr>
          <w:rFonts w:eastAsia="Calibri"/>
          <w:bCs/>
          <w:u w:val="single"/>
        </w:rPr>
        <w:t xml:space="preserve">ou, si de telles prescriptions ne sont pas </w:t>
      </w:r>
      <w:r>
        <w:rPr>
          <w:rFonts w:eastAsia="Calibri"/>
          <w:bCs/>
          <w:u w:val="single"/>
        </w:rPr>
        <w:t>applicables</w:t>
      </w:r>
      <w:r w:rsidRPr="00D878C3">
        <w:rPr>
          <w:rFonts w:eastAsia="Calibri"/>
          <w:bCs/>
          <w:u w:val="single"/>
        </w:rPr>
        <w:t>, de</w:t>
      </w:r>
      <w:r w:rsidRPr="00D878C3" w:rsidDel="00DD288A">
        <w:rPr>
          <w:rFonts w:eastAsia="Calibri"/>
          <w:u w:val="single"/>
        </w:rPr>
        <w:t xml:space="preserve"> </w:t>
      </w:r>
      <w:r w:rsidRPr="00D878C3">
        <w:rPr>
          <w:rFonts w:eastAsia="Calibri"/>
          <w:u w:val="single"/>
        </w:rPr>
        <w:t xml:space="preserve">l'article 1.10, paragraphe 5, </w:t>
      </w:r>
      <w:proofErr w:type="spellStart"/>
      <w:r w:rsidRPr="00D878C3">
        <w:rPr>
          <w:rFonts w:eastAsia="Calibri"/>
          <w:u w:val="single"/>
        </w:rPr>
        <w:t>du</w:t>
      </w:r>
      <w:r w:rsidRPr="00D878C3">
        <w:rPr>
          <w:rFonts w:eastAsia="Calibri"/>
          <w:strike/>
        </w:rPr>
        <w:t>le</w:t>
      </w:r>
      <w:proofErr w:type="spellEnd"/>
      <w:r w:rsidRPr="000861F1">
        <w:rPr>
          <w:rFonts w:eastAsia="Calibri"/>
        </w:rPr>
        <w:t xml:space="preserve"> </w:t>
      </w:r>
      <w:r w:rsidRPr="00D878C3">
        <w:rPr>
          <w:rFonts w:eastAsia="Calibri"/>
        </w:rPr>
        <w:t xml:space="preserve">CEVNI soit complétée par une deuxième plaque métallique ou en matière synthétique reproduisant par un procédé </w:t>
      </w:r>
      <w:proofErr w:type="spellStart"/>
      <w:r w:rsidRPr="00D878C3">
        <w:rPr>
          <w:rFonts w:eastAsia="Calibri"/>
        </w:rPr>
        <w:t>photooptique</w:t>
      </w:r>
      <w:proofErr w:type="spellEnd"/>
      <w:r w:rsidRPr="00D878C3">
        <w:rPr>
          <w:rFonts w:eastAsia="Calibri"/>
        </w:rPr>
        <w:t xml:space="preserve"> la copie de la totalité du certificat d’agrément. Une copie photo-optique de l’annexe visée au 1.16.1.4 n’est pas requise.</w:t>
      </w:r>
    </w:p>
    <w:p w:rsidR="00957DD2" w:rsidRPr="00D878C3" w:rsidRDefault="00957DD2" w:rsidP="00957DD2">
      <w:pPr>
        <w:pStyle w:val="SingleTxtG"/>
        <w:ind w:left="0"/>
        <w:rPr>
          <w:rFonts w:eastAsia="Calibri"/>
        </w:rPr>
      </w:pPr>
      <w:r w:rsidRPr="00D878C3">
        <w:rPr>
          <w:rFonts w:eastAsia="Calibri"/>
        </w:rPr>
        <w:t>Le certificat d’agrément et l'annexe visée au 1.16.1.4 sont alors conservés chez le propriétaire de la barge.</w:t>
      </w:r>
    </w:p>
    <w:p w:rsidR="00957DD2" w:rsidRPr="00D878C3" w:rsidRDefault="00957DD2" w:rsidP="00957DD2">
      <w:pPr>
        <w:pStyle w:val="SingleTxtG"/>
        <w:ind w:left="0"/>
        <w:rPr>
          <w:rFonts w:eastAsia="Calibri"/>
        </w:rPr>
      </w:pPr>
      <w:r w:rsidRPr="00D878C3">
        <w:rPr>
          <w:rFonts w:eastAsia="Calibri"/>
        </w:rPr>
        <w:t>La concordance entre la copie sur la plaque et le certificat d’agrément doit être constatée par une autorité compétente qui doit apposer son poinçon sur la plaque.</w:t>
      </w:r>
    </w:p>
    <w:p w:rsidR="00957DD2" w:rsidRPr="00D878C3" w:rsidRDefault="00957DD2" w:rsidP="00957DD2">
      <w:pPr>
        <w:rPr>
          <w:rFonts w:eastAsia="Calibri"/>
          <w:b/>
          <w:u w:val="single"/>
          <w:lang w:val="fr-FR"/>
        </w:rPr>
      </w:pPr>
      <w:r w:rsidRPr="00D878C3">
        <w:rPr>
          <w:rFonts w:eastAsia="Calibri"/>
          <w:b/>
          <w:u w:val="single"/>
          <w:lang w:val="fr-FR"/>
        </w:rPr>
        <w:br w:type="page"/>
      </w:r>
    </w:p>
    <w:p w:rsidR="00957DD2" w:rsidRPr="007C158A" w:rsidRDefault="00957DD2" w:rsidP="00957DD2">
      <w:pPr>
        <w:pStyle w:val="H1G"/>
        <w:rPr>
          <w:rFonts w:eastAsia="Calibri"/>
          <w:u w:val="single"/>
        </w:rPr>
      </w:pPr>
      <w:r w:rsidRPr="007C158A">
        <w:rPr>
          <w:rFonts w:eastAsia="Calibri"/>
          <w:u w:val="single"/>
        </w:rPr>
        <w:lastRenderedPageBreak/>
        <w:t>Chapitre 8.2</w:t>
      </w:r>
    </w:p>
    <w:p w:rsidR="00957DD2" w:rsidRPr="007C158A" w:rsidRDefault="00957DD2" w:rsidP="00957DD2">
      <w:pPr>
        <w:pStyle w:val="SingleTxtG"/>
        <w:ind w:left="0"/>
        <w:rPr>
          <w:rFonts w:eastAsia="Calibri"/>
          <w:b/>
          <w:bCs/>
        </w:rPr>
      </w:pPr>
      <w:r w:rsidRPr="007C158A">
        <w:rPr>
          <w:rFonts w:eastAsia="Calibri"/>
          <w:b/>
          <w:bCs/>
        </w:rPr>
        <w:t>8.2.2.7.1.6</w:t>
      </w:r>
    </w:p>
    <w:p w:rsidR="00957DD2" w:rsidRPr="00D878C3" w:rsidRDefault="00957DD2" w:rsidP="00957DD2">
      <w:pPr>
        <w:pStyle w:val="SingleTxtG"/>
        <w:ind w:left="0"/>
      </w:pPr>
      <w:r w:rsidRPr="00D878C3">
        <w:rPr>
          <w:rFonts w:eastAsia="Calibri"/>
        </w:rPr>
        <w:t>L</w:t>
      </w:r>
      <w:r w:rsidRPr="00D878C3">
        <w:t>’autorité compétente ou un organisme examinateur désigné par elle doit surveiller tous les examens. Toute possibilité de manipulation ou de fraude doit être exclue autant que possible. L’authentification du candidat doit être assurée.</w:t>
      </w:r>
    </w:p>
    <w:p w:rsidR="00957DD2" w:rsidRPr="00D878C3" w:rsidRDefault="00957DD2" w:rsidP="00957DD2">
      <w:pPr>
        <w:pStyle w:val="SingleTxtG"/>
        <w:ind w:left="0"/>
        <w:rPr>
          <w:rFonts w:eastAsia="Calibri"/>
        </w:rPr>
      </w:pPr>
      <w:r w:rsidRPr="00D878C3">
        <w:rPr>
          <w:rFonts w:eastAsia="Calibri"/>
        </w:rPr>
        <w:t xml:space="preserve">L’utilisation pour l’épreuve écrite de documents autres que des textes des règlements relatifs aux marchandises dangereuses, du CEVNI ou de règlements de police correspondants, est interdite. L’utilisation de calculatrices de poche non programmables est autorisée pendant les cours de </w:t>
      </w:r>
      <w:proofErr w:type="gramStart"/>
      <w:r w:rsidRPr="00D878C3">
        <w:rPr>
          <w:rFonts w:eastAsia="Calibri"/>
        </w:rPr>
        <w:t>spécialisation;</w:t>
      </w:r>
      <w:proofErr w:type="gramEnd"/>
      <w:r w:rsidRPr="00D878C3">
        <w:rPr>
          <w:rFonts w:eastAsia="Calibri"/>
        </w:rPr>
        <w:t xml:space="preserve"> elles doivent être fournies par l’autorité compétente ou par l’organisme examinateur désigné par elle.</w:t>
      </w:r>
    </w:p>
    <w:p w:rsidR="00957DD2" w:rsidRPr="00D878C3" w:rsidRDefault="00957DD2" w:rsidP="00957DD2">
      <w:pPr>
        <w:pStyle w:val="SingleTxtG"/>
        <w:ind w:left="0"/>
        <w:rPr>
          <w:rFonts w:eastAsia="Calibri"/>
        </w:rPr>
      </w:pPr>
      <w:r w:rsidRPr="00D878C3">
        <w:rPr>
          <w:rFonts w:eastAsia="Calibri"/>
        </w:rPr>
        <w:t>Les documents d’examen (questions et réponses) doivent être enregistrés et conservés sous forme imprimée ou dans un fichier électronique.</w:t>
      </w:r>
    </w:p>
    <w:p w:rsidR="00957DD2" w:rsidRPr="007C158A" w:rsidRDefault="00957DD2" w:rsidP="00957DD2">
      <w:pPr>
        <w:pStyle w:val="H1G"/>
        <w:rPr>
          <w:rFonts w:eastAsia="Calibri"/>
          <w:u w:val="single"/>
        </w:rPr>
      </w:pPr>
      <w:r w:rsidRPr="007C158A">
        <w:rPr>
          <w:rFonts w:eastAsia="Calibri"/>
          <w:u w:val="single"/>
        </w:rPr>
        <w:t>Chapitre 8.6</w:t>
      </w:r>
    </w:p>
    <w:p w:rsidR="00957DD2" w:rsidRPr="007C158A" w:rsidRDefault="00957DD2" w:rsidP="00957DD2">
      <w:pPr>
        <w:pStyle w:val="SingleTxtG"/>
        <w:ind w:left="0"/>
        <w:rPr>
          <w:rFonts w:eastAsia="Calibri"/>
        </w:rPr>
      </w:pPr>
      <w:r w:rsidRPr="007C158A">
        <w:rPr>
          <w:rFonts w:eastAsia="Calibri"/>
        </w:rPr>
        <w:t>8.6.2</w:t>
      </w:r>
      <w:r w:rsidRPr="007C158A">
        <w:rPr>
          <w:rFonts w:eastAsia="Calibri"/>
        </w:rPr>
        <w:tab/>
      </w:r>
      <w:r w:rsidRPr="007C158A">
        <w:t>Attestation relative aux connaissances particulières de l’ADN selon 8.2.1.2, 8.2.1.5 ou 8.2.1.7.</w:t>
      </w:r>
    </w:p>
    <w:p w:rsidR="00957DD2" w:rsidRPr="00D878C3" w:rsidRDefault="00957DD2" w:rsidP="00706DC5">
      <w:pPr>
        <w:pStyle w:val="SingleTxtG"/>
        <w:ind w:left="0"/>
      </w:pPr>
      <w:r w:rsidRPr="00D878C3">
        <w:rPr>
          <w:rFonts w:eastAsia="Calibri"/>
          <w:lang w:val="fr-FR"/>
        </w:rPr>
        <w:t>**</w:t>
      </w:r>
      <w:r w:rsidRPr="00D878C3">
        <w:rPr>
          <w:rFonts w:eastAsia="Calibri"/>
          <w:lang w:val="fr-FR"/>
        </w:rPr>
        <w:tab/>
      </w:r>
      <w:r w:rsidRPr="007C158A">
        <w:t>Le signe distinctif utilisé en navigation internationale (CEVNI – Annexe I)</w:t>
      </w:r>
      <w:r w:rsidRPr="00D878C3">
        <w:rPr>
          <w:lang w:val="fr-FR"/>
        </w:rPr>
        <w:t>.</w:t>
      </w:r>
    </w:p>
    <w:p w:rsidR="00036C76" w:rsidRPr="00957DD2" w:rsidRDefault="00957DD2" w:rsidP="00957DD2">
      <w:pPr>
        <w:pStyle w:val="SingleTxtG"/>
        <w:spacing w:before="240" w:after="0"/>
        <w:jc w:val="center"/>
        <w:rPr>
          <w:u w:val="single"/>
          <w:lang w:val="fr-FR"/>
        </w:rPr>
      </w:pPr>
      <w:r>
        <w:rPr>
          <w:bCs/>
          <w:lang w:val="fr-FR"/>
        </w:rPr>
        <w:tab/>
      </w:r>
      <w:r>
        <w:rPr>
          <w:bCs/>
          <w:u w:val="single"/>
          <w:lang w:val="fr-FR"/>
        </w:rPr>
        <w:tab/>
      </w:r>
      <w:r>
        <w:rPr>
          <w:bCs/>
          <w:u w:val="single"/>
          <w:lang w:val="fr-FR"/>
        </w:rPr>
        <w:tab/>
      </w:r>
      <w:r>
        <w:rPr>
          <w:bCs/>
          <w:u w:val="single"/>
          <w:lang w:val="fr-FR"/>
        </w:rPr>
        <w:tab/>
      </w:r>
    </w:p>
    <w:sectPr w:rsidR="00036C76" w:rsidRPr="00957DD2" w:rsidSect="00957DD2">
      <w:headerReference w:type="even" r:id="rId8"/>
      <w:headerReference w:type="default" r:id="rId9"/>
      <w:footerReference w:type="even" r:id="rId10"/>
      <w:footerReference w:type="default" r:id="rId11"/>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804" w:rsidRDefault="00470804"/>
  </w:endnote>
  <w:endnote w:type="continuationSeparator" w:id="0">
    <w:p w:rsidR="00470804" w:rsidRDefault="00470804"/>
  </w:endnote>
  <w:endnote w:type="continuationNotice" w:id="1">
    <w:p w:rsidR="00470804" w:rsidRDefault="00470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0630E6" w:rsidRDefault="00AF52DB" w:rsidP="0029776B">
    <w:pPr>
      <w:pStyle w:val="Footer"/>
      <w:tabs>
        <w:tab w:val="right" w:pos="9638"/>
      </w:tabs>
      <w:rPr>
        <w:lang w:val="en-GB"/>
      </w:rPr>
    </w:pPr>
    <w:r w:rsidRPr="0029776B">
      <w:rPr>
        <w:b/>
        <w:sz w:val="18"/>
      </w:rPr>
      <w:fldChar w:fldCharType="begin"/>
    </w:r>
    <w:r w:rsidRPr="000630E6">
      <w:rPr>
        <w:b/>
        <w:sz w:val="18"/>
        <w:lang w:val="en-GB"/>
      </w:rPr>
      <w:instrText xml:space="preserve"> PAGE  \* MERGEFORMAT </w:instrText>
    </w:r>
    <w:r w:rsidRPr="0029776B">
      <w:rPr>
        <w:b/>
        <w:sz w:val="18"/>
      </w:rPr>
      <w:fldChar w:fldCharType="separate"/>
    </w:r>
    <w:r w:rsidR="000630E6" w:rsidRPr="000630E6">
      <w:rPr>
        <w:b/>
        <w:noProof/>
        <w:sz w:val="18"/>
        <w:lang w:val="en-GB"/>
      </w:rPr>
      <w:t>2</w:t>
    </w:r>
    <w:r w:rsidRPr="0029776B">
      <w:rPr>
        <w:b/>
        <w:sz w:val="18"/>
      </w:rPr>
      <w:fldChar w:fldCharType="end"/>
    </w:r>
    <w:r w:rsidRPr="000630E6">
      <w:rPr>
        <w:sz w:val="18"/>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0E6" w:rsidRPr="000630E6" w:rsidRDefault="00AF52DB" w:rsidP="00C63A23">
    <w:pPr>
      <w:pStyle w:val="Footer"/>
      <w:tabs>
        <w:tab w:val="right" w:pos="9638"/>
      </w:tabs>
      <w:rPr>
        <w:sz w:val="12"/>
        <w:szCs w:val="12"/>
        <w:lang w:val="en-GB"/>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0630E6">
      <w:rPr>
        <w:b/>
        <w:noProof/>
        <w:sz w:val="18"/>
      </w:rPr>
      <w:t>3</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804" w:rsidRPr="00D27D5E" w:rsidRDefault="00470804" w:rsidP="00D27D5E">
      <w:pPr>
        <w:tabs>
          <w:tab w:val="right" w:pos="2155"/>
        </w:tabs>
        <w:spacing w:after="80"/>
        <w:ind w:left="680"/>
        <w:rPr>
          <w:u w:val="single"/>
        </w:rPr>
      </w:pPr>
      <w:r>
        <w:rPr>
          <w:u w:val="single"/>
        </w:rPr>
        <w:tab/>
      </w:r>
    </w:p>
  </w:footnote>
  <w:footnote w:type="continuationSeparator" w:id="0">
    <w:p w:rsidR="00470804" w:rsidRPr="00A80554" w:rsidRDefault="00470804" w:rsidP="00A80554">
      <w:pPr>
        <w:tabs>
          <w:tab w:val="left" w:pos="2155"/>
        </w:tabs>
        <w:spacing w:after="80"/>
        <w:ind w:left="680"/>
        <w:rPr>
          <w:u w:val="single"/>
        </w:rPr>
      </w:pPr>
      <w:r w:rsidRPr="00A80554">
        <w:rPr>
          <w:u w:val="single"/>
        </w:rPr>
        <w:tab/>
      </w:r>
    </w:p>
  </w:footnote>
  <w:footnote w:type="continuationNotice" w:id="1">
    <w:p w:rsidR="00470804" w:rsidRDefault="004708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6D7AA7" w:rsidRDefault="00C63A23" w:rsidP="00DD38E9">
    <w:pPr>
      <w:pStyle w:val="Header"/>
      <w:rPr>
        <w:lang w:val="en-GB"/>
      </w:rPr>
    </w:pPr>
    <w:bookmarkStart w:id="1" w:name="_Hlk534703820"/>
    <w:bookmarkStart w:id="2" w:name="_Hlk534706716"/>
    <w:bookmarkStart w:id="3" w:name="_Hlk534706717"/>
    <w:r>
      <w:rPr>
        <w:lang w:val="en-GB"/>
      </w:rPr>
      <w:t>INF.</w:t>
    </w:r>
    <w:bookmarkEnd w:id="1"/>
    <w:bookmarkEnd w:id="2"/>
    <w:bookmarkEnd w:id="3"/>
    <w:r w:rsidR="00957DD2">
      <w:rPr>
        <w:lang w:val="en-GB"/>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D0029B" w:rsidRDefault="00957DD2" w:rsidP="0029776B">
    <w:pPr>
      <w:pStyle w:val="Header"/>
      <w:jc w:val="right"/>
      <w:rPr>
        <w:lang w:val="en-GB"/>
      </w:rPr>
    </w:pPr>
    <w:r>
      <w:rPr>
        <w:lang w:val="en-GB"/>
      </w:rPr>
      <w:t>INF.5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7F6F24"/>
    <w:multiLevelType w:val="hybridMultilevel"/>
    <w:tmpl w:val="EE469BEE"/>
    <w:lvl w:ilvl="0" w:tplc="B48A7E6E">
      <w:start w:val="7"/>
      <w:numFmt w:val="bullet"/>
      <w:lvlText w:val="•"/>
      <w:lvlJc w:val="left"/>
      <w:pPr>
        <w:ind w:left="1781" w:hanging="360"/>
      </w:pPr>
      <w:rPr>
        <w:rFonts w:ascii="Times New Roman" w:eastAsia="Times New Roman" w:hAnsi="Times New Roman"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hint="default"/>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1070BF4"/>
    <w:multiLevelType w:val="hybridMultilevel"/>
    <w:tmpl w:val="55E226D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6EB84D13"/>
    <w:multiLevelType w:val="hybridMultilevel"/>
    <w:tmpl w:val="8B06F914"/>
    <w:lvl w:ilvl="0" w:tplc="689A73A8">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8" w15:restartNumberingAfterBreak="0">
    <w:nsid w:val="7F1B7FF4"/>
    <w:multiLevelType w:val="hybridMultilevel"/>
    <w:tmpl w:val="83F6D60A"/>
    <w:lvl w:ilvl="0" w:tplc="B7A266B4">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num w:numId="1">
    <w:abstractNumId w:val="6"/>
  </w:num>
  <w:num w:numId="2">
    <w:abstractNumId w:val="4"/>
  </w:num>
  <w:num w:numId="3">
    <w:abstractNumId w:val="1"/>
  </w:num>
  <w:num w:numId="4">
    <w:abstractNumId w:val="5"/>
  </w:num>
  <w:num w:numId="5">
    <w:abstractNumId w:val="8"/>
  </w:num>
  <w:num w:numId="6">
    <w:abstractNumId w:val="3"/>
  </w:num>
  <w:num w:numId="7">
    <w:abstractNumId w:val="2"/>
  </w:num>
  <w:num w:numId="8">
    <w:abstractNumId w:val="7"/>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1A"/>
    <w:rsid w:val="0000195C"/>
    <w:rsid w:val="00003FFB"/>
    <w:rsid w:val="0000754C"/>
    <w:rsid w:val="000121D3"/>
    <w:rsid w:val="000131A5"/>
    <w:rsid w:val="00016AC5"/>
    <w:rsid w:val="00022BD7"/>
    <w:rsid w:val="00027DDF"/>
    <w:rsid w:val="00030ADE"/>
    <w:rsid w:val="000312C0"/>
    <w:rsid w:val="00033A63"/>
    <w:rsid w:val="00036C76"/>
    <w:rsid w:val="0004058B"/>
    <w:rsid w:val="00040998"/>
    <w:rsid w:val="000472A1"/>
    <w:rsid w:val="000507A8"/>
    <w:rsid w:val="0006085A"/>
    <w:rsid w:val="000630E6"/>
    <w:rsid w:val="0006415C"/>
    <w:rsid w:val="000643B7"/>
    <w:rsid w:val="00066716"/>
    <w:rsid w:val="00071432"/>
    <w:rsid w:val="00072E86"/>
    <w:rsid w:val="000758B9"/>
    <w:rsid w:val="00081790"/>
    <w:rsid w:val="000828C8"/>
    <w:rsid w:val="00094EF2"/>
    <w:rsid w:val="000963EA"/>
    <w:rsid w:val="000964C7"/>
    <w:rsid w:val="000A3C06"/>
    <w:rsid w:val="000A49E0"/>
    <w:rsid w:val="000A7EC2"/>
    <w:rsid w:val="000B34CA"/>
    <w:rsid w:val="000C0699"/>
    <w:rsid w:val="000D7E12"/>
    <w:rsid w:val="000E4978"/>
    <w:rsid w:val="000E68FB"/>
    <w:rsid w:val="000F41F2"/>
    <w:rsid w:val="00104ADE"/>
    <w:rsid w:val="00114764"/>
    <w:rsid w:val="00114946"/>
    <w:rsid w:val="00114DAF"/>
    <w:rsid w:val="00115943"/>
    <w:rsid w:val="00127A72"/>
    <w:rsid w:val="0013180D"/>
    <w:rsid w:val="00135C0D"/>
    <w:rsid w:val="0013653F"/>
    <w:rsid w:val="00143574"/>
    <w:rsid w:val="001448DB"/>
    <w:rsid w:val="00147C56"/>
    <w:rsid w:val="00153CCD"/>
    <w:rsid w:val="00154636"/>
    <w:rsid w:val="001551B7"/>
    <w:rsid w:val="001568BB"/>
    <w:rsid w:val="00156A92"/>
    <w:rsid w:val="00160540"/>
    <w:rsid w:val="00162132"/>
    <w:rsid w:val="00162E33"/>
    <w:rsid w:val="0016419C"/>
    <w:rsid w:val="00164FB7"/>
    <w:rsid w:val="001703B7"/>
    <w:rsid w:val="0017182C"/>
    <w:rsid w:val="00171EA3"/>
    <w:rsid w:val="00177007"/>
    <w:rsid w:val="001850B8"/>
    <w:rsid w:val="00186EE9"/>
    <w:rsid w:val="00190399"/>
    <w:rsid w:val="00192BA5"/>
    <w:rsid w:val="00192EEB"/>
    <w:rsid w:val="00197152"/>
    <w:rsid w:val="001A20FB"/>
    <w:rsid w:val="001A37C7"/>
    <w:rsid w:val="001A73B7"/>
    <w:rsid w:val="001B6AF6"/>
    <w:rsid w:val="001B6F40"/>
    <w:rsid w:val="001C08A0"/>
    <w:rsid w:val="001C4BBB"/>
    <w:rsid w:val="001C64DD"/>
    <w:rsid w:val="001D7DF9"/>
    <w:rsid w:val="001D7F8A"/>
    <w:rsid w:val="001E3FEB"/>
    <w:rsid w:val="001E4A02"/>
    <w:rsid w:val="001F3CC1"/>
    <w:rsid w:val="001F412D"/>
    <w:rsid w:val="001F5816"/>
    <w:rsid w:val="002023CD"/>
    <w:rsid w:val="00203B6A"/>
    <w:rsid w:val="002041A8"/>
    <w:rsid w:val="0020607F"/>
    <w:rsid w:val="002069D5"/>
    <w:rsid w:val="00216861"/>
    <w:rsid w:val="0022098E"/>
    <w:rsid w:val="00223B89"/>
    <w:rsid w:val="00225741"/>
    <w:rsid w:val="00225A8C"/>
    <w:rsid w:val="00232C61"/>
    <w:rsid w:val="00234E40"/>
    <w:rsid w:val="002403AA"/>
    <w:rsid w:val="00241AAF"/>
    <w:rsid w:val="00260A9C"/>
    <w:rsid w:val="00261C6B"/>
    <w:rsid w:val="002659F1"/>
    <w:rsid w:val="00265FE8"/>
    <w:rsid w:val="0027037E"/>
    <w:rsid w:val="00271C7C"/>
    <w:rsid w:val="0028112F"/>
    <w:rsid w:val="00287E79"/>
    <w:rsid w:val="0029101B"/>
    <w:rsid w:val="002928F9"/>
    <w:rsid w:val="0029776B"/>
    <w:rsid w:val="002A1905"/>
    <w:rsid w:val="002A29C3"/>
    <w:rsid w:val="002A5D07"/>
    <w:rsid w:val="002A5F7F"/>
    <w:rsid w:val="002B2881"/>
    <w:rsid w:val="002B56D7"/>
    <w:rsid w:val="002C555D"/>
    <w:rsid w:val="002D0474"/>
    <w:rsid w:val="002D7928"/>
    <w:rsid w:val="002F2735"/>
    <w:rsid w:val="003016B7"/>
    <w:rsid w:val="00304272"/>
    <w:rsid w:val="00306511"/>
    <w:rsid w:val="00321245"/>
    <w:rsid w:val="0032270A"/>
    <w:rsid w:val="00327E03"/>
    <w:rsid w:val="00330F9C"/>
    <w:rsid w:val="003338E5"/>
    <w:rsid w:val="00335202"/>
    <w:rsid w:val="003371E0"/>
    <w:rsid w:val="00340C35"/>
    <w:rsid w:val="00343859"/>
    <w:rsid w:val="003447BF"/>
    <w:rsid w:val="003470CB"/>
    <w:rsid w:val="003515AA"/>
    <w:rsid w:val="00351AD9"/>
    <w:rsid w:val="003540B3"/>
    <w:rsid w:val="00367E6A"/>
    <w:rsid w:val="00370E0F"/>
    <w:rsid w:val="00372345"/>
    <w:rsid w:val="00373FA8"/>
    <w:rsid w:val="00374106"/>
    <w:rsid w:val="00374296"/>
    <w:rsid w:val="00391403"/>
    <w:rsid w:val="00397250"/>
    <w:rsid w:val="003974E1"/>
    <w:rsid w:val="003976D5"/>
    <w:rsid w:val="003A1FEF"/>
    <w:rsid w:val="003A462C"/>
    <w:rsid w:val="003A656C"/>
    <w:rsid w:val="003B5981"/>
    <w:rsid w:val="003B6B20"/>
    <w:rsid w:val="003C322F"/>
    <w:rsid w:val="003C5A95"/>
    <w:rsid w:val="003C5C5B"/>
    <w:rsid w:val="003D1DF3"/>
    <w:rsid w:val="003D46A7"/>
    <w:rsid w:val="003D6C68"/>
    <w:rsid w:val="003D76E4"/>
    <w:rsid w:val="003F118A"/>
    <w:rsid w:val="003F6E0A"/>
    <w:rsid w:val="004005D0"/>
    <w:rsid w:val="00406E74"/>
    <w:rsid w:val="00413736"/>
    <w:rsid w:val="00414425"/>
    <w:rsid w:val="004159D0"/>
    <w:rsid w:val="00421AC2"/>
    <w:rsid w:val="00423D55"/>
    <w:rsid w:val="004249E7"/>
    <w:rsid w:val="00426DA1"/>
    <w:rsid w:val="00430C92"/>
    <w:rsid w:val="0043277B"/>
    <w:rsid w:val="00434168"/>
    <w:rsid w:val="0044289E"/>
    <w:rsid w:val="004507B9"/>
    <w:rsid w:val="00450E30"/>
    <w:rsid w:val="00454017"/>
    <w:rsid w:val="00461870"/>
    <w:rsid w:val="00470804"/>
    <w:rsid w:val="00471DA9"/>
    <w:rsid w:val="00473690"/>
    <w:rsid w:val="00475DD2"/>
    <w:rsid w:val="00486E96"/>
    <w:rsid w:val="00491EC7"/>
    <w:rsid w:val="0049374F"/>
    <w:rsid w:val="00497A70"/>
    <w:rsid w:val="00497E7A"/>
    <w:rsid w:val="004A324B"/>
    <w:rsid w:val="004A331B"/>
    <w:rsid w:val="004A3778"/>
    <w:rsid w:val="004A5C90"/>
    <w:rsid w:val="004B0FDA"/>
    <w:rsid w:val="004B154F"/>
    <w:rsid w:val="004C1C2F"/>
    <w:rsid w:val="004C3B4F"/>
    <w:rsid w:val="004D07FC"/>
    <w:rsid w:val="004D0EB7"/>
    <w:rsid w:val="004D5258"/>
    <w:rsid w:val="004D53B7"/>
    <w:rsid w:val="004E1AC3"/>
    <w:rsid w:val="004E551E"/>
    <w:rsid w:val="00502D1A"/>
    <w:rsid w:val="00504EB2"/>
    <w:rsid w:val="00514EB1"/>
    <w:rsid w:val="0052158A"/>
    <w:rsid w:val="00521BA9"/>
    <w:rsid w:val="0052416A"/>
    <w:rsid w:val="00524D9B"/>
    <w:rsid w:val="00530057"/>
    <w:rsid w:val="00531F0F"/>
    <w:rsid w:val="005367EB"/>
    <w:rsid w:val="00543D5E"/>
    <w:rsid w:val="005446F3"/>
    <w:rsid w:val="00545F2F"/>
    <w:rsid w:val="005525D2"/>
    <w:rsid w:val="005611FF"/>
    <w:rsid w:val="005622F9"/>
    <w:rsid w:val="00563346"/>
    <w:rsid w:val="00565A49"/>
    <w:rsid w:val="005669DD"/>
    <w:rsid w:val="00571F41"/>
    <w:rsid w:val="00572556"/>
    <w:rsid w:val="00575335"/>
    <w:rsid w:val="00576C84"/>
    <w:rsid w:val="00585A6B"/>
    <w:rsid w:val="00593132"/>
    <w:rsid w:val="0059410B"/>
    <w:rsid w:val="00595BE4"/>
    <w:rsid w:val="00595C56"/>
    <w:rsid w:val="005A041A"/>
    <w:rsid w:val="005B738F"/>
    <w:rsid w:val="005B76A3"/>
    <w:rsid w:val="005C6014"/>
    <w:rsid w:val="005E5D1F"/>
    <w:rsid w:val="005E5E79"/>
    <w:rsid w:val="005E67B6"/>
    <w:rsid w:val="005F25D1"/>
    <w:rsid w:val="005F302D"/>
    <w:rsid w:val="005F59DB"/>
    <w:rsid w:val="00603391"/>
    <w:rsid w:val="006049FD"/>
    <w:rsid w:val="00605683"/>
    <w:rsid w:val="00611D43"/>
    <w:rsid w:val="00612D48"/>
    <w:rsid w:val="00616B45"/>
    <w:rsid w:val="0061708F"/>
    <w:rsid w:val="006210B6"/>
    <w:rsid w:val="0062309D"/>
    <w:rsid w:val="00625F01"/>
    <w:rsid w:val="00630D9B"/>
    <w:rsid w:val="00631953"/>
    <w:rsid w:val="0063675E"/>
    <w:rsid w:val="00641822"/>
    <w:rsid w:val="006439EC"/>
    <w:rsid w:val="00654B07"/>
    <w:rsid w:val="00665D5C"/>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D7511"/>
    <w:rsid w:val="006D7AA7"/>
    <w:rsid w:val="006E0743"/>
    <w:rsid w:val="006E19BA"/>
    <w:rsid w:val="006E3B48"/>
    <w:rsid w:val="006E5FC7"/>
    <w:rsid w:val="006E7722"/>
    <w:rsid w:val="006F151C"/>
    <w:rsid w:val="00700CF9"/>
    <w:rsid w:val="0070347C"/>
    <w:rsid w:val="00706DC5"/>
    <w:rsid w:val="007176C1"/>
    <w:rsid w:val="0073250D"/>
    <w:rsid w:val="00737BCE"/>
    <w:rsid w:val="0074123A"/>
    <w:rsid w:val="00742FD7"/>
    <w:rsid w:val="007450F8"/>
    <w:rsid w:val="00745866"/>
    <w:rsid w:val="00745CA1"/>
    <w:rsid w:val="007514EF"/>
    <w:rsid w:val="007527B6"/>
    <w:rsid w:val="00753BDA"/>
    <w:rsid w:val="00766A94"/>
    <w:rsid w:val="007673E8"/>
    <w:rsid w:val="00770118"/>
    <w:rsid w:val="00780335"/>
    <w:rsid w:val="00780EAE"/>
    <w:rsid w:val="007811F7"/>
    <w:rsid w:val="007817A1"/>
    <w:rsid w:val="007820F2"/>
    <w:rsid w:val="00783F37"/>
    <w:rsid w:val="00786EF4"/>
    <w:rsid w:val="007904AF"/>
    <w:rsid w:val="00790F2F"/>
    <w:rsid w:val="00795138"/>
    <w:rsid w:val="007A6076"/>
    <w:rsid w:val="007C1A44"/>
    <w:rsid w:val="007D78D5"/>
    <w:rsid w:val="007E2F66"/>
    <w:rsid w:val="007F0F13"/>
    <w:rsid w:val="007F55CB"/>
    <w:rsid w:val="00812C1A"/>
    <w:rsid w:val="00816FA8"/>
    <w:rsid w:val="0081704B"/>
    <w:rsid w:val="0082343C"/>
    <w:rsid w:val="00831329"/>
    <w:rsid w:val="008317F6"/>
    <w:rsid w:val="00835193"/>
    <w:rsid w:val="008353E4"/>
    <w:rsid w:val="00835BFB"/>
    <w:rsid w:val="00836924"/>
    <w:rsid w:val="00844750"/>
    <w:rsid w:val="00851438"/>
    <w:rsid w:val="00860C9D"/>
    <w:rsid w:val="00871051"/>
    <w:rsid w:val="00883D70"/>
    <w:rsid w:val="00884E9C"/>
    <w:rsid w:val="00893D70"/>
    <w:rsid w:val="008B44C4"/>
    <w:rsid w:val="008B7879"/>
    <w:rsid w:val="008C1BBA"/>
    <w:rsid w:val="008C2211"/>
    <w:rsid w:val="008C7684"/>
    <w:rsid w:val="008D0723"/>
    <w:rsid w:val="008D0C3F"/>
    <w:rsid w:val="008D1AC7"/>
    <w:rsid w:val="008D3919"/>
    <w:rsid w:val="008E0B16"/>
    <w:rsid w:val="008E3F2C"/>
    <w:rsid w:val="008E5107"/>
    <w:rsid w:val="008E7FAE"/>
    <w:rsid w:val="008F1725"/>
    <w:rsid w:val="008F3ACE"/>
    <w:rsid w:val="008F60FF"/>
    <w:rsid w:val="00905A77"/>
    <w:rsid w:val="009066AE"/>
    <w:rsid w:val="00911BF7"/>
    <w:rsid w:val="00922301"/>
    <w:rsid w:val="00922FBA"/>
    <w:rsid w:val="00926E87"/>
    <w:rsid w:val="00932D7A"/>
    <w:rsid w:val="009416C9"/>
    <w:rsid w:val="00952247"/>
    <w:rsid w:val="00952FDB"/>
    <w:rsid w:val="00953DE0"/>
    <w:rsid w:val="009566B0"/>
    <w:rsid w:val="00957DD2"/>
    <w:rsid w:val="00970F62"/>
    <w:rsid w:val="00977EC8"/>
    <w:rsid w:val="009817BD"/>
    <w:rsid w:val="009837CB"/>
    <w:rsid w:val="009A21FA"/>
    <w:rsid w:val="009A6F85"/>
    <w:rsid w:val="009B060F"/>
    <w:rsid w:val="009B18A3"/>
    <w:rsid w:val="009B25CE"/>
    <w:rsid w:val="009B5EA0"/>
    <w:rsid w:val="009B6524"/>
    <w:rsid w:val="009C1239"/>
    <w:rsid w:val="009C246D"/>
    <w:rsid w:val="009C2848"/>
    <w:rsid w:val="009C38EA"/>
    <w:rsid w:val="009D3A8C"/>
    <w:rsid w:val="009E01B8"/>
    <w:rsid w:val="009E698E"/>
    <w:rsid w:val="009E7956"/>
    <w:rsid w:val="00A00C44"/>
    <w:rsid w:val="00A03454"/>
    <w:rsid w:val="00A11C63"/>
    <w:rsid w:val="00A134EB"/>
    <w:rsid w:val="00A1547F"/>
    <w:rsid w:val="00A17EEC"/>
    <w:rsid w:val="00A20AE9"/>
    <w:rsid w:val="00A2492E"/>
    <w:rsid w:val="00A31F07"/>
    <w:rsid w:val="00A41235"/>
    <w:rsid w:val="00A44CBA"/>
    <w:rsid w:val="00A45EBB"/>
    <w:rsid w:val="00A6502C"/>
    <w:rsid w:val="00A70163"/>
    <w:rsid w:val="00A71439"/>
    <w:rsid w:val="00A7187C"/>
    <w:rsid w:val="00A73DB7"/>
    <w:rsid w:val="00A778A5"/>
    <w:rsid w:val="00A80554"/>
    <w:rsid w:val="00A86837"/>
    <w:rsid w:val="00A92C6B"/>
    <w:rsid w:val="00A963DD"/>
    <w:rsid w:val="00AA0176"/>
    <w:rsid w:val="00AA3C96"/>
    <w:rsid w:val="00AA5B1E"/>
    <w:rsid w:val="00AA72C3"/>
    <w:rsid w:val="00AA77E5"/>
    <w:rsid w:val="00AB6447"/>
    <w:rsid w:val="00AC67A1"/>
    <w:rsid w:val="00AC7977"/>
    <w:rsid w:val="00AD1E14"/>
    <w:rsid w:val="00AD3F23"/>
    <w:rsid w:val="00AD545E"/>
    <w:rsid w:val="00AE1716"/>
    <w:rsid w:val="00AE352C"/>
    <w:rsid w:val="00AE4F08"/>
    <w:rsid w:val="00AE5E87"/>
    <w:rsid w:val="00AE69A8"/>
    <w:rsid w:val="00AE7BCA"/>
    <w:rsid w:val="00AF1446"/>
    <w:rsid w:val="00AF2F6F"/>
    <w:rsid w:val="00AF52DB"/>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33100"/>
    <w:rsid w:val="00C34C11"/>
    <w:rsid w:val="00C358CC"/>
    <w:rsid w:val="00C4302B"/>
    <w:rsid w:val="00C45121"/>
    <w:rsid w:val="00C51BB4"/>
    <w:rsid w:val="00C63A23"/>
    <w:rsid w:val="00C63AC1"/>
    <w:rsid w:val="00C732D1"/>
    <w:rsid w:val="00C836BC"/>
    <w:rsid w:val="00C940E9"/>
    <w:rsid w:val="00CA047F"/>
    <w:rsid w:val="00CA3500"/>
    <w:rsid w:val="00CA5CBD"/>
    <w:rsid w:val="00CB0631"/>
    <w:rsid w:val="00CB2BEA"/>
    <w:rsid w:val="00CB6267"/>
    <w:rsid w:val="00CD1A71"/>
    <w:rsid w:val="00CD1FBB"/>
    <w:rsid w:val="00CD4C90"/>
    <w:rsid w:val="00CE03EF"/>
    <w:rsid w:val="00CF4311"/>
    <w:rsid w:val="00CF6435"/>
    <w:rsid w:val="00D0029B"/>
    <w:rsid w:val="00D016B5"/>
    <w:rsid w:val="00D034F1"/>
    <w:rsid w:val="00D10BD3"/>
    <w:rsid w:val="00D11B17"/>
    <w:rsid w:val="00D146BA"/>
    <w:rsid w:val="00D218FC"/>
    <w:rsid w:val="00D22284"/>
    <w:rsid w:val="00D27297"/>
    <w:rsid w:val="00D27D5E"/>
    <w:rsid w:val="00D31640"/>
    <w:rsid w:val="00D319BE"/>
    <w:rsid w:val="00D34270"/>
    <w:rsid w:val="00D40906"/>
    <w:rsid w:val="00D41B47"/>
    <w:rsid w:val="00D428F9"/>
    <w:rsid w:val="00D440EE"/>
    <w:rsid w:val="00D47F24"/>
    <w:rsid w:val="00D52A86"/>
    <w:rsid w:val="00D57493"/>
    <w:rsid w:val="00D60301"/>
    <w:rsid w:val="00D64213"/>
    <w:rsid w:val="00D6487C"/>
    <w:rsid w:val="00D70305"/>
    <w:rsid w:val="00D72874"/>
    <w:rsid w:val="00D75A23"/>
    <w:rsid w:val="00D84247"/>
    <w:rsid w:val="00D8534F"/>
    <w:rsid w:val="00D86AD1"/>
    <w:rsid w:val="00D94430"/>
    <w:rsid w:val="00D96366"/>
    <w:rsid w:val="00DA1820"/>
    <w:rsid w:val="00DA57D4"/>
    <w:rsid w:val="00DA6BC7"/>
    <w:rsid w:val="00DB4793"/>
    <w:rsid w:val="00DB533B"/>
    <w:rsid w:val="00DB5C62"/>
    <w:rsid w:val="00DC158C"/>
    <w:rsid w:val="00DC45A6"/>
    <w:rsid w:val="00DC51E3"/>
    <w:rsid w:val="00DD051B"/>
    <w:rsid w:val="00DD38E9"/>
    <w:rsid w:val="00DD5D73"/>
    <w:rsid w:val="00DE01E3"/>
    <w:rsid w:val="00DE0AF7"/>
    <w:rsid w:val="00DE24A4"/>
    <w:rsid w:val="00DE6D90"/>
    <w:rsid w:val="00DF002F"/>
    <w:rsid w:val="00DF1BEA"/>
    <w:rsid w:val="00DF1F03"/>
    <w:rsid w:val="00DF3492"/>
    <w:rsid w:val="00DF4DCE"/>
    <w:rsid w:val="00DF6551"/>
    <w:rsid w:val="00E0244D"/>
    <w:rsid w:val="00E02CE0"/>
    <w:rsid w:val="00E11BBC"/>
    <w:rsid w:val="00E1236D"/>
    <w:rsid w:val="00E15EC6"/>
    <w:rsid w:val="00E22F40"/>
    <w:rsid w:val="00E30A6C"/>
    <w:rsid w:val="00E418A5"/>
    <w:rsid w:val="00E4431D"/>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3CE6"/>
    <w:rsid w:val="00E95AF8"/>
    <w:rsid w:val="00E97EE2"/>
    <w:rsid w:val="00EA0C87"/>
    <w:rsid w:val="00EA2677"/>
    <w:rsid w:val="00EA31C2"/>
    <w:rsid w:val="00EA4D5A"/>
    <w:rsid w:val="00EA5169"/>
    <w:rsid w:val="00EA7AF9"/>
    <w:rsid w:val="00EB16FF"/>
    <w:rsid w:val="00EB4C54"/>
    <w:rsid w:val="00EC0734"/>
    <w:rsid w:val="00EC3132"/>
    <w:rsid w:val="00EC3FA6"/>
    <w:rsid w:val="00EC60C5"/>
    <w:rsid w:val="00ED265E"/>
    <w:rsid w:val="00ED7BEB"/>
    <w:rsid w:val="00EE2EA3"/>
    <w:rsid w:val="00EE43A7"/>
    <w:rsid w:val="00EF041A"/>
    <w:rsid w:val="00F01516"/>
    <w:rsid w:val="00F0189E"/>
    <w:rsid w:val="00F12577"/>
    <w:rsid w:val="00F14D09"/>
    <w:rsid w:val="00F172A4"/>
    <w:rsid w:val="00F2271B"/>
    <w:rsid w:val="00F227C9"/>
    <w:rsid w:val="00F27F4C"/>
    <w:rsid w:val="00F337B3"/>
    <w:rsid w:val="00F35A1F"/>
    <w:rsid w:val="00F37523"/>
    <w:rsid w:val="00F524AA"/>
    <w:rsid w:val="00F560CD"/>
    <w:rsid w:val="00F57129"/>
    <w:rsid w:val="00F90CFE"/>
    <w:rsid w:val="00F96586"/>
    <w:rsid w:val="00F96D8C"/>
    <w:rsid w:val="00FA40A9"/>
    <w:rsid w:val="00FA43E0"/>
    <w:rsid w:val="00FA5A79"/>
    <w:rsid w:val="00FA6422"/>
    <w:rsid w:val="00FB00CB"/>
    <w:rsid w:val="00FB0BFE"/>
    <w:rsid w:val="00FB2419"/>
    <w:rsid w:val="00FB4C51"/>
    <w:rsid w:val="00FB6AC1"/>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7BFB9C"/>
  <w15:docId w15:val="{3A2AC18C-BD94-465C-9255-0D801989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lock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eastAsia="x-none"/>
    </w:rPr>
  </w:style>
  <w:style w:type="character" w:styleId="EndnoteReference">
    <w:name w:val="endnote reference"/>
    <w:aliases w:val="1_G"/>
    <w:rsid w:val="000964C7"/>
    <w:rPr>
      <w:rFonts w:ascii="Times New Roman" w:hAnsi="Times New Roman"/>
      <w:sz w:val="18"/>
      <w:vertAlign w:val="superscript"/>
      <w:lang w:val="fr-CH" w:eastAsia="x-none"/>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eastAsia="x-none"/>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locked/>
    <w:rsid w:val="006B09E0"/>
    <w:rPr>
      <w:b/>
      <w:sz w:val="24"/>
      <w:lang w:val="fr-CH" w:eastAsia="en-US"/>
    </w:rPr>
  </w:style>
  <w:style w:type="character" w:customStyle="1" w:styleId="H23GChar">
    <w:name w:val="_ H_2/3_G Char"/>
    <w:link w:val="H23G"/>
    <w:locked/>
    <w:rsid w:val="006B09E0"/>
    <w:rPr>
      <w:b/>
      <w:lang w:val="fr-CH" w:eastAsia="en-US"/>
    </w:rPr>
  </w:style>
  <w:style w:type="character" w:customStyle="1" w:styleId="SingleTxtGChar">
    <w:name w:val="_ Single Txt_G Char"/>
    <w:link w:val="SingleTxtG"/>
    <w:qFormat/>
    <w:locked/>
    <w:rsid w:val="006B09E0"/>
    <w:rPr>
      <w:lang w:val="fr-CH" w:eastAsia="en-US"/>
    </w:rPr>
  </w:style>
  <w:style w:type="character" w:customStyle="1" w:styleId="FootnoteTextChar">
    <w:name w:val="Footnote Text Char"/>
    <w:aliases w:val="5_G Char"/>
    <w:link w:val="FootnoteText"/>
    <w:locked/>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rPr>
  </w:style>
  <w:style w:type="paragraph" w:styleId="CommentText">
    <w:name w:val="annotation text"/>
    <w:basedOn w:val="Normal"/>
    <w:link w:val="CommentTextChar"/>
    <w:rsid w:val="000963EA"/>
  </w:style>
  <w:style w:type="character" w:customStyle="1" w:styleId="CommentTextChar">
    <w:name w:val="Comment Text Char"/>
    <w:link w:val="CommentText"/>
    <w:locked/>
    <w:rsid w:val="000963EA"/>
    <w:rPr>
      <w:lang w:val="fr-CH" w:eastAsia="en-US"/>
    </w:rPr>
  </w:style>
  <w:style w:type="paragraph" w:styleId="BalloonText">
    <w:name w:val="Balloon Text"/>
    <w:basedOn w:val="Normal"/>
    <w:link w:val="BalloonTextChar"/>
    <w:rsid w:val="001A37C7"/>
    <w:pPr>
      <w:spacing w:line="240" w:lineRule="auto"/>
    </w:pPr>
    <w:rPr>
      <w:rFonts w:ascii="Tahoma" w:hAnsi="Tahoma"/>
      <w:sz w:val="16"/>
      <w:szCs w:val="16"/>
    </w:rPr>
  </w:style>
  <w:style w:type="character" w:customStyle="1" w:styleId="BalloonTextChar">
    <w:name w:val="Balloon Text Char"/>
    <w:link w:val="BalloonText"/>
    <w:locked/>
    <w:rsid w:val="001A37C7"/>
    <w:rPr>
      <w:rFonts w:ascii="Tahoma" w:hAnsi="Tahoma"/>
      <w:sz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rPr>
  </w:style>
  <w:style w:type="character" w:customStyle="1" w:styleId="Heading1Char">
    <w:name w:val="Heading 1 Char"/>
    <w:aliases w:val="Table_G Char"/>
    <w:link w:val="Heading1"/>
    <w:locked/>
    <w:rsid w:val="00742FD7"/>
    <w:rPr>
      <w:lang w:val="fr-CH" w:eastAsia="en-US"/>
    </w:rPr>
  </w:style>
  <w:style w:type="character" w:customStyle="1" w:styleId="SingleTxtGCar">
    <w:name w:val="_ Single Txt_G Car"/>
    <w:rsid w:val="00742FD7"/>
    <w:rPr>
      <w:lang w:val="fr-CH" w:eastAsia="en-US"/>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locked/>
    <w:rsid w:val="00742FD7"/>
    <w:rPr>
      <w:b/>
      <w:lang w:val="fr-CH" w:eastAsia="en-US"/>
    </w:rPr>
  </w:style>
  <w:style w:type="paragraph" w:styleId="Revision">
    <w:name w:val="Revision"/>
    <w:hidden/>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locked/>
    <w:rsid w:val="0052158A"/>
    <w:rPr>
      <w:lang w:val="fr-CH" w:eastAsia="en-US"/>
    </w:rPr>
  </w:style>
  <w:style w:type="paragraph" w:customStyle="1" w:styleId="SingleTxt">
    <w:name w:val="__Single Txt"/>
    <w:basedOn w:val="Normal"/>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rPr>
  </w:style>
  <w:style w:type="character" w:customStyle="1" w:styleId="UnresolvedMention1">
    <w:name w:val="Unresolved Mention1"/>
    <w:basedOn w:val="DefaultParagraphFont"/>
    <w:uiPriority w:val="99"/>
    <w:semiHidden/>
    <w:unhideWhenUsed/>
    <w:rsid w:val="00450E30"/>
    <w:rPr>
      <w:color w:val="808080"/>
      <w:shd w:val="clear" w:color="auto" w:fill="E6E6E6"/>
    </w:rPr>
  </w:style>
  <w:style w:type="paragraph" w:customStyle="1" w:styleId="Textkrper21">
    <w:name w:val="Textkörper 21"/>
    <w:basedOn w:val="Normal"/>
    <w:rsid w:val="00957DD2"/>
    <w:pPr>
      <w:widowControl w:val="0"/>
      <w:tabs>
        <w:tab w:val="left" w:pos="142"/>
        <w:tab w:val="left" w:pos="567"/>
        <w:tab w:val="left" w:pos="851"/>
        <w:tab w:val="left" w:pos="2835"/>
        <w:tab w:val="left" w:pos="5103"/>
        <w:tab w:val="left" w:pos="5954"/>
      </w:tabs>
      <w:suppressAutoHyphens w:val="0"/>
      <w:overflowPunct w:val="0"/>
      <w:autoSpaceDE w:val="0"/>
      <w:autoSpaceDN w:val="0"/>
      <w:adjustRightInd w:val="0"/>
      <w:spacing w:line="240" w:lineRule="auto"/>
      <w:ind w:left="1134"/>
      <w:jc w:val="both"/>
      <w:textAlignment w:val="baseline"/>
    </w:pPr>
    <w:rPr>
      <w:rFonts w:ascii="Arial" w:hAnsi="Arial"/>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1A120-10B2-4A60-8CAE-7968835F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Template>
  <TotalTime>20</TotalTime>
  <Pages>5</Pages>
  <Words>1481</Words>
  <Characters>8499</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ECE-TRANS-WP.15-AC.2-2018-XXf.doc</vt:lpstr>
      <vt:lpstr>ECE-TRANS-WP.15-AC.2-2018-XXf.doc</vt:lpstr>
    </vt:vector>
  </TitlesOfParts>
  <Company>CSD</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ECE-TRANS-WP.15-AC.2-2018-XXf.doc</dc:title>
  <dc:creator>UNECE</dc:creator>
  <cp:lastModifiedBy>Marie-Claude Collet</cp:lastModifiedBy>
  <cp:revision>6</cp:revision>
  <cp:lastPrinted>2019-01-08T09:51:00Z</cp:lastPrinted>
  <dcterms:created xsi:type="dcterms:W3CDTF">2019-01-08T09:42:00Z</dcterms:created>
  <dcterms:modified xsi:type="dcterms:W3CDTF">2019-01-09T10:04:00Z</dcterms:modified>
</cp:coreProperties>
</file>