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CF60D7" w:rsidRPr="00FF658F" w:rsidTr="00E04377">
        <w:trPr>
          <w:cantSplit/>
          <w:trHeight w:hRule="exact" w:val="851"/>
        </w:trPr>
        <w:tc>
          <w:tcPr>
            <w:tcW w:w="1276" w:type="dxa"/>
            <w:tcBorders>
              <w:bottom w:val="single" w:sz="4" w:space="0" w:color="auto"/>
            </w:tcBorders>
            <w:vAlign w:val="bottom"/>
          </w:tcPr>
          <w:p w:rsidR="00CF60D7" w:rsidRPr="00FF658F" w:rsidRDefault="00CF60D7" w:rsidP="00FF658F">
            <w:pPr>
              <w:rPr>
                <w:lang w:eastAsia="en-GB"/>
              </w:rPr>
            </w:pPr>
          </w:p>
        </w:tc>
        <w:tc>
          <w:tcPr>
            <w:tcW w:w="8363" w:type="dxa"/>
            <w:gridSpan w:val="2"/>
            <w:tcBorders>
              <w:bottom w:val="single" w:sz="4" w:space="0" w:color="auto"/>
            </w:tcBorders>
            <w:vAlign w:val="bottom"/>
          </w:tcPr>
          <w:p w:rsidR="00CF60D7" w:rsidRPr="00341908" w:rsidRDefault="00CF60D7" w:rsidP="00FF658F">
            <w:pPr>
              <w:jc w:val="right"/>
              <w:rPr>
                <w:lang w:eastAsia="en-GB"/>
              </w:rPr>
            </w:pPr>
            <w:r w:rsidRPr="00341908">
              <w:rPr>
                <w:b/>
                <w:sz w:val="40"/>
                <w:szCs w:val="40"/>
                <w:lang w:eastAsia="en-GB"/>
              </w:rPr>
              <w:t>INF.</w:t>
            </w:r>
            <w:r w:rsidR="00341908">
              <w:rPr>
                <w:b/>
                <w:sz w:val="40"/>
                <w:szCs w:val="40"/>
                <w:lang w:eastAsia="en-GB"/>
              </w:rPr>
              <w:t>19</w:t>
            </w:r>
          </w:p>
        </w:tc>
      </w:tr>
      <w:tr w:rsidR="00CF60D7" w:rsidRPr="00FF658F" w:rsidTr="004C2703">
        <w:trPr>
          <w:cantSplit/>
          <w:trHeight w:hRule="exact" w:val="3830"/>
        </w:trPr>
        <w:tc>
          <w:tcPr>
            <w:tcW w:w="6804" w:type="dxa"/>
            <w:gridSpan w:val="2"/>
            <w:tcBorders>
              <w:top w:val="single" w:sz="4" w:space="0" w:color="auto"/>
              <w:bottom w:val="single" w:sz="12" w:space="0" w:color="auto"/>
            </w:tcBorders>
          </w:tcPr>
          <w:p w:rsidR="00CF60D7" w:rsidRPr="00FF658F" w:rsidRDefault="00CF60D7" w:rsidP="00FF658F">
            <w:pPr>
              <w:spacing w:before="120"/>
              <w:rPr>
                <w:b/>
                <w:sz w:val="28"/>
                <w:szCs w:val="28"/>
                <w:lang w:eastAsia="en-GB"/>
              </w:rPr>
            </w:pPr>
            <w:r w:rsidRPr="00FF658F">
              <w:rPr>
                <w:b/>
                <w:bCs/>
                <w:sz w:val="28"/>
                <w:szCs w:val="28"/>
                <w:lang w:val="en-US" w:eastAsia="en-GB"/>
              </w:rPr>
              <w:t xml:space="preserve">Economic Commission for </w:t>
            </w:r>
            <w:smartTag w:uri="urn:schemas-microsoft-com:office:smarttags" w:element="place">
              <w:r w:rsidRPr="00FF658F">
                <w:rPr>
                  <w:b/>
                  <w:bCs/>
                  <w:sz w:val="28"/>
                  <w:szCs w:val="28"/>
                  <w:lang w:val="en-US" w:eastAsia="en-GB"/>
                </w:rPr>
                <w:t>Europe</w:t>
              </w:r>
            </w:smartTag>
          </w:p>
          <w:p w:rsidR="00CF60D7" w:rsidRPr="00FF658F" w:rsidRDefault="00CF60D7" w:rsidP="00FF658F">
            <w:pPr>
              <w:spacing w:before="120"/>
              <w:rPr>
                <w:sz w:val="28"/>
                <w:szCs w:val="28"/>
                <w:lang w:eastAsia="en-GB"/>
              </w:rPr>
            </w:pPr>
            <w:r w:rsidRPr="00FF658F">
              <w:rPr>
                <w:sz w:val="28"/>
                <w:szCs w:val="28"/>
                <w:lang w:val="en-US" w:eastAsia="en-GB"/>
              </w:rPr>
              <w:t>Inland Transport Committee</w:t>
            </w:r>
          </w:p>
          <w:p w:rsidR="00CF60D7" w:rsidRPr="00FF658F" w:rsidRDefault="00CF60D7" w:rsidP="00FF658F">
            <w:pPr>
              <w:spacing w:before="120"/>
              <w:rPr>
                <w:b/>
                <w:sz w:val="24"/>
                <w:szCs w:val="24"/>
                <w:lang w:eastAsia="en-GB"/>
              </w:rPr>
            </w:pPr>
            <w:r w:rsidRPr="00FF658F">
              <w:rPr>
                <w:b/>
                <w:sz w:val="24"/>
                <w:szCs w:val="24"/>
                <w:lang w:val="en-US" w:eastAsia="en-GB"/>
              </w:rPr>
              <w:t>Working Party on the Transport of Dangerous Goods</w:t>
            </w:r>
          </w:p>
          <w:p w:rsidR="00CF60D7" w:rsidRPr="00FF658F" w:rsidRDefault="00CF60D7" w:rsidP="00FF658F">
            <w:pPr>
              <w:spacing w:before="120"/>
              <w:rPr>
                <w:b/>
                <w:lang w:val="en-US" w:eastAsia="en-GB"/>
              </w:rPr>
            </w:pPr>
            <w:r w:rsidRPr="00FF658F">
              <w:rPr>
                <w:b/>
                <w:lang w:val="en-US" w:eastAsia="en-GB"/>
              </w:rPr>
              <w:t>Joint Meeting of Experts on the Regulations annexed to the</w:t>
            </w:r>
          </w:p>
          <w:p w:rsidR="00CF60D7" w:rsidRPr="00FF658F" w:rsidRDefault="00CF60D7" w:rsidP="00FF658F">
            <w:pPr>
              <w:rPr>
                <w:b/>
                <w:lang w:val="en-US" w:eastAsia="en-GB"/>
              </w:rPr>
            </w:pPr>
            <w:r w:rsidRPr="00FF658F">
              <w:rPr>
                <w:b/>
                <w:lang w:val="en-US" w:eastAsia="en-GB"/>
              </w:rPr>
              <w:t>European Agreement concerning the International Carriage</w:t>
            </w:r>
          </w:p>
          <w:p w:rsidR="00CF60D7" w:rsidRPr="00FF658F" w:rsidRDefault="00CF60D7" w:rsidP="00FF658F">
            <w:pPr>
              <w:rPr>
                <w:b/>
                <w:lang w:eastAsia="en-GB"/>
              </w:rPr>
            </w:pPr>
            <w:r w:rsidRPr="00FF658F">
              <w:rPr>
                <w:b/>
                <w:lang w:val="en-US" w:eastAsia="en-GB"/>
              </w:rPr>
              <w:t>of Dangerous Goods by Inland Waterways (ADN)</w:t>
            </w:r>
          </w:p>
          <w:p w:rsidR="00CF60D7" w:rsidRPr="00FF658F" w:rsidRDefault="00CF60D7" w:rsidP="00FF658F">
            <w:pPr>
              <w:spacing w:before="120"/>
              <w:rPr>
                <w:b/>
                <w:lang w:val="en-US" w:eastAsia="en-GB"/>
              </w:rPr>
            </w:pPr>
            <w:r>
              <w:rPr>
                <w:b/>
                <w:lang w:val="en-US" w:eastAsia="en-GB"/>
              </w:rPr>
              <w:t>Thirty-fourth</w:t>
            </w:r>
            <w:r w:rsidRPr="00FF658F">
              <w:rPr>
                <w:b/>
                <w:lang w:val="en-US" w:eastAsia="en-GB"/>
              </w:rPr>
              <w:t xml:space="preserve"> session</w:t>
            </w:r>
          </w:p>
          <w:p w:rsidR="00CF60D7" w:rsidRPr="00FF658F" w:rsidRDefault="00CF60D7" w:rsidP="00FF658F">
            <w:pPr>
              <w:rPr>
                <w:lang w:eastAsia="en-GB"/>
              </w:rPr>
            </w:pPr>
            <w:smartTag w:uri="urn:schemas-microsoft-com:office:smarttags" w:element="City">
              <w:smartTag w:uri="urn:schemas-microsoft-com:office:smarttags" w:element="place">
                <w:r>
                  <w:rPr>
                    <w:lang w:val="en-US" w:eastAsia="en-GB"/>
                  </w:rPr>
                  <w:t>Geneva</w:t>
                </w:r>
              </w:smartTag>
            </w:smartTag>
            <w:r>
              <w:rPr>
                <w:lang w:val="en-US" w:eastAsia="en-GB"/>
              </w:rPr>
              <w:t>, 21-25 January 2019</w:t>
            </w:r>
          </w:p>
          <w:p w:rsidR="00CF60D7" w:rsidRPr="00FF658F" w:rsidRDefault="00CF60D7" w:rsidP="00FF658F">
            <w:pPr>
              <w:rPr>
                <w:lang w:eastAsia="en-GB"/>
              </w:rPr>
            </w:pPr>
            <w:r w:rsidRPr="00FF658F">
              <w:rPr>
                <w:lang w:eastAsia="en-GB"/>
              </w:rPr>
              <w:t xml:space="preserve">Item </w:t>
            </w:r>
            <w:r>
              <w:rPr>
                <w:lang w:eastAsia="en-GB"/>
              </w:rPr>
              <w:t>4 (c)</w:t>
            </w:r>
            <w:r w:rsidRPr="00FF658F">
              <w:rPr>
                <w:lang w:eastAsia="en-GB"/>
              </w:rPr>
              <w:t xml:space="preserve"> of the provisional agenda</w:t>
            </w:r>
          </w:p>
          <w:p w:rsidR="00CF60D7" w:rsidRPr="004C2703" w:rsidRDefault="00CF60D7" w:rsidP="00FF658F">
            <w:pPr>
              <w:rPr>
                <w:b/>
                <w:bCs/>
              </w:rPr>
            </w:pPr>
            <w:r w:rsidRPr="004C2703">
              <w:rPr>
                <w:b/>
                <w:bCs/>
              </w:rPr>
              <w:t xml:space="preserve">Implementation of the European Agreement concerning the International </w:t>
            </w:r>
            <w:r w:rsidRPr="004C2703">
              <w:rPr>
                <w:b/>
                <w:bCs/>
              </w:rPr>
              <w:br/>
              <w:t>Carriage of Dangerous Goods by Inland Waterways (ADN):</w:t>
            </w:r>
          </w:p>
          <w:p w:rsidR="00CF60D7" w:rsidRPr="00FF658F" w:rsidRDefault="00880FF6" w:rsidP="00FF658F">
            <w:pPr>
              <w:rPr>
                <w:b/>
                <w:lang w:eastAsia="en-GB"/>
              </w:rPr>
            </w:pPr>
            <w:r>
              <w:rPr>
                <w:b/>
                <w:bCs/>
              </w:rPr>
              <w:t>i</w:t>
            </w:r>
            <w:r w:rsidR="00CF60D7" w:rsidRPr="004C2703">
              <w:rPr>
                <w:b/>
                <w:bCs/>
              </w:rPr>
              <w:t>nterpretation of</w:t>
            </w:r>
            <w:r w:rsidR="00CF60D7">
              <w:rPr>
                <w:b/>
                <w:bCs/>
              </w:rPr>
              <w:t xml:space="preserve"> the Regulations annexed to ADN</w:t>
            </w:r>
          </w:p>
        </w:tc>
        <w:tc>
          <w:tcPr>
            <w:tcW w:w="2835" w:type="dxa"/>
            <w:tcBorders>
              <w:top w:val="single" w:sz="4" w:space="0" w:color="auto"/>
              <w:bottom w:val="single" w:sz="12" w:space="0" w:color="auto"/>
            </w:tcBorders>
          </w:tcPr>
          <w:p w:rsidR="00CF60D7" w:rsidRPr="00FF658F" w:rsidRDefault="00CF60D7" w:rsidP="00FF658F">
            <w:pPr>
              <w:spacing w:before="120"/>
              <w:rPr>
                <w:lang w:eastAsia="en-GB"/>
              </w:rPr>
            </w:pPr>
          </w:p>
          <w:p w:rsidR="009D74C5" w:rsidRDefault="009D74C5" w:rsidP="008C1A64">
            <w:pPr>
              <w:spacing w:before="120"/>
              <w:rPr>
                <w:bCs/>
              </w:rPr>
            </w:pPr>
            <w:r>
              <w:rPr>
                <w:bCs/>
              </w:rPr>
              <w:t>1</w:t>
            </w:r>
            <w:r w:rsidR="008C1A64">
              <w:rPr>
                <w:bCs/>
              </w:rPr>
              <w:t>7</w:t>
            </w:r>
            <w:r w:rsidR="00880FF6">
              <w:rPr>
                <w:bCs/>
              </w:rPr>
              <w:t xml:space="preserve"> January</w:t>
            </w:r>
            <w:r>
              <w:rPr>
                <w:bCs/>
              </w:rPr>
              <w:t xml:space="preserve"> </w:t>
            </w:r>
            <w:r w:rsidRPr="00C63A23">
              <w:rPr>
                <w:bCs/>
              </w:rPr>
              <w:t>201</w:t>
            </w:r>
            <w:r>
              <w:rPr>
                <w:bCs/>
              </w:rPr>
              <w:t>9</w:t>
            </w:r>
          </w:p>
          <w:p w:rsidR="00CF60D7" w:rsidRPr="00FF658F" w:rsidRDefault="00CF60D7" w:rsidP="009D74C5">
            <w:pPr>
              <w:spacing w:before="120"/>
              <w:rPr>
                <w:lang w:eastAsia="en-GB"/>
              </w:rPr>
            </w:pPr>
          </w:p>
        </w:tc>
      </w:tr>
    </w:tbl>
    <w:p w:rsidR="00CF60D7" w:rsidRPr="00FF658F" w:rsidRDefault="00CF60D7" w:rsidP="003742F9">
      <w:pPr>
        <w:pStyle w:val="HChG"/>
        <w:rPr>
          <w:lang w:val="en-US" w:eastAsia="en-GB"/>
        </w:rPr>
      </w:pPr>
      <w:r w:rsidRPr="00FF658F">
        <w:rPr>
          <w:lang w:val="en-US" w:eastAsia="en-GB"/>
        </w:rPr>
        <w:tab/>
      </w:r>
      <w:r w:rsidRPr="00FF658F">
        <w:rPr>
          <w:lang w:val="en-US" w:eastAsia="en-GB"/>
        </w:rPr>
        <w:tab/>
      </w:r>
      <w:r w:rsidR="003742F9">
        <w:rPr>
          <w:lang w:val="en-US" w:eastAsia="en-GB"/>
        </w:rPr>
        <w:t>Miscellaneous interpretations and clarifications</w:t>
      </w:r>
    </w:p>
    <w:p w:rsidR="00CF60D7" w:rsidRPr="00FF658F" w:rsidRDefault="00CF60D7" w:rsidP="003742F9">
      <w:pPr>
        <w:pStyle w:val="H1G"/>
        <w:rPr>
          <w:lang w:val="en-US" w:eastAsia="en-GB"/>
        </w:rPr>
      </w:pPr>
      <w:r w:rsidRPr="00FF658F">
        <w:rPr>
          <w:szCs w:val="24"/>
          <w:lang w:val="en-US" w:eastAsia="en-GB"/>
        </w:rPr>
        <w:tab/>
      </w:r>
      <w:r w:rsidRPr="00FF658F">
        <w:rPr>
          <w:szCs w:val="24"/>
          <w:lang w:val="en-US" w:eastAsia="en-GB"/>
        </w:rPr>
        <w:tab/>
      </w:r>
      <w:r w:rsidRPr="00FF658F">
        <w:rPr>
          <w:lang w:val="en-US" w:eastAsia="en-GB"/>
        </w:rPr>
        <w:t>Transmitted by the Government of</w:t>
      </w:r>
      <w:r>
        <w:rPr>
          <w:lang w:val="en-US" w:eastAsia="en-GB"/>
        </w:rPr>
        <w:t xml:space="preserve"> </w:t>
      </w:r>
      <w:smartTag w:uri="urn:schemas-microsoft-com:office:smarttags" w:element="country-region">
        <w:smartTag w:uri="urn:schemas-microsoft-com:office:smarttags" w:element="place">
          <w:r w:rsidR="003742F9">
            <w:rPr>
              <w:lang w:val="en-US" w:eastAsia="en-GB"/>
            </w:rPr>
            <w:t>France</w:t>
          </w:r>
        </w:smartTag>
      </w:smartTag>
    </w:p>
    <w:p w:rsidR="00CF60D7" w:rsidRPr="00F54DC9" w:rsidRDefault="00CF60D7" w:rsidP="003A5577">
      <w:pPr>
        <w:pStyle w:val="HChG"/>
      </w:pPr>
      <w:r w:rsidRPr="009D74C5">
        <w:rPr>
          <w:lang w:val="en-GB"/>
        </w:rPr>
        <w:tab/>
      </w:r>
      <w:r w:rsidRPr="009D74C5">
        <w:rPr>
          <w:lang w:val="en-GB"/>
        </w:rPr>
        <w:tab/>
      </w:r>
      <w:r w:rsidRPr="009D74C5">
        <w:rPr>
          <w:lang w:val="en-GB"/>
        </w:rPr>
        <w:tab/>
      </w:r>
      <w:r w:rsidR="003A5577" w:rsidRPr="00F54DC9">
        <w:t>Security issues</w:t>
      </w:r>
      <w:r w:rsidR="00F54DC9" w:rsidRPr="00F54DC9">
        <w:t xml:space="preserve"> / </w:t>
      </w:r>
      <w:r w:rsidR="00F54DC9" w:rsidRPr="008F6B16">
        <w:rPr>
          <w:i/>
          <w:iCs/>
        </w:rPr>
        <w:t>Sujets relatifs à la sûreté</w:t>
      </w:r>
    </w:p>
    <w:p w:rsidR="003742F9" w:rsidRDefault="00CF60D7" w:rsidP="00A0007C">
      <w:pPr>
        <w:pStyle w:val="SingleTxtG"/>
      </w:pPr>
      <w:r>
        <w:t>1.</w:t>
      </w:r>
      <w:r>
        <w:tab/>
      </w:r>
      <w:r w:rsidR="00AB22C1">
        <w:t xml:space="preserve">When considering the different modal regulations related to the transport of dangerous goods, </w:t>
      </w:r>
      <w:r w:rsidR="002228F1">
        <w:t xml:space="preserve">it appears that the security </w:t>
      </w:r>
      <w:r w:rsidR="003A5577">
        <w:t xml:space="preserve">training </w:t>
      </w:r>
      <w:r w:rsidR="002228F1">
        <w:t>provisions related to</w:t>
      </w:r>
      <w:r w:rsidR="00A0007C">
        <w:t xml:space="preserve">, in one hand </w:t>
      </w:r>
      <w:r w:rsidR="002228F1">
        <w:t>UN 2908 and UN 2909 excepted packages</w:t>
      </w:r>
      <w:r w:rsidR="00A0007C">
        <w:t xml:space="preserve">, </w:t>
      </w:r>
      <w:r w:rsidR="002228F1">
        <w:t xml:space="preserve">and </w:t>
      </w:r>
      <w:r w:rsidR="00A0007C">
        <w:t xml:space="preserve">in the other hand </w:t>
      </w:r>
      <w:r w:rsidR="002228F1" w:rsidRPr="002228F1">
        <w:t>UN 2910 and UN 2911 excepted packages with an activity level not exceeding the A2 value</w:t>
      </w:r>
      <w:r w:rsidR="00A0007C">
        <w:t>,</w:t>
      </w:r>
      <w:r w:rsidR="002228F1">
        <w:t xml:space="preserve"> do not apply:</w:t>
      </w:r>
    </w:p>
    <w:p w:rsidR="002228F1" w:rsidRDefault="002228F1" w:rsidP="002228F1">
      <w:pPr>
        <w:pStyle w:val="SingleTxtG"/>
        <w:numPr>
          <w:ilvl w:val="0"/>
          <w:numId w:val="10"/>
        </w:numPr>
      </w:pPr>
      <w:r>
        <w:t>In the frame of the UN Recommendations (Orange Bo</w:t>
      </w:r>
      <w:r w:rsidR="00880FF6">
        <w:t>ok): refer to in 1.4.1.4 a) and </w:t>
      </w:r>
      <w:r>
        <w:t>b);</w:t>
      </w:r>
    </w:p>
    <w:p w:rsidR="002228F1" w:rsidRDefault="002228F1" w:rsidP="00F54DC9">
      <w:pPr>
        <w:pStyle w:val="SingleTxtG"/>
        <w:numPr>
          <w:ilvl w:val="0"/>
          <w:numId w:val="10"/>
        </w:numPr>
      </w:pPr>
      <w:r>
        <w:t xml:space="preserve">In the frame of the IMDG Code: refer to in </w:t>
      </w:r>
      <w:r w:rsidR="00BA6AE4">
        <w:t>1.4.</w:t>
      </w:r>
      <w:r w:rsidR="00F54DC9">
        <w:t>0</w:t>
      </w:r>
      <w:r w:rsidR="00BA6AE4">
        <w:t>.2.1 and 1.4.0.2.2;</w:t>
      </w:r>
    </w:p>
    <w:p w:rsidR="00BA6AE4" w:rsidRDefault="00BA6AE4" w:rsidP="003A5577">
      <w:pPr>
        <w:pStyle w:val="SingleTxtG"/>
        <w:numPr>
          <w:ilvl w:val="0"/>
          <w:numId w:val="10"/>
        </w:numPr>
      </w:pPr>
      <w:r>
        <w:t>In the frame of ADR and RID</w:t>
      </w:r>
      <w:r w:rsidR="003A5577">
        <w:t>, such an exemption also applies, according to ADR 1.10.4 and RID 1.10.4</w:t>
      </w:r>
      <w:r w:rsidR="00F54DC9">
        <w:t>,</w:t>
      </w:r>
      <w:r w:rsidR="003A5577">
        <w:t xml:space="preserve"> associated respectively to ADR 1.1.3.6.3 and RID 1.1.3.6.3.</w:t>
      </w:r>
    </w:p>
    <w:p w:rsidR="003742F9" w:rsidRPr="00F54DC9" w:rsidRDefault="00A0007C" w:rsidP="00F54DC9">
      <w:pPr>
        <w:pStyle w:val="SingleTxtG"/>
        <w:rPr>
          <w:i/>
          <w:iCs/>
          <w:lang w:val="fr-FR"/>
        </w:rPr>
      </w:pPr>
      <w:r w:rsidRPr="00F54DC9">
        <w:rPr>
          <w:i/>
          <w:iCs/>
          <w:lang w:val="fr-FR"/>
        </w:rPr>
        <w:t>Lorsqu’on examine les différents règlements relatifs au transport des marchandises dangereuses, il apparaît que les dispositions relatives à la formation en matière de sûreté concernant</w:t>
      </w:r>
      <w:r w:rsidR="00F54DC9" w:rsidRPr="00F54DC9">
        <w:rPr>
          <w:i/>
          <w:iCs/>
          <w:lang w:val="fr-FR"/>
        </w:rPr>
        <w:t>, d’une part les colis exceptés portant les Nos ONU 2908 et 2909, et d’autre part les colis exceptés portant les Nos ONU 2910 et 2911 avec un niveau d’activité ne dépassant pas la valeur A2, ne s’appliquent pas :</w:t>
      </w:r>
    </w:p>
    <w:p w:rsidR="00F54DC9" w:rsidRPr="00F54DC9" w:rsidRDefault="00F54DC9" w:rsidP="00F54DC9">
      <w:pPr>
        <w:pStyle w:val="SingleTxtG"/>
        <w:numPr>
          <w:ilvl w:val="0"/>
          <w:numId w:val="11"/>
        </w:numPr>
        <w:rPr>
          <w:i/>
          <w:iCs/>
          <w:lang w:val="fr-FR"/>
        </w:rPr>
      </w:pPr>
      <w:r w:rsidRPr="00F54DC9">
        <w:rPr>
          <w:i/>
          <w:iCs/>
          <w:lang w:val="fr-FR"/>
        </w:rPr>
        <w:t>Pour ce qui est des Recommandations de l’ONU (Livre Orange) : voir les 1.4.1.4 a) et b) ;</w:t>
      </w:r>
    </w:p>
    <w:p w:rsidR="00F54DC9" w:rsidRPr="00F54DC9" w:rsidRDefault="00F54DC9" w:rsidP="00F54DC9">
      <w:pPr>
        <w:pStyle w:val="SingleTxtG"/>
        <w:numPr>
          <w:ilvl w:val="0"/>
          <w:numId w:val="11"/>
        </w:numPr>
        <w:rPr>
          <w:i/>
          <w:iCs/>
          <w:lang w:val="fr-FR"/>
        </w:rPr>
      </w:pPr>
      <w:r w:rsidRPr="00F54DC9">
        <w:rPr>
          <w:i/>
          <w:iCs/>
          <w:lang w:val="fr-FR"/>
        </w:rPr>
        <w:t>Pour ce qui est du Code IMDG : voir les 1.4.0.2.1 et 1.4.0.2.2 ;</w:t>
      </w:r>
    </w:p>
    <w:p w:rsidR="00F54DC9" w:rsidRPr="00F54DC9" w:rsidRDefault="00F54DC9" w:rsidP="00F54DC9">
      <w:pPr>
        <w:pStyle w:val="SingleTxtG"/>
        <w:numPr>
          <w:ilvl w:val="0"/>
          <w:numId w:val="11"/>
        </w:numPr>
        <w:rPr>
          <w:i/>
          <w:iCs/>
          <w:lang w:val="fr-FR"/>
        </w:rPr>
      </w:pPr>
      <w:r w:rsidRPr="00F54DC9">
        <w:rPr>
          <w:i/>
          <w:iCs/>
          <w:lang w:val="fr-FR"/>
        </w:rPr>
        <w:t>Pour ce qui est de l’ADR et du RID, une telle exemption est également applicable selon le 1.10.4 de l’ADR ou du RID, respectivement associés au 1.1.3.6.3 de l’ADR ou du RID.</w:t>
      </w:r>
    </w:p>
    <w:p w:rsidR="003A5577" w:rsidRDefault="00CF60D7" w:rsidP="00F54DC9">
      <w:pPr>
        <w:pStyle w:val="SingleTxtG"/>
      </w:pPr>
      <w:r>
        <w:t>2.</w:t>
      </w:r>
      <w:r>
        <w:tab/>
      </w:r>
      <w:r w:rsidR="003A5577">
        <w:t xml:space="preserve">These exemptions to the security training provisions </w:t>
      </w:r>
      <w:r w:rsidR="00F54DC9">
        <w:t>do</w:t>
      </w:r>
      <w:r w:rsidR="003A5577">
        <w:t xml:space="preserve"> </w:t>
      </w:r>
      <w:r w:rsidR="00A0007C">
        <w:t xml:space="preserve">not </w:t>
      </w:r>
      <w:r w:rsidR="00F54DC9">
        <w:t>exist</w:t>
      </w:r>
      <w:r w:rsidR="00A0007C">
        <w:t xml:space="preserve"> in ADN Chapter 1.10; it might be </w:t>
      </w:r>
      <w:proofErr w:type="gramStart"/>
      <w:r w:rsidR="00A0007C">
        <w:t>due to the fact that</w:t>
      </w:r>
      <w:proofErr w:type="gramEnd"/>
      <w:r w:rsidR="00A0007C">
        <w:t xml:space="preserve"> there is no 1.1.3.6.3 in ADN.</w:t>
      </w:r>
    </w:p>
    <w:p w:rsidR="003A5577" w:rsidRPr="00F54DC9" w:rsidRDefault="00F54DC9" w:rsidP="00F54DC9">
      <w:pPr>
        <w:pStyle w:val="SingleTxtG"/>
        <w:rPr>
          <w:i/>
          <w:iCs/>
          <w:lang w:val="fr-FR"/>
        </w:rPr>
      </w:pPr>
      <w:r w:rsidRPr="00F54DC9">
        <w:rPr>
          <w:i/>
          <w:iCs/>
          <w:lang w:val="fr-FR"/>
        </w:rPr>
        <w:lastRenderedPageBreak/>
        <w:t xml:space="preserve">De telles exemptions aux dispositions de formation en matière de sûreté n’existent pas dans le Chapitre 1.10 de l’ADN ; ceci pourrait être dû au fait qu’il n’y a pas de 1.1.3.6.3 dans l’ADN. </w:t>
      </w:r>
    </w:p>
    <w:p w:rsidR="00A0007C" w:rsidRPr="00A0007C" w:rsidRDefault="00CF60D7" w:rsidP="00F54DC9">
      <w:pPr>
        <w:pStyle w:val="SingleTxtG"/>
      </w:pPr>
      <w:r>
        <w:t>3.</w:t>
      </w:r>
      <w:r>
        <w:tab/>
      </w:r>
      <w:r w:rsidR="00A0007C" w:rsidRPr="00A0007C">
        <w:t xml:space="preserve">The </w:t>
      </w:r>
      <w:r w:rsidR="00A0007C">
        <w:t>French</w:t>
      </w:r>
      <w:r w:rsidR="00A0007C" w:rsidRPr="00A0007C">
        <w:t xml:space="preserve"> delegation </w:t>
      </w:r>
      <w:r w:rsidR="00A0007C">
        <w:t>would be</w:t>
      </w:r>
      <w:r w:rsidR="00A0007C" w:rsidRPr="00A0007C">
        <w:t xml:space="preserve"> interested to </w:t>
      </w:r>
      <w:r w:rsidR="00F54DC9">
        <w:t>know,</w:t>
      </w:r>
      <w:r w:rsidR="00A0007C" w:rsidRPr="00A0007C">
        <w:t xml:space="preserve"> from </w:t>
      </w:r>
      <w:r w:rsidR="00A0007C">
        <w:t xml:space="preserve">the Secretariat and/or </w:t>
      </w:r>
      <w:r w:rsidR="00A0007C" w:rsidRPr="00A0007C">
        <w:t>the other delegations</w:t>
      </w:r>
      <w:r w:rsidR="00F54DC9">
        <w:t>,</w:t>
      </w:r>
      <w:r w:rsidR="00A0007C" w:rsidRPr="00A0007C">
        <w:t xml:space="preserve"> whether </w:t>
      </w:r>
      <w:r w:rsidR="00A0007C">
        <w:t>this situation results from a voluntary decision for ADN or whether this is an “historical” omission.</w:t>
      </w:r>
    </w:p>
    <w:p w:rsidR="003A5577" w:rsidRPr="004E1E81" w:rsidRDefault="00F54DC9" w:rsidP="00D74675">
      <w:pPr>
        <w:pStyle w:val="SingleTxtG"/>
        <w:rPr>
          <w:i/>
          <w:iCs/>
          <w:lang w:val="fr-FR"/>
        </w:rPr>
      </w:pPr>
      <w:r w:rsidRPr="004E1E81">
        <w:rPr>
          <w:i/>
          <w:iCs/>
          <w:lang w:val="fr-FR"/>
        </w:rPr>
        <w:t xml:space="preserve">La délégation française serait intéressée </w:t>
      </w:r>
      <w:r w:rsidR="00D74675">
        <w:rPr>
          <w:i/>
          <w:iCs/>
          <w:lang w:val="fr-FR"/>
        </w:rPr>
        <w:t>que</w:t>
      </w:r>
      <w:r w:rsidRPr="004E1E81">
        <w:rPr>
          <w:i/>
          <w:iCs/>
          <w:lang w:val="fr-FR"/>
        </w:rPr>
        <w:t xml:space="preserve"> le Secrétariat et/ou d’autres délégations, </w:t>
      </w:r>
      <w:r w:rsidR="00D74675">
        <w:rPr>
          <w:i/>
          <w:iCs/>
          <w:lang w:val="fr-FR"/>
        </w:rPr>
        <w:t xml:space="preserve">puisse indiquer </w:t>
      </w:r>
      <w:r w:rsidRPr="004E1E81">
        <w:rPr>
          <w:i/>
          <w:iCs/>
          <w:lang w:val="fr-FR"/>
        </w:rPr>
        <w:t>si cette situation résulte d’une décision volontaire pour l’ADN ou s’il s’agit d’un oubli "historique".</w:t>
      </w:r>
    </w:p>
    <w:p w:rsidR="00CF60D7" w:rsidRPr="00880FF6" w:rsidRDefault="00CF60D7" w:rsidP="00880FF6">
      <w:pPr>
        <w:pStyle w:val="HChG"/>
      </w:pPr>
      <w:r w:rsidRPr="00880FF6">
        <w:tab/>
      </w:r>
      <w:r w:rsidRPr="00880FF6">
        <w:tab/>
      </w:r>
      <w:r w:rsidRPr="00880FF6">
        <w:tab/>
      </w:r>
      <w:r w:rsidR="00D74675" w:rsidRPr="00880FF6">
        <w:t xml:space="preserve">Clarification for </w:t>
      </w:r>
      <w:proofErr w:type="spellStart"/>
      <w:r w:rsidR="00D74675" w:rsidRPr="00880FF6">
        <w:t>both</w:t>
      </w:r>
      <w:proofErr w:type="spellEnd"/>
      <w:r w:rsidR="00D74675" w:rsidRPr="00880FF6">
        <w:t xml:space="preserve"> ADN 5.3.2.1.4 and RID 5.3.2.1.1 / </w:t>
      </w:r>
      <w:r w:rsidR="00D74675" w:rsidRPr="008F6B16">
        <w:rPr>
          <w:i/>
          <w:iCs/>
        </w:rPr>
        <w:t>Clarification pour l’ensemble constitué du 5.3.2.1.4 de l’ADN et du 5.3.2.1.1 du RID</w:t>
      </w:r>
    </w:p>
    <w:p w:rsidR="00D74675" w:rsidRDefault="00CF60D7" w:rsidP="0028146F">
      <w:pPr>
        <w:pStyle w:val="SingleTxtG"/>
      </w:pPr>
      <w:r w:rsidRPr="00203E4D">
        <w:t>4.</w:t>
      </w:r>
      <w:r w:rsidRPr="00203E4D">
        <w:tab/>
      </w:r>
      <w:r w:rsidR="0028146F">
        <w:t>In ADN 5.3.2.1.4, we can find the following provision:</w:t>
      </w:r>
    </w:p>
    <w:p w:rsidR="00F04967" w:rsidRDefault="0028146F" w:rsidP="003B57B3">
      <w:pPr>
        <w:pStyle w:val="SingleTxtG"/>
        <w:ind w:left="1701"/>
      </w:pPr>
      <w:r>
        <w:t>“</w:t>
      </w:r>
      <w:r w:rsidR="00F04967" w:rsidRPr="00F04967">
        <w:t>When a hazard identification number is indicated in Column (20) of Table A of Chapter 3.2</w:t>
      </w:r>
      <w:r w:rsidR="00F04967">
        <w:t xml:space="preserve"> </w:t>
      </w:r>
      <w:r w:rsidR="00F04967" w:rsidRPr="00F04967">
        <w:t>of ADR, vehicles, containers and bulk containers carrying unpackaged solids or articles or</w:t>
      </w:r>
      <w:r w:rsidR="00F04967">
        <w:t xml:space="preserve"> </w:t>
      </w:r>
      <w:r w:rsidR="00F04967" w:rsidRPr="00F04967">
        <w:t>packaged radioactive material with a single UN number required to be carried under</w:t>
      </w:r>
      <w:r w:rsidR="00F04967">
        <w:t xml:space="preserve"> </w:t>
      </w:r>
      <w:r w:rsidR="00F04967" w:rsidRPr="00F04967">
        <w:t xml:space="preserve">exclusive use and no other dangerous goods </w:t>
      </w:r>
      <w:r w:rsidR="00F04967" w:rsidRPr="00F04967">
        <w:rPr>
          <w:b/>
          <w:bCs/>
          <w:u w:val="single"/>
        </w:rPr>
        <w:t>shall in addition display on the sides of each vehicle, container or bulk container</w:t>
      </w:r>
      <w:r w:rsidR="00F04967" w:rsidRPr="00F04967">
        <w:t>, clearly visible and parallel to the longitudinal axis of the</w:t>
      </w:r>
      <w:r w:rsidR="00F04967">
        <w:t xml:space="preserve"> </w:t>
      </w:r>
      <w:r w:rsidR="00F04967" w:rsidRPr="00F04967">
        <w:t>vehicle, orange-coloured plates identical with those prescribed in 5.3.2.1.1</w:t>
      </w:r>
      <w:r w:rsidR="00F04967">
        <w:t>.</w:t>
      </w:r>
    </w:p>
    <w:p w:rsidR="00F04967" w:rsidRPr="00F04967" w:rsidRDefault="00F04967" w:rsidP="003B57B3">
      <w:pPr>
        <w:pStyle w:val="SingleTxtG"/>
        <w:ind w:left="1701"/>
      </w:pPr>
      <w:r w:rsidRPr="00F04967">
        <w:t>.</w:t>
      </w:r>
      <w:r>
        <w:t>…</w:t>
      </w:r>
    </w:p>
    <w:p w:rsidR="0028146F" w:rsidRDefault="0028146F" w:rsidP="003B57B3">
      <w:pPr>
        <w:pStyle w:val="SingleTxtG"/>
        <w:ind w:left="1701"/>
      </w:pPr>
      <w:r w:rsidRPr="0028146F">
        <w:t xml:space="preserve">The provisions of this paragraph are also applicable to wagons for carriage in bulk </w:t>
      </w:r>
      <w:r w:rsidRPr="0028146F">
        <w:rPr>
          <w:b/>
          <w:bCs/>
          <w:u w:val="single"/>
        </w:rPr>
        <w:t>and full wagon loads comprising packages containing only one substance</w:t>
      </w:r>
      <w:r w:rsidRPr="0028146F">
        <w:t>. In the latter case the</w:t>
      </w:r>
      <w:r>
        <w:t xml:space="preserve"> </w:t>
      </w:r>
      <w:r w:rsidRPr="0028146F">
        <w:t>hazard identification number to be used is that indicated in Column (20) of Table A of</w:t>
      </w:r>
      <w:r>
        <w:t xml:space="preserve"> </w:t>
      </w:r>
      <w:r w:rsidRPr="0028146F">
        <w:t>Chapter 3.2 of RID.</w:t>
      </w:r>
      <w:r>
        <w:t>”</w:t>
      </w:r>
    </w:p>
    <w:p w:rsidR="00D74675" w:rsidRDefault="008F6B16" w:rsidP="00F04967">
      <w:pPr>
        <w:pStyle w:val="SingleTxtG"/>
      </w:pPr>
      <w:r>
        <w:t>5.</w:t>
      </w:r>
      <w:r>
        <w:tab/>
      </w:r>
      <w:r w:rsidR="00F04967">
        <w:t>In the same time, t</w:t>
      </w:r>
      <w:r w:rsidR="0028146F">
        <w:t xml:space="preserve">he equivalent provision, in RID 5.3.2.1.1, </w:t>
      </w:r>
      <w:r w:rsidR="00F04967">
        <w:t>is worded as follows:</w:t>
      </w:r>
    </w:p>
    <w:p w:rsidR="003B57B3" w:rsidRPr="003B57B3" w:rsidRDefault="003B57B3" w:rsidP="003B57B3">
      <w:pPr>
        <w:pStyle w:val="SingleTxtG"/>
        <w:ind w:left="1701"/>
      </w:pPr>
      <w:r>
        <w:t>“</w:t>
      </w:r>
      <w:r w:rsidRPr="003B57B3">
        <w:t xml:space="preserve">A rectangular, orange-coloured plate conforming to 5.3.2.2.1, and </w:t>
      </w:r>
      <w:proofErr w:type="gramStart"/>
      <w:r w:rsidRPr="003B57B3">
        <w:t>so as to</w:t>
      </w:r>
      <w:proofErr w:type="gramEnd"/>
      <w:r w:rsidRPr="003B57B3">
        <w:t xml:space="preserve"> be clearly </w:t>
      </w:r>
      <w:bookmarkStart w:id="0" w:name="_GoBack"/>
      <w:bookmarkEnd w:id="0"/>
      <w:r w:rsidRPr="003B57B3">
        <w:t xml:space="preserve">visible, shall be affixed on each side of a </w:t>
      </w:r>
    </w:p>
    <w:p w:rsidR="003B57B3" w:rsidRPr="003B57B3" w:rsidRDefault="003B57B3" w:rsidP="003B57B3">
      <w:pPr>
        <w:pStyle w:val="SingleTxtG"/>
        <w:ind w:left="1701"/>
      </w:pPr>
      <w:r>
        <w:t>…</w:t>
      </w:r>
    </w:p>
    <w:p w:rsidR="003B57B3" w:rsidRDefault="003B57B3" w:rsidP="003B57B3">
      <w:pPr>
        <w:pStyle w:val="SingleTxtG"/>
        <w:ind w:left="1701"/>
      </w:pPr>
      <w:r w:rsidRPr="003B57B3">
        <w:t>used for the carriage of goods for which a hazard identification number is given in column (20) of Table A of Chapter 3.2.</w:t>
      </w:r>
    </w:p>
    <w:p w:rsidR="007D2745" w:rsidRDefault="007D2745" w:rsidP="003B57B3">
      <w:pPr>
        <w:pStyle w:val="SingleTxtG"/>
        <w:ind w:left="1701"/>
      </w:pPr>
      <w:r>
        <w:t>…</w:t>
      </w:r>
    </w:p>
    <w:p w:rsidR="00F04967" w:rsidRDefault="00F04967" w:rsidP="003B57B3">
      <w:pPr>
        <w:pStyle w:val="SingleTxtG"/>
        <w:ind w:left="1701"/>
      </w:pPr>
      <w:r w:rsidRPr="003B57B3">
        <w:t xml:space="preserve">This plate </w:t>
      </w:r>
      <w:r w:rsidRPr="003B57B3">
        <w:rPr>
          <w:b/>
          <w:bCs/>
          <w:u w:val="single"/>
        </w:rPr>
        <w:t>may also be affixed</w:t>
      </w:r>
      <w:r w:rsidRPr="003B57B3">
        <w:t xml:space="preserve"> on both sides of full loads made up of packages containing one and the same substance or article.</w:t>
      </w:r>
      <w:r>
        <w:t>”</w:t>
      </w:r>
    </w:p>
    <w:p w:rsidR="00D74675" w:rsidRPr="007D2745" w:rsidRDefault="008F6B16" w:rsidP="00243CAE">
      <w:pPr>
        <w:pStyle w:val="SingleTxtG"/>
        <w:rPr>
          <w:i/>
          <w:iCs/>
          <w:lang w:val="fr-FR"/>
        </w:rPr>
      </w:pPr>
      <w:r w:rsidRPr="00900C38">
        <w:rPr>
          <w:i/>
          <w:iCs/>
        </w:rPr>
        <w:tab/>
      </w:r>
      <w:r w:rsidRPr="00900C38">
        <w:rPr>
          <w:i/>
          <w:iCs/>
        </w:rPr>
        <w:tab/>
      </w:r>
      <w:r w:rsidR="003B57B3" w:rsidRPr="007D2745">
        <w:rPr>
          <w:i/>
          <w:iCs/>
          <w:lang w:val="fr-FR"/>
        </w:rPr>
        <w:t>Au 5.3.2.1.4 de l’ADN, on trouve la disposition suivante :</w:t>
      </w:r>
    </w:p>
    <w:p w:rsidR="003B57B3" w:rsidRPr="007D2745" w:rsidRDefault="003B57B3" w:rsidP="003B57B3">
      <w:pPr>
        <w:pStyle w:val="SingleTxtG"/>
        <w:ind w:left="1701"/>
        <w:rPr>
          <w:i/>
          <w:iCs/>
          <w:lang w:val="fr-FR"/>
        </w:rPr>
      </w:pPr>
      <w:r w:rsidRPr="007D2745">
        <w:rPr>
          <w:i/>
          <w:iCs/>
          <w:lang w:val="fr-FR"/>
        </w:rPr>
        <w:t xml:space="preserve">"Si un numéro d'identification du danger est indiqué dans la colonne (20) du tableau A du chapitre 3.2 de l’ADR, les véhicules, les conteneurs et les conteneurs pour vrac transportant des matières solides ou des objets non emballés ou des matières radioactives emballées portant un seul numéro ONU destinées à être transportées sous utilisation exclusive en l'absence d'autres marchandises dangereuses </w:t>
      </w:r>
      <w:r w:rsidRPr="007D2745">
        <w:rPr>
          <w:b/>
          <w:bCs/>
          <w:i/>
          <w:iCs/>
          <w:u w:val="single"/>
          <w:lang w:val="fr-FR"/>
        </w:rPr>
        <w:t>doivent en outre porter, sur les côtés de chaque véhicule, de chaque conteneur ou de chaque conteneur pour vrac</w:t>
      </w:r>
      <w:r w:rsidRPr="007D2745">
        <w:rPr>
          <w:i/>
          <w:iCs/>
          <w:lang w:val="fr-FR"/>
        </w:rPr>
        <w:t xml:space="preserve">, parallèlement à l'axe longitudinal du véhicule, de manière </w:t>
      </w:r>
      <w:r w:rsidRPr="007D2745">
        <w:rPr>
          <w:i/>
          <w:iCs/>
          <w:lang w:val="fr-FR"/>
        </w:rPr>
        <w:lastRenderedPageBreak/>
        <w:t>clairement visible, des panneaux de couleur orange identiques à ceux prescrits au 5.3.2.1.1.</w:t>
      </w:r>
    </w:p>
    <w:p w:rsidR="003B57B3" w:rsidRPr="007D2745" w:rsidRDefault="003B57B3" w:rsidP="003B57B3">
      <w:pPr>
        <w:pStyle w:val="SingleTxtG"/>
        <w:ind w:left="1701"/>
        <w:rPr>
          <w:i/>
          <w:iCs/>
          <w:lang w:val="fr-FR"/>
        </w:rPr>
      </w:pPr>
      <w:r w:rsidRPr="007D2745">
        <w:rPr>
          <w:i/>
          <w:iCs/>
          <w:lang w:val="fr-FR"/>
        </w:rPr>
        <w:t>…</w:t>
      </w:r>
    </w:p>
    <w:p w:rsidR="003B57B3" w:rsidRPr="007D2745" w:rsidRDefault="003B57B3" w:rsidP="007D2745">
      <w:pPr>
        <w:pStyle w:val="SingleTxtG"/>
        <w:ind w:left="1701"/>
        <w:rPr>
          <w:i/>
          <w:iCs/>
          <w:lang w:val="fr-FR"/>
        </w:rPr>
      </w:pPr>
      <w:r w:rsidRPr="007D2745">
        <w:rPr>
          <w:i/>
          <w:iCs/>
          <w:lang w:val="fr-FR"/>
        </w:rPr>
        <w:t xml:space="preserve">Les dispositions du présent paragraphe sont également applicables </w:t>
      </w:r>
      <w:r w:rsidRPr="007D2745">
        <w:rPr>
          <w:b/>
          <w:bCs/>
          <w:i/>
          <w:iCs/>
          <w:u w:val="single"/>
          <w:lang w:val="fr-FR"/>
        </w:rPr>
        <w:t>aux wagons pour vrac et aux wagons complets constitués de colis contenant une seule et même marchandise</w:t>
      </w:r>
      <w:r w:rsidRPr="007D2745">
        <w:rPr>
          <w:i/>
          <w:iCs/>
          <w:lang w:val="fr-FR"/>
        </w:rPr>
        <w:t>. Dans ce dernier cas, le numéro d'identification du danger à utiliser est celui indiqué à la colonne (20)</w:t>
      </w:r>
      <w:r w:rsidR="007D2745" w:rsidRPr="007D2745">
        <w:rPr>
          <w:i/>
          <w:iCs/>
          <w:lang w:val="fr-FR"/>
        </w:rPr>
        <w:t xml:space="preserve"> </w:t>
      </w:r>
      <w:r w:rsidRPr="007D2745">
        <w:rPr>
          <w:i/>
          <w:iCs/>
          <w:lang w:val="fr-FR"/>
        </w:rPr>
        <w:t>du tableau A du chapitre 3.2 du RID.</w:t>
      </w:r>
      <w:r w:rsidR="007D2745" w:rsidRPr="007D2745">
        <w:rPr>
          <w:i/>
          <w:iCs/>
          <w:lang w:val="fr-FR"/>
        </w:rPr>
        <w:t>"</w:t>
      </w:r>
    </w:p>
    <w:p w:rsidR="003B57B3" w:rsidRPr="007D2745" w:rsidRDefault="008F6B16" w:rsidP="008F6B16">
      <w:pPr>
        <w:pStyle w:val="SingleTxtG"/>
        <w:ind w:left="1701"/>
        <w:rPr>
          <w:i/>
          <w:iCs/>
          <w:lang w:val="fr-FR"/>
        </w:rPr>
      </w:pPr>
      <w:r>
        <w:rPr>
          <w:i/>
          <w:iCs/>
          <w:lang w:val="fr-FR"/>
        </w:rPr>
        <w:tab/>
      </w:r>
      <w:r w:rsidR="007D2745" w:rsidRPr="007D2745">
        <w:rPr>
          <w:i/>
          <w:iCs/>
          <w:lang w:val="fr-FR"/>
        </w:rPr>
        <w:t>Dans le même temps, la disposition équivalente, au 5.3.2.1.1 du RID, est rédigée comme suit :</w:t>
      </w:r>
    </w:p>
    <w:p w:rsidR="007D2745" w:rsidRPr="007D2745" w:rsidRDefault="007D2745" w:rsidP="007D2745">
      <w:pPr>
        <w:pStyle w:val="SingleTxtG"/>
        <w:ind w:left="1701"/>
        <w:rPr>
          <w:i/>
          <w:iCs/>
          <w:lang w:val="fr-FR"/>
        </w:rPr>
      </w:pPr>
      <w:r w:rsidRPr="007D2745">
        <w:rPr>
          <w:i/>
          <w:iCs/>
          <w:lang w:val="fr-FR"/>
        </w:rPr>
        <w:t>"On apposera, lors du transport de marchandises pour lesquelles dans la colonne (20) du Tableau A du chapitre 3.2 est indiqué un numéro d’identification de danger, de chaque côté latéral</w:t>
      </w:r>
    </w:p>
    <w:p w:rsidR="007D2745" w:rsidRPr="007D2745" w:rsidRDefault="007D2745" w:rsidP="007D2745">
      <w:pPr>
        <w:pStyle w:val="SingleTxtG"/>
        <w:ind w:left="1701"/>
        <w:rPr>
          <w:i/>
          <w:iCs/>
          <w:lang w:val="fr-FR"/>
        </w:rPr>
      </w:pPr>
      <w:r w:rsidRPr="007D2745">
        <w:rPr>
          <w:i/>
          <w:iCs/>
          <w:lang w:val="fr-FR"/>
        </w:rPr>
        <w:t>…</w:t>
      </w:r>
    </w:p>
    <w:p w:rsidR="007D2745" w:rsidRPr="007D2745" w:rsidRDefault="007D2745" w:rsidP="007D2745">
      <w:pPr>
        <w:pStyle w:val="SingleTxtG"/>
        <w:ind w:left="1701"/>
        <w:rPr>
          <w:i/>
          <w:iCs/>
          <w:lang w:val="fr-FR"/>
        </w:rPr>
      </w:pPr>
      <w:proofErr w:type="gramStart"/>
      <w:r w:rsidRPr="007D2745">
        <w:rPr>
          <w:i/>
          <w:iCs/>
          <w:lang w:val="fr-FR"/>
        </w:rPr>
        <w:t>un</w:t>
      </w:r>
      <w:proofErr w:type="gramEnd"/>
      <w:r w:rsidRPr="007D2745">
        <w:rPr>
          <w:i/>
          <w:iCs/>
          <w:lang w:val="fr-FR"/>
        </w:rPr>
        <w:t xml:space="preserve"> panneau rectangulaire orange selon 5.3.2.2.1, de manière qu'il soit bien visible.</w:t>
      </w:r>
    </w:p>
    <w:p w:rsidR="007D2745" w:rsidRPr="007D2745" w:rsidRDefault="007D2745" w:rsidP="007D2745">
      <w:pPr>
        <w:pStyle w:val="SingleTxtG"/>
        <w:ind w:left="1701"/>
        <w:rPr>
          <w:i/>
          <w:iCs/>
          <w:lang w:val="fr-FR"/>
        </w:rPr>
      </w:pPr>
      <w:r w:rsidRPr="007D2745">
        <w:rPr>
          <w:i/>
          <w:iCs/>
          <w:lang w:val="fr-FR"/>
        </w:rPr>
        <w:t>…</w:t>
      </w:r>
    </w:p>
    <w:p w:rsidR="007D2745" w:rsidRPr="007D2745" w:rsidRDefault="007D2745" w:rsidP="007D2745">
      <w:pPr>
        <w:pStyle w:val="SingleTxtG"/>
        <w:ind w:left="1701"/>
        <w:rPr>
          <w:i/>
          <w:iCs/>
          <w:lang w:val="fr-FR"/>
        </w:rPr>
      </w:pPr>
      <w:r w:rsidRPr="007D2745">
        <w:rPr>
          <w:b/>
          <w:bCs/>
          <w:i/>
          <w:iCs/>
          <w:u w:val="single"/>
          <w:lang w:val="fr-FR"/>
        </w:rPr>
        <w:t>On pourra également apposer</w:t>
      </w:r>
      <w:r w:rsidRPr="007D2745">
        <w:rPr>
          <w:i/>
          <w:iCs/>
          <w:lang w:val="fr-FR"/>
        </w:rPr>
        <w:t xml:space="preserve"> cette signalisation de chaque côté latéral des chargements complets constitués de colis contenant une seule et même marchandise."</w:t>
      </w:r>
    </w:p>
    <w:p w:rsidR="00F04967" w:rsidRDefault="00900C38" w:rsidP="007D2745">
      <w:pPr>
        <w:pStyle w:val="SingleTxtG"/>
      </w:pPr>
      <w:r>
        <w:t>6</w:t>
      </w:r>
      <w:r w:rsidR="00CF60D7">
        <w:t>.</w:t>
      </w:r>
      <w:r w:rsidR="00CF60D7">
        <w:tab/>
      </w:r>
      <w:r w:rsidR="003B57B3">
        <w:t xml:space="preserve">The French delegation </w:t>
      </w:r>
      <w:r w:rsidR="007D2745">
        <w:t>estimates that</w:t>
      </w:r>
      <w:r w:rsidR="003B57B3">
        <w:t xml:space="preserve"> </w:t>
      </w:r>
      <w:r w:rsidR="007D2745">
        <w:t>a</w:t>
      </w:r>
      <w:r w:rsidR="003B57B3">
        <w:t xml:space="preserve"> harmonization between the ADN and the RID wording</w:t>
      </w:r>
      <w:r w:rsidR="007D2745">
        <w:t>s</w:t>
      </w:r>
      <w:r w:rsidR="003B57B3">
        <w:t xml:space="preserve"> would be relevant.</w:t>
      </w:r>
    </w:p>
    <w:p w:rsidR="00F04967" w:rsidRPr="001266F4" w:rsidRDefault="007D2745" w:rsidP="007D2745">
      <w:pPr>
        <w:pStyle w:val="SingleTxtG"/>
        <w:rPr>
          <w:i/>
          <w:iCs/>
          <w:lang w:val="fr-FR"/>
        </w:rPr>
      </w:pPr>
      <w:r w:rsidRPr="001266F4">
        <w:rPr>
          <w:i/>
          <w:iCs/>
          <w:lang w:val="fr-FR"/>
        </w:rPr>
        <w:t xml:space="preserve">La </w:t>
      </w:r>
      <w:r w:rsidR="001266F4" w:rsidRPr="001266F4">
        <w:rPr>
          <w:i/>
          <w:iCs/>
          <w:lang w:val="fr-FR"/>
        </w:rPr>
        <w:t>délégation</w:t>
      </w:r>
      <w:r w:rsidRPr="001266F4">
        <w:rPr>
          <w:i/>
          <w:iCs/>
          <w:lang w:val="fr-FR"/>
        </w:rPr>
        <w:t xml:space="preserve"> française estime qu’une harmonisation </w:t>
      </w:r>
      <w:r w:rsidR="001266F4" w:rsidRPr="001266F4">
        <w:rPr>
          <w:i/>
          <w:iCs/>
          <w:lang w:val="fr-FR"/>
        </w:rPr>
        <w:t>rédactionnelle des dispositions de l’ADN et du RID serait pertinente.</w:t>
      </w:r>
    </w:p>
    <w:p w:rsidR="00CF60D7" w:rsidRPr="008F6B16" w:rsidRDefault="00CF60D7" w:rsidP="00243CAE">
      <w:pPr>
        <w:pStyle w:val="SingleTxtG"/>
        <w:spacing w:before="240" w:after="0"/>
        <w:jc w:val="center"/>
        <w:rPr>
          <w:u w:val="single"/>
          <w:lang w:val="fr-CH"/>
        </w:rPr>
      </w:pPr>
      <w:r w:rsidRPr="008F6B16">
        <w:rPr>
          <w:u w:val="single"/>
          <w:lang w:val="fr-CH"/>
        </w:rPr>
        <w:tab/>
      </w:r>
      <w:r w:rsidRPr="008F6B16">
        <w:rPr>
          <w:u w:val="single"/>
          <w:lang w:val="fr-CH"/>
        </w:rPr>
        <w:tab/>
      </w:r>
      <w:r w:rsidRPr="008F6B16">
        <w:rPr>
          <w:u w:val="single"/>
          <w:lang w:val="fr-CH"/>
        </w:rPr>
        <w:tab/>
      </w:r>
    </w:p>
    <w:sectPr w:rsidR="00CF60D7" w:rsidRPr="008F6B16" w:rsidSect="00243CAE">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8FC" w:rsidRPr="00FB1744" w:rsidRDefault="000868FC" w:rsidP="00FB1744">
      <w:pPr>
        <w:pStyle w:val="Footer"/>
      </w:pPr>
    </w:p>
  </w:endnote>
  <w:endnote w:type="continuationSeparator" w:id="0">
    <w:p w:rsidR="000868FC" w:rsidRPr="00FB1744" w:rsidRDefault="000868FC" w:rsidP="00FB174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718202"/>
      <w:docPartObj>
        <w:docPartGallery w:val="Page Numbers (Bottom of Page)"/>
        <w:docPartUnique/>
      </w:docPartObj>
    </w:sdtPr>
    <w:sdtEndPr>
      <w:rPr>
        <w:b/>
        <w:bCs/>
        <w:noProof/>
      </w:rPr>
    </w:sdtEndPr>
    <w:sdtContent>
      <w:p w:rsidR="006165A3" w:rsidRDefault="006165A3">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603" w:rsidRPr="009F3E32" w:rsidRDefault="00993603" w:rsidP="009F3E32">
    <w:pPr>
      <w:pStyle w:val="Footer"/>
      <w:tabs>
        <w:tab w:val="right" w:pos="9598"/>
      </w:tabs>
      <w:rPr>
        <w:b/>
        <w:sz w:val="18"/>
      </w:rPr>
    </w:pPr>
    <w:r>
      <w:tab/>
    </w:r>
    <w:r w:rsidRPr="009F3E32">
      <w:rPr>
        <w:b/>
        <w:sz w:val="18"/>
      </w:rPr>
      <w:fldChar w:fldCharType="begin"/>
    </w:r>
    <w:r w:rsidRPr="009F3E32">
      <w:rPr>
        <w:b/>
        <w:sz w:val="18"/>
      </w:rPr>
      <w:instrText xml:space="preserve"> PAGE  \* MERGEFORMAT </w:instrText>
    </w:r>
    <w:r w:rsidRPr="009F3E32">
      <w:rPr>
        <w:b/>
        <w:sz w:val="18"/>
      </w:rPr>
      <w:fldChar w:fldCharType="separate"/>
    </w:r>
    <w:r w:rsidR="004560AE">
      <w:rPr>
        <w:b/>
        <w:noProof/>
        <w:sz w:val="18"/>
      </w:rPr>
      <w:t>3</w:t>
    </w:r>
    <w:r w:rsidRPr="009F3E3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603" w:rsidRPr="006E3847" w:rsidRDefault="00993603" w:rsidP="00FF4E50">
    <w:pPr>
      <w:tabs>
        <w:tab w:val="right" w:pos="9598"/>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8FC" w:rsidRPr="00FB1744" w:rsidRDefault="000868FC" w:rsidP="00FB1744">
      <w:pPr>
        <w:tabs>
          <w:tab w:val="right" w:pos="2155"/>
        </w:tabs>
        <w:spacing w:after="80" w:line="240" w:lineRule="auto"/>
        <w:ind w:left="680"/>
      </w:pPr>
      <w:r>
        <w:rPr>
          <w:u w:val="single"/>
        </w:rPr>
        <w:tab/>
      </w:r>
    </w:p>
  </w:footnote>
  <w:footnote w:type="continuationSeparator" w:id="0">
    <w:p w:rsidR="000868FC" w:rsidRPr="00FB1744" w:rsidRDefault="000868FC" w:rsidP="00FB1744">
      <w:pPr>
        <w:tabs>
          <w:tab w:val="right" w:pos="2155"/>
        </w:tabs>
        <w:spacing w:after="80" w:line="240" w:lineRule="auto"/>
        <w:ind w:left="680"/>
      </w:pPr>
      <w:r>
        <w:rPr>
          <w:u w:val="singl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603" w:rsidRPr="00341908" w:rsidRDefault="00993603">
    <w:pPr>
      <w:pStyle w:val="Header"/>
      <w:rPr>
        <w:sz w:val="20"/>
      </w:rPr>
    </w:pPr>
    <w:r w:rsidRPr="00341908">
      <w:rPr>
        <w:sz w:val="20"/>
      </w:rPr>
      <w:t>INF.</w:t>
    </w:r>
    <w:r w:rsidR="00341908" w:rsidRPr="00341908">
      <w:rPr>
        <w:sz w:val="20"/>
      </w:rPr>
      <w:t>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603" w:rsidRPr="00341908" w:rsidRDefault="00341908" w:rsidP="001266F4">
    <w:pPr>
      <w:pStyle w:val="Header"/>
      <w:jc w:val="right"/>
      <w:rPr>
        <w:sz w:val="20"/>
      </w:rPr>
    </w:pPr>
    <w:r w:rsidRPr="00341908">
      <w:rPr>
        <w:sz w:val="20"/>
      </w:rPr>
      <w:t>INF.19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E27ECF"/>
    <w:multiLevelType w:val="hybridMultilevel"/>
    <w:tmpl w:val="4866E918"/>
    <w:lvl w:ilvl="0" w:tplc="E3A6D302">
      <w:start w:val="5"/>
      <w:numFmt w:val="bullet"/>
      <w:lvlText w:val="-"/>
      <w:lvlJc w:val="left"/>
      <w:pPr>
        <w:ind w:left="2988" w:hanging="360"/>
      </w:pPr>
      <w:rPr>
        <w:rFonts w:ascii="Times New Roman" w:eastAsia="Times New Roman" w:hAnsi="Times New Roman" w:hint="default"/>
      </w:rPr>
    </w:lvl>
    <w:lvl w:ilvl="1" w:tplc="040C0003">
      <w:start w:val="1"/>
      <w:numFmt w:val="bullet"/>
      <w:lvlText w:val="o"/>
      <w:lvlJc w:val="left"/>
      <w:pPr>
        <w:ind w:left="3708" w:hanging="360"/>
      </w:pPr>
      <w:rPr>
        <w:rFonts w:ascii="Courier New" w:hAnsi="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 w15:restartNumberingAfterBreak="0">
    <w:nsid w:val="31A12325"/>
    <w:multiLevelType w:val="hybridMultilevel"/>
    <w:tmpl w:val="FE64E92C"/>
    <w:lvl w:ilvl="0" w:tplc="5534336C">
      <w:start w:val="1"/>
      <w:numFmt w:val="bullet"/>
      <w:pStyle w:val="Bullet1G"/>
      <w:lvlText w:val="•"/>
      <w:lvlJc w:val="left"/>
      <w:pPr>
        <w:tabs>
          <w:tab w:val="num" w:pos="1701"/>
        </w:tabs>
        <w:ind w:left="1701" w:hanging="170"/>
      </w:pPr>
      <w:rPr>
        <w:rFonts w:ascii="Times New Roman" w:hAnsi="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7627B7"/>
    <w:multiLevelType w:val="hybridMultilevel"/>
    <w:tmpl w:val="B19AEB1E"/>
    <w:lvl w:ilvl="0" w:tplc="E3A6D302">
      <w:start w:val="5"/>
      <w:numFmt w:val="bullet"/>
      <w:lvlText w:val="-"/>
      <w:lvlJc w:val="left"/>
      <w:pPr>
        <w:ind w:left="2988" w:hanging="360"/>
      </w:pPr>
      <w:rPr>
        <w:rFonts w:ascii="Times New Roman" w:eastAsia="Times New Roman" w:hAnsi="Times New Roman" w:hint="default"/>
      </w:rPr>
    </w:lvl>
    <w:lvl w:ilvl="1" w:tplc="040C0003">
      <w:start w:val="1"/>
      <w:numFmt w:val="bullet"/>
      <w:lvlText w:val="o"/>
      <w:lvlJc w:val="left"/>
      <w:pPr>
        <w:ind w:left="3708" w:hanging="360"/>
      </w:pPr>
      <w:rPr>
        <w:rFonts w:ascii="Courier New" w:hAnsi="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5" w15:restartNumberingAfterBreak="0">
    <w:nsid w:val="3E38223A"/>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96D17A8"/>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54AF059F"/>
    <w:multiLevelType w:val="hybridMultilevel"/>
    <w:tmpl w:val="AED6E732"/>
    <w:lvl w:ilvl="0" w:tplc="040C0001">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606677AE"/>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15:restartNumberingAfterBreak="0">
    <w:nsid w:val="6FC51E0E"/>
    <w:multiLevelType w:val="hybridMultilevel"/>
    <w:tmpl w:val="490232B4"/>
    <w:lvl w:ilvl="0" w:tplc="040C0001">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78703ABA"/>
    <w:multiLevelType w:val="multilevel"/>
    <w:tmpl w:val="0809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
  </w:num>
  <w:num w:numId="2">
    <w:abstractNumId w:val="0"/>
  </w:num>
  <w:num w:numId="3">
    <w:abstractNumId w:val="8"/>
  </w:num>
  <w:num w:numId="4">
    <w:abstractNumId w:val="10"/>
  </w:num>
  <w:num w:numId="5">
    <w:abstractNumId w:val="3"/>
  </w:num>
  <w:num w:numId="6">
    <w:abstractNumId w:val="2"/>
  </w:num>
  <w:num w:numId="7">
    <w:abstractNumId w:val="4"/>
  </w:num>
  <w:num w:numId="8">
    <w:abstractNumId w:val="6"/>
  </w:num>
  <w:num w:numId="9">
    <w:abstractNumId w:val="5"/>
  </w:num>
  <w:num w:numId="10">
    <w:abstractNumId w:val="9"/>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567"/>
  <w:hyphenationZone w:val="425"/>
  <w:evenAndOddHeaders/>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81"/>
    <w:rsid w:val="000144FD"/>
    <w:rsid w:val="00014752"/>
    <w:rsid w:val="00022E10"/>
    <w:rsid w:val="00030525"/>
    <w:rsid w:val="00032511"/>
    <w:rsid w:val="00033FA7"/>
    <w:rsid w:val="0003701B"/>
    <w:rsid w:val="000468B2"/>
    <w:rsid w:val="00046E92"/>
    <w:rsid w:val="00057606"/>
    <w:rsid w:val="00075AA0"/>
    <w:rsid w:val="00081DDC"/>
    <w:rsid w:val="000868FC"/>
    <w:rsid w:val="0008708F"/>
    <w:rsid w:val="000A5EFB"/>
    <w:rsid w:val="000B42E5"/>
    <w:rsid w:val="000C7737"/>
    <w:rsid w:val="000D1B89"/>
    <w:rsid w:val="000D7470"/>
    <w:rsid w:val="000E2793"/>
    <w:rsid w:val="000E57B2"/>
    <w:rsid w:val="00105FCB"/>
    <w:rsid w:val="001170DC"/>
    <w:rsid w:val="00117376"/>
    <w:rsid w:val="00122A17"/>
    <w:rsid w:val="00123AFC"/>
    <w:rsid w:val="001266F4"/>
    <w:rsid w:val="0014601D"/>
    <w:rsid w:val="00152EAE"/>
    <w:rsid w:val="00153960"/>
    <w:rsid w:val="00153C7D"/>
    <w:rsid w:val="00162909"/>
    <w:rsid w:val="00167935"/>
    <w:rsid w:val="00173D50"/>
    <w:rsid w:val="00176F00"/>
    <w:rsid w:val="00197023"/>
    <w:rsid w:val="001A4D45"/>
    <w:rsid w:val="001B1F5A"/>
    <w:rsid w:val="001B4C61"/>
    <w:rsid w:val="001B7CBA"/>
    <w:rsid w:val="001D0C54"/>
    <w:rsid w:val="001D7040"/>
    <w:rsid w:val="001D7946"/>
    <w:rsid w:val="001E6EEF"/>
    <w:rsid w:val="001F01CF"/>
    <w:rsid w:val="001F2891"/>
    <w:rsid w:val="00203E4D"/>
    <w:rsid w:val="00205D3A"/>
    <w:rsid w:val="002228F1"/>
    <w:rsid w:val="00223290"/>
    <w:rsid w:val="00243CAE"/>
    <w:rsid w:val="00244F39"/>
    <w:rsid w:val="00246832"/>
    <w:rsid w:val="00247E2C"/>
    <w:rsid w:val="00252058"/>
    <w:rsid w:val="002576B5"/>
    <w:rsid w:val="0027067F"/>
    <w:rsid w:val="002767CB"/>
    <w:rsid w:val="0028146F"/>
    <w:rsid w:val="00284642"/>
    <w:rsid w:val="002906C1"/>
    <w:rsid w:val="00295A81"/>
    <w:rsid w:val="002A0807"/>
    <w:rsid w:val="002A2206"/>
    <w:rsid w:val="002A5C97"/>
    <w:rsid w:val="002D2AAC"/>
    <w:rsid w:val="002D2AF1"/>
    <w:rsid w:val="002D6C53"/>
    <w:rsid w:val="002E27E0"/>
    <w:rsid w:val="002F5595"/>
    <w:rsid w:val="003151DB"/>
    <w:rsid w:val="00315CD3"/>
    <w:rsid w:val="00315EB5"/>
    <w:rsid w:val="003211C2"/>
    <w:rsid w:val="00334F6A"/>
    <w:rsid w:val="00341908"/>
    <w:rsid w:val="00341E2B"/>
    <w:rsid w:val="00342AC8"/>
    <w:rsid w:val="003545A4"/>
    <w:rsid w:val="0037192A"/>
    <w:rsid w:val="003742F9"/>
    <w:rsid w:val="003817DE"/>
    <w:rsid w:val="003841F7"/>
    <w:rsid w:val="00385740"/>
    <w:rsid w:val="003A4A76"/>
    <w:rsid w:val="003A5577"/>
    <w:rsid w:val="003A6F51"/>
    <w:rsid w:val="003B4550"/>
    <w:rsid w:val="003B57B3"/>
    <w:rsid w:val="003C5F67"/>
    <w:rsid w:val="003D0CA0"/>
    <w:rsid w:val="003E57D8"/>
    <w:rsid w:val="003F3F98"/>
    <w:rsid w:val="00411CA8"/>
    <w:rsid w:val="004134C1"/>
    <w:rsid w:val="00433964"/>
    <w:rsid w:val="00436492"/>
    <w:rsid w:val="00450B99"/>
    <w:rsid w:val="00451922"/>
    <w:rsid w:val="00454BEF"/>
    <w:rsid w:val="004560AE"/>
    <w:rsid w:val="00461253"/>
    <w:rsid w:val="00471A5E"/>
    <w:rsid w:val="00472693"/>
    <w:rsid w:val="00473E88"/>
    <w:rsid w:val="0047620B"/>
    <w:rsid w:val="00481984"/>
    <w:rsid w:val="0049458A"/>
    <w:rsid w:val="00496CDC"/>
    <w:rsid w:val="004C2703"/>
    <w:rsid w:val="004D6181"/>
    <w:rsid w:val="004D6975"/>
    <w:rsid w:val="004E1E81"/>
    <w:rsid w:val="004E390E"/>
    <w:rsid w:val="004F04FA"/>
    <w:rsid w:val="004F56B8"/>
    <w:rsid w:val="004F6171"/>
    <w:rsid w:val="005042C2"/>
    <w:rsid w:val="00514D6C"/>
    <w:rsid w:val="00523A79"/>
    <w:rsid w:val="0053500C"/>
    <w:rsid w:val="0056184E"/>
    <w:rsid w:val="0056599A"/>
    <w:rsid w:val="00587690"/>
    <w:rsid w:val="00590DA4"/>
    <w:rsid w:val="005B64D3"/>
    <w:rsid w:val="005C5E96"/>
    <w:rsid w:val="006165A3"/>
    <w:rsid w:val="00637BE1"/>
    <w:rsid w:val="00664FC3"/>
    <w:rsid w:val="00671529"/>
    <w:rsid w:val="00672804"/>
    <w:rsid w:val="00690748"/>
    <w:rsid w:val="00696C1E"/>
    <w:rsid w:val="006A60CF"/>
    <w:rsid w:val="006B3303"/>
    <w:rsid w:val="006C1330"/>
    <w:rsid w:val="006D3454"/>
    <w:rsid w:val="006E3847"/>
    <w:rsid w:val="006F4A60"/>
    <w:rsid w:val="00705A19"/>
    <w:rsid w:val="00717266"/>
    <w:rsid w:val="00721F0A"/>
    <w:rsid w:val="0072438A"/>
    <w:rsid w:val="007268F9"/>
    <w:rsid w:val="00741480"/>
    <w:rsid w:val="00747C50"/>
    <w:rsid w:val="00750166"/>
    <w:rsid w:val="00753552"/>
    <w:rsid w:val="00766A17"/>
    <w:rsid w:val="00773F3E"/>
    <w:rsid w:val="00780632"/>
    <w:rsid w:val="007B0C3C"/>
    <w:rsid w:val="007B480D"/>
    <w:rsid w:val="007B5A56"/>
    <w:rsid w:val="007C52B0"/>
    <w:rsid w:val="007D2370"/>
    <w:rsid w:val="007D2745"/>
    <w:rsid w:val="007D3378"/>
    <w:rsid w:val="007D4D18"/>
    <w:rsid w:val="007F1C6C"/>
    <w:rsid w:val="0081466D"/>
    <w:rsid w:val="00816B1E"/>
    <w:rsid w:val="008232D6"/>
    <w:rsid w:val="00841AD5"/>
    <w:rsid w:val="00853A00"/>
    <w:rsid w:val="0086570B"/>
    <w:rsid w:val="00880FF6"/>
    <w:rsid w:val="0088572D"/>
    <w:rsid w:val="00893F25"/>
    <w:rsid w:val="008A06A9"/>
    <w:rsid w:val="008A68A7"/>
    <w:rsid w:val="008C1A64"/>
    <w:rsid w:val="008C2DB8"/>
    <w:rsid w:val="008D0E96"/>
    <w:rsid w:val="008D2943"/>
    <w:rsid w:val="008E0F0F"/>
    <w:rsid w:val="008F28D1"/>
    <w:rsid w:val="008F6B16"/>
    <w:rsid w:val="00900C38"/>
    <w:rsid w:val="00907107"/>
    <w:rsid w:val="009411B4"/>
    <w:rsid w:val="00953469"/>
    <w:rsid w:val="00993603"/>
    <w:rsid w:val="009A4735"/>
    <w:rsid w:val="009A7BDA"/>
    <w:rsid w:val="009C480F"/>
    <w:rsid w:val="009C70AC"/>
    <w:rsid w:val="009C7BAE"/>
    <w:rsid w:val="009D0139"/>
    <w:rsid w:val="009D48FC"/>
    <w:rsid w:val="009D74C5"/>
    <w:rsid w:val="009E085F"/>
    <w:rsid w:val="009E796E"/>
    <w:rsid w:val="009E7CD3"/>
    <w:rsid w:val="009F3E32"/>
    <w:rsid w:val="009F5CDC"/>
    <w:rsid w:val="00A0007C"/>
    <w:rsid w:val="00A0115E"/>
    <w:rsid w:val="00A065B3"/>
    <w:rsid w:val="00A127D1"/>
    <w:rsid w:val="00A2191C"/>
    <w:rsid w:val="00A22099"/>
    <w:rsid w:val="00A30C7A"/>
    <w:rsid w:val="00A603FB"/>
    <w:rsid w:val="00A671DB"/>
    <w:rsid w:val="00A775CF"/>
    <w:rsid w:val="00AB22C1"/>
    <w:rsid w:val="00AB3029"/>
    <w:rsid w:val="00AB3C7E"/>
    <w:rsid w:val="00AB5C16"/>
    <w:rsid w:val="00AC204E"/>
    <w:rsid w:val="00AC47C3"/>
    <w:rsid w:val="00AF557F"/>
    <w:rsid w:val="00B047ED"/>
    <w:rsid w:val="00B06045"/>
    <w:rsid w:val="00B12986"/>
    <w:rsid w:val="00B17EE6"/>
    <w:rsid w:val="00B367DE"/>
    <w:rsid w:val="00B65DAA"/>
    <w:rsid w:val="00B71A48"/>
    <w:rsid w:val="00B72742"/>
    <w:rsid w:val="00B72B1D"/>
    <w:rsid w:val="00B8096F"/>
    <w:rsid w:val="00B96FA2"/>
    <w:rsid w:val="00B97CDD"/>
    <w:rsid w:val="00BA34D1"/>
    <w:rsid w:val="00BA4E81"/>
    <w:rsid w:val="00BA6AE4"/>
    <w:rsid w:val="00BB073B"/>
    <w:rsid w:val="00BB102D"/>
    <w:rsid w:val="00BB148F"/>
    <w:rsid w:val="00BB425F"/>
    <w:rsid w:val="00BB66AB"/>
    <w:rsid w:val="00BC31F7"/>
    <w:rsid w:val="00BC7323"/>
    <w:rsid w:val="00BD661C"/>
    <w:rsid w:val="00BE7D6B"/>
    <w:rsid w:val="00BF7405"/>
    <w:rsid w:val="00C107AB"/>
    <w:rsid w:val="00C27060"/>
    <w:rsid w:val="00C27A76"/>
    <w:rsid w:val="00C35A27"/>
    <w:rsid w:val="00C41EA4"/>
    <w:rsid w:val="00C460FD"/>
    <w:rsid w:val="00C54E53"/>
    <w:rsid w:val="00C62579"/>
    <w:rsid w:val="00C666EA"/>
    <w:rsid w:val="00C74A7C"/>
    <w:rsid w:val="00C87057"/>
    <w:rsid w:val="00CA07E7"/>
    <w:rsid w:val="00CA1A77"/>
    <w:rsid w:val="00CB3FF8"/>
    <w:rsid w:val="00CE03D1"/>
    <w:rsid w:val="00CF39CE"/>
    <w:rsid w:val="00CF4989"/>
    <w:rsid w:val="00CF60D7"/>
    <w:rsid w:val="00CF754E"/>
    <w:rsid w:val="00D01D26"/>
    <w:rsid w:val="00D334BD"/>
    <w:rsid w:val="00D54144"/>
    <w:rsid w:val="00D60D7E"/>
    <w:rsid w:val="00D74675"/>
    <w:rsid w:val="00D80E8C"/>
    <w:rsid w:val="00D84F52"/>
    <w:rsid w:val="00D96BDA"/>
    <w:rsid w:val="00DA1414"/>
    <w:rsid w:val="00DA5AF8"/>
    <w:rsid w:val="00DA7522"/>
    <w:rsid w:val="00DB5E14"/>
    <w:rsid w:val="00DB7C55"/>
    <w:rsid w:val="00DC2649"/>
    <w:rsid w:val="00DD280D"/>
    <w:rsid w:val="00DE1294"/>
    <w:rsid w:val="00DE443D"/>
    <w:rsid w:val="00DF072E"/>
    <w:rsid w:val="00DF701F"/>
    <w:rsid w:val="00E02C2B"/>
    <w:rsid w:val="00E03FBD"/>
    <w:rsid w:val="00E04377"/>
    <w:rsid w:val="00E1117C"/>
    <w:rsid w:val="00E12C55"/>
    <w:rsid w:val="00E13E1C"/>
    <w:rsid w:val="00E14CB3"/>
    <w:rsid w:val="00E22C43"/>
    <w:rsid w:val="00E233C5"/>
    <w:rsid w:val="00E2528B"/>
    <w:rsid w:val="00E40628"/>
    <w:rsid w:val="00E4286A"/>
    <w:rsid w:val="00E42C5F"/>
    <w:rsid w:val="00E45C7F"/>
    <w:rsid w:val="00E7463E"/>
    <w:rsid w:val="00E8704B"/>
    <w:rsid w:val="00E9081D"/>
    <w:rsid w:val="00E91007"/>
    <w:rsid w:val="00E91E07"/>
    <w:rsid w:val="00E94524"/>
    <w:rsid w:val="00EC2AE1"/>
    <w:rsid w:val="00ED6C48"/>
    <w:rsid w:val="00EF11A2"/>
    <w:rsid w:val="00F04967"/>
    <w:rsid w:val="00F25696"/>
    <w:rsid w:val="00F33374"/>
    <w:rsid w:val="00F406A7"/>
    <w:rsid w:val="00F503DC"/>
    <w:rsid w:val="00F54DC9"/>
    <w:rsid w:val="00F65F5D"/>
    <w:rsid w:val="00F74285"/>
    <w:rsid w:val="00F82C3E"/>
    <w:rsid w:val="00F86A3A"/>
    <w:rsid w:val="00F91293"/>
    <w:rsid w:val="00F97A66"/>
    <w:rsid w:val="00FA779E"/>
    <w:rsid w:val="00FB1744"/>
    <w:rsid w:val="00FB3855"/>
    <w:rsid w:val="00FB4DAF"/>
    <w:rsid w:val="00FB5DC9"/>
    <w:rsid w:val="00FB6054"/>
    <w:rsid w:val="00FC04AB"/>
    <w:rsid w:val="00FC3364"/>
    <w:rsid w:val="00FE639F"/>
    <w:rsid w:val="00FF4041"/>
    <w:rsid w:val="00FF4E50"/>
    <w:rsid w:val="00FF65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030B5ECD"/>
  <w15:chartTrackingRefBased/>
  <w15:docId w15:val="{672D5403-151F-458A-BABE-A2CCC621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GB"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uiPriority="99"/>
    <w:lsdException w:name="caption" w:locked="1" w:semiHidden="1" w:unhideWhenUsed="1" w:qFormat="1"/>
    <w:lsdException w:name="footnote reference" w:locked="1"/>
    <w:lsdException w:name="page number" w:locked="1"/>
    <w:lsdException w:name="endnote reference" w:locked="1"/>
    <w:lsdException w:name="endnote text"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Outline List 1" w:locked="1"/>
    <w:lsdException w:name="Outline List 2"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locked="1"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3374"/>
    <w:pPr>
      <w:suppressAutoHyphens/>
      <w:spacing w:line="240" w:lineRule="atLeast"/>
    </w:pPr>
    <w:rPr>
      <w:rFonts w:ascii="Times New Roman" w:hAnsi="Times New Roman" w:cs="Times New Roman"/>
      <w:lang w:eastAsia="en-US"/>
    </w:rPr>
  </w:style>
  <w:style w:type="paragraph" w:styleId="Heading1">
    <w:name w:val="heading 1"/>
    <w:aliases w:val="Table_G"/>
    <w:basedOn w:val="SingleTxtG"/>
    <w:next w:val="SingleTxtG"/>
    <w:link w:val="Heading1Char"/>
    <w:qFormat/>
    <w:rsid w:val="007268F9"/>
    <w:pPr>
      <w:spacing w:after="0" w:line="240" w:lineRule="auto"/>
      <w:ind w:right="0"/>
      <w:jc w:val="left"/>
      <w:outlineLvl w:val="0"/>
    </w:pPr>
  </w:style>
  <w:style w:type="paragraph" w:styleId="Heading2">
    <w:name w:val="heading 2"/>
    <w:basedOn w:val="Normal"/>
    <w:next w:val="Normal"/>
    <w:link w:val="Heading2Char"/>
    <w:qFormat/>
    <w:rsid w:val="007268F9"/>
    <w:pPr>
      <w:spacing w:line="240" w:lineRule="auto"/>
      <w:outlineLvl w:val="1"/>
    </w:pPr>
    <w:rPr>
      <w:lang w:eastAsia="zh-CN"/>
    </w:rPr>
  </w:style>
  <w:style w:type="paragraph" w:styleId="Heading3">
    <w:name w:val="heading 3"/>
    <w:basedOn w:val="Normal"/>
    <w:next w:val="Normal"/>
    <w:link w:val="Heading3Char"/>
    <w:qFormat/>
    <w:rsid w:val="007268F9"/>
    <w:pPr>
      <w:spacing w:line="240" w:lineRule="auto"/>
      <w:outlineLvl w:val="2"/>
    </w:pPr>
    <w:rPr>
      <w:lang w:eastAsia="zh-CN"/>
    </w:rPr>
  </w:style>
  <w:style w:type="paragraph" w:styleId="Heading4">
    <w:name w:val="heading 4"/>
    <w:basedOn w:val="Normal"/>
    <w:next w:val="Normal"/>
    <w:link w:val="Heading4Char"/>
    <w:qFormat/>
    <w:rsid w:val="007268F9"/>
    <w:pPr>
      <w:spacing w:line="240" w:lineRule="auto"/>
      <w:outlineLvl w:val="3"/>
    </w:pPr>
    <w:rPr>
      <w:lang w:eastAsia="zh-CN"/>
    </w:rPr>
  </w:style>
  <w:style w:type="paragraph" w:styleId="Heading5">
    <w:name w:val="heading 5"/>
    <w:basedOn w:val="Normal"/>
    <w:next w:val="Normal"/>
    <w:link w:val="Heading5Char"/>
    <w:qFormat/>
    <w:rsid w:val="007268F9"/>
    <w:pPr>
      <w:spacing w:line="240" w:lineRule="auto"/>
      <w:outlineLvl w:val="4"/>
    </w:pPr>
    <w:rPr>
      <w:lang w:eastAsia="zh-CN"/>
    </w:rPr>
  </w:style>
  <w:style w:type="paragraph" w:styleId="Heading6">
    <w:name w:val="heading 6"/>
    <w:basedOn w:val="Normal"/>
    <w:next w:val="Normal"/>
    <w:link w:val="Heading6Char"/>
    <w:qFormat/>
    <w:rsid w:val="007268F9"/>
    <w:pPr>
      <w:spacing w:line="240" w:lineRule="auto"/>
      <w:outlineLvl w:val="5"/>
    </w:pPr>
    <w:rPr>
      <w:lang w:eastAsia="zh-CN"/>
    </w:rPr>
  </w:style>
  <w:style w:type="paragraph" w:styleId="Heading7">
    <w:name w:val="heading 7"/>
    <w:basedOn w:val="Normal"/>
    <w:next w:val="Normal"/>
    <w:link w:val="Heading7Char"/>
    <w:qFormat/>
    <w:rsid w:val="007268F9"/>
    <w:pPr>
      <w:spacing w:line="240" w:lineRule="auto"/>
      <w:outlineLvl w:val="6"/>
    </w:pPr>
    <w:rPr>
      <w:lang w:eastAsia="zh-CN"/>
    </w:rPr>
  </w:style>
  <w:style w:type="paragraph" w:styleId="Heading8">
    <w:name w:val="heading 8"/>
    <w:basedOn w:val="Normal"/>
    <w:next w:val="Normal"/>
    <w:link w:val="Heading8Char"/>
    <w:qFormat/>
    <w:rsid w:val="007268F9"/>
    <w:pPr>
      <w:spacing w:line="240" w:lineRule="auto"/>
      <w:outlineLvl w:val="7"/>
    </w:pPr>
    <w:rPr>
      <w:lang w:eastAsia="zh-CN"/>
    </w:rPr>
  </w:style>
  <w:style w:type="paragraph" w:styleId="Heading9">
    <w:name w:val="heading 9"/>
    <w:basedOn w:val="Normal"/>
    <w:next w:val="Normal"/>
    <w:link w:val="Heading9Char"/>
    <w:qFormat/>
    <w:rsid w:val="007268F9"/>
    <w:pPr>
      <w:spacing w:line="240" w:lineRule="auto"/>
      <w:outlineLvl w:val="8"/>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b/>
      <w:sz w:val="18"/>
      <w:lang w:eastAsia="zh-CN"/>
    </w:rPr>
  </w:style>
  <w:style w:type="character" w:customStyle="1" w:styleId="HeaderChar">
    <w:name w:val="Header Char"/>
    <w:aliases w:val="6_G Char"/>
    <w:basedOn w:val="DefaultParagraphFont"/>
    <w:link w:val="Header"/>
    <w:locked/>
    <w:rsid w:val="003B4550"/>
    <w:rPr>
      <w:rFonts w:ascii="Times New Roman" w:hAnsi="Times New Roman" w:cs="Times New Roman"/>
      <w:b/>
      <w:sz w:val="20"/>
      <w:szCs w:val="20"/>
    </w:rPr>
  </w:style>
  <w:style w:type="paragraph" w:styleId="Footer">
    <w:name w:val="footer"/>
    <w:aliases w:val="3_G"/>
    <w:basedOn w:val="Normal"/>
    <w:link w:val="FooterChar"/>
    <w:uiPriority w:val="99"/>
    <w:rsid w:val="007268F9"/>
    <w:pPr>
      <w:spacing w:line="240" w:lineRule="auto"/>
    </w:pPr>
    <w:rPr>
      <w:sz w:val="16"/>
      <w:lang w:eastAsia="zh-CN"/>
    </w:rPr>
  </w:style>
  <w:style w:type="character" w:customStyle="1" w:styleId="FooterChar">
    <w:name w:val="Footer Char"/>
    <w:aliases w:val="3_G Char"/>
    <w:basedOn w:val="DefaultParagraphFont"/>
    <w:link w:val="Footer"/>
    <w:uiPriority w:val="99"/>
    <w:locked/>
    <w:rsid w:val="00247E2C"/>
    <w:rPr>
      <w:rFonts w:ascii="Times New Roman" w:eastAsia="SimSun" w:hAnsi="Times New Roman" w:cs="Times New Roman"/>
      <w:sz w:val="20"/>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7268F9"/>
    <w:pPr>
      <w:keepNext/>
      <w:keepLines/>
      <w:tabs>
        <w:tab w:val="right" w:pos="851"/>
      </w:tabs>
      <w:spacing w:before="360" w:after="240" w:line="300" w:lineRule="exact"/>
      <w:ind w:left="1134" w:right="1134" w:hanging="1134"/>
    </w:pPr>
    <w:rPr>
      <w:b/>
      <w:sz w:val="28"/>
      <w:lang w:val="fr-FR"/>
    </w:rPr>
  </w:style>
  <w:style w:type="paragraph" w:customStyle="1" w:styleId="H1G">
    <w:name w:val="_ H_1_G"/>
    <w:basedOn w:val="Normal"/>
    <w:next w:val="Normal"/>
    <w:link w:val="H1GChar"/>
    <w:rsid w:val="007268F9"/>
    <w:pPr>
      <w:keepNext/>
      <w:keepLines/>
      <w:tabs>
        <w:tab w:val="right" w:pos="851"/>
      </w:tabs>
      <w:spacing w:before="360" w:after="240" w:line="270" w:lineRule="exact"/>
      <w:ind w:left="1134" w:right="1134" w:hanging="1134"/>
    </w:pPr>
    <w:rPr>
      <w:b/>
      <w:sz w:val="24"/>
      <w:lang w:val="fr-FR"/>
    </w:rPr>
  </w:style>
  <w:style w:type="paragraph" w:customStyle="1" w:styleId="H23G">
    <w:name w:val="_ H_2/3_G"/>
    <w:basedOn w:val="Normal"/>
    <w:next w:val="Normal"/>
    <w:link w:val="H23GChar"/>
    <w:rsid w:val="007268F9"/>
    <w:pPr>
      <w:keepNext/>
      <w:keepLines/>
      <w:tabs>
        <w:tab w:val="right" w:pos="851"/>
      </w:tabs>
      <w:spacing w:before="240" w:after="120" w:line="240" w:lineRule="exact"/>
      <w:ind w:left="1134" w:right="1134" w:hanging="1134"/>
    </w:pPr>
    <w:rPr>
      <w:b/>
      <w:lang w:val="fr-FR"/>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lang w:eastAsia="zh-CN"/>
    </w:rPr>
  </w:style>
  <w:style w:type="paragraph" w:customStyle="1" w:styleId="Bullet1G">
    <w:name w:val="_Bullet 1_G"/>
    <w:basedOn w:val="Normal"/>
    <w:rsid w:val="00B96FA2"/>
    <w:pPr>
      <w:numPr>
        <w:numId w:val="5"/>
      </w:numPr>
      <w:suppressAutoHyphens w:val="0"/>
      <w:spacing w:after="120" w:line="240" w:lineRule="auto"/>
      <w:ind w:right="1134"/>
      <w:jc w:val="both"/>
    </w:pPr>
    <w:rPr>
      <w:lang w:eastAsia="zh-CN"/>
    </w:rPr>
  </w:style>
  <w:style w:type="paragraph" w:customStyle="1" w:styleId="Bullet2G">
    <w:name w:val="_Bullet 2_G"/>
    <w:basedOn w:val="Normal"/>
    <w:rsid w:val="007268F9"/>
    <w:pPr>
      <w:numPr>
        <w:numId w:val="1"/>
      </w:numPr>
      <w:spacing w:after="120"/>
      <w:ind w:right="1134"/>
      <w:jc w:val="both"/>
    </w:pPr>
  </w:style>
  <w:style w:type="paragraph" w:customStyle="1" w:styleId="ParaNoG">
    <w:name w:val="_ParaNo._G"/>
    <w:basedOn w:val="SingleTxtG"/>
    <w:rsid w:val="007268F9"/>
    <w:pPr>
      <w:numPr>
        <w:numId w:val="2"/>
      </w:numPr>
    </w:pPr>
  </w:style>
  <w:style w:type="character" w:styleId="EndnoteReference">
    <w:name w:val="endnote reference"/>
    <w:aliases w:val="1_G"/>
    <w:basedOn w:val="DefaultParagraphFont"/>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sz w:val="18"/>
      <w:lang w:eastAsia="zh-CN"/>
    </w:rPr>
  </w:style>
  <w:style w:type="character" w:customStyle="1" w:styleId="FootnoteTextChar">
    <w:name w:val="Footnote Text Char"/>
    <w:aliases w:val="5_G Char"/>
    <w:basedOn w:val="DefaultParagraphFont"/>
    <w:link w:val="FootnoteText"/>
    <w:locked/>
    <w:rsid w:val="007268F9"/>
    <w:rPr>
      <w:rFonts w:ascii="Times New Roman" w:eastAsia="SimSun" w:hAnsi="Times New Roman" w:cs="Times New Roman"/>
      <w:sz w:val="20"/>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locked/>
    <w:rsid w:val="007268F9"/>
    <w:rPr>
      <w:rFonts w:ascii="Times New Roman" w:eastAsia="SimSun" w:hAnsi="Times New Roman" w:cs="Times New Roman"/>
      <w:sz w:val="20"/>
      <w:szCs w:val="20"/>
    </w:rPr>
  </w:style>
  <w:style w:type="character" w:styleId="FootnoteReference">
    <w:name w:val="footnote reference"/>
    <w:aliases w:val="4_G"/>
    <w:basedOn w:val="DefaultParagraphFon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locked/>
    <w:rsid w:val="00F33374"/>
    <w:rPr>
      <w:rFonts w:ascii="Times New Roman" w:hAnsi="Times New Roman" w:cs="Times New Roman"/>
      <w:sz w:val="20"/>
      <w:szCs w:val="20"/>
    </w:rPr>
  </w:style>
  <w:style w:type="character" w:customStyle="1" w:styleId="Heading2Char">
    <w:name w:val="Heading 2 Char"/>
    <w:basedOn w:val="DefaultParagraphFont"/>
    <w:link w:val="Heading2"/>
    <w:semiHidden/>
    <w:locked/>
    <w:rsid w:val="00F33374"/>
    <w:rPr>
      <w:rFonts w:ascii="Times New Roman" w:hAnsi="Times New Roman" w:cs="Times New Roman"/>
      <w:sz w:val="20"/>
      <w:szCs w:val="20"/>
    </w:rPr>
  </w:style>
  <w:style w:type="character" w:customStyle="1" w:styleId="Heading3Char">
    <w:name w:val="Heading 3 Char"/>
    <w:basedOn w:val="DefaultParagraphFont"/>
    <w:link w:val="Heading3"/>
    <w:semiHidden/>
    <w:locked/>
    <w:rsid w:val="00F33374"/>
    <w:rPr>
      <w:rFonts w:ascii="Times New Roman" w:hAnsi="Times New Roman" w:cs="Times New Roman"/>
      <w:sz w:val="20"/>
      <w:szCs w:val="20"/>
    </w:rPr>
  </w:style>
  <w:style w:type="character" w:customStyle="1" w:styleId="Heading4Char">
    <w:name w:val="Heading 4 Char"/>
    <w:basedOn w:val="DefaultParagraphFont"/>
    <w:link w:val="Heading4"/>
    <w:semiHidden/>
    <w:locked/>
    <w:rsid w:val="00F33374"/>
    <w:rPr>
      <w:rFonts w:ascii="Times New Roman" w:hAnsi="Times New Roman" w:cs="Times New Roman"/>
      <w:sz w:val="20"/>
      <w:szCs w:val="20"/>
    </w:rPr>
  </w:style>
  <w:style w:type="character" w:customStyle="1" w:styleId="Heading5Char">
    <w:name w:val="Heading 5 Char"/>
    <w:basedOn w:val="DefaultParagraphFont"/>
    <w:link w:val="Heading5"/>
    <w:semiHidden/>
    <w:locked/>
    <w:rsid w:val="00F33374"/>
    <w:rPr>
      <w:rFonts w:ascii="Times New Roman" w:hAnsi="Times New Roman" w:cs="Times New Roman"/>
      <w:sz w:val="20"/>
      <w:szCs w:val="20"/>
    </w:rPr>
  </w:style>
  <w:style w:type="character" w:customStyle="1" w:styleId="Heading6Char">
    <w:name w:val="Heading 6 Char"/>
    <w:basedOn w:val="DefaultParagraphFont"/>
    <w:link w:val="Heading6"/>
    <w:semiHidden/>
    <w:locked/>
    <w:rsid w:val="00F33374"/>
    <w:rPr>
      <w:rFonts w:ascii="Times New Roman" w:hAnsi="Times New Roman" w:cs="Times New Roman"/>
      <w:sz w:val="20"/>
      <w:szCs w:val="20"/>
    </w:rPr>
  </w:style>
  <w:style w:type="character" w:customStyle="1" w:styleId="Heading7Char">
    <w:name w:val="Heading 7 Char"/>
    <w:basedOn w:val="DefaultParagraphFont"/>
    <w:link w:val="Heading7"/>
    <w:semiHidden/>
    <w:locked/>
    <w:rsid w:val="00F33374"/>
    <w:rPr>
      <w:rFonts w:ascii="Times New Roman" w:hAnsi="Times New Roman" w:cs="Times New Roman"/>
      <w:sz w:val="20"/>
      <w:szCs w:val="20"/>
    </w:rPr>
  </w:style>
  <w:style w:type="character" w:customStyle="1" w:styleId="Heading8Char">
    <w:name w:val="Heading 8 Char"/>
    <w:basedOn w:val="DefaultParagraphFont"/>
    <w:link w:val="Heading8"/>
    <w:semiHidden/>
    <w:locked/>
    <w:rsid w:val="00F33374"/>
    <w:rPr>
      <w:rFonts w:ascii="Times New Roman" w:hAnsi="Times New Roman" w:cs="Times New Roman"/>
      <w:sz w:val="20"/>
      <w:szCs w:val="20"/>
    </w:rPr>
  </w:style>
  <w:style w:type="character" w:customStyle="1" w:styleId="Heading9Char">
    <w:name w:val="Heading 9 Char"/>
    <w:basedOn w:val="DefaultParagraphFont"/>
    <w:link w:val="Heading9"/>
    <w:semiHidden/>
    <w:locked/>
    <w:rsid w:val="00F33374"/>
    <w:rPr>
      <w:rFonts w:ascii="Times New Roman" w:hAnsi="Times New Roman" w:cs="Times New Roman"/>
      <w:sz w:val="20"/>
      <w:szCs w:val="20"/>
    </w:rPr>
  </w:style>
  <w:style w:type="character" w:styleId="PageNumber">
    <w:name w:val="page number"/>
    <w:aliases w:val="7_G"/>
    <w:basedOn w:val="DefaultParagraphFont"/>
    <w:semiHidden/>
    <w:rsid w:val="007268F9"/>
    <w:rPr>
      <w:rFonts w:ascii="Times New Roman" w:hAnsi="Times New Roman"/>
      <w:b/>
      <w:sz w:val="18"/>
    </w:rPr>
  </w:style>
  <w:style w:type="character" w:styleId="BookTitle">
    <w:name w:val="Book Title"/>
    <w:basedOn w:val="DefaultParagraphFont"/>
    <w:qFormat/>
    <w:rsid w:val="007268F9"/>
    <w:rPr>
      <w:rFonts w:cs="Times New Roman"/>
      <w:b/>
      <w:bCs/>
      <w:smallCaps/>
      <w:spacing w:val="5"/>
    </w:rPr>
  </w:style>
  <w:style w:type="table" w:styleId="TableGrid">
    <w:name w:val="Table Grid"/>
    <w:basedOn w:val="TableNormal"/>
    <w:rsid w:val="00717266"/>
    <w:pPr>
      <w:suppressAutoHyphens/>
      <w:spacing w:line="240" w:lineRule="atLeast"/>
    </w:pPr>
    <w:rPr>
      <w:rFonts w:ascii="Times New Roman" w:hAnsi="Times New Roman"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1726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717266"/>
    <w:rPr>
      <w:rFonts w:ascii="Tahoma" w:hAnsi="Tahoma" w:cs="Tahoma"/>
      <w:sz w:val="16"/>
      <w:szCs w:val="16"/>
      <w:lang w:val="x-none" w:eastAsia="en-US"/>
    </w:rPr>
  </w:style>
  <w:style w:type="character" w:customStyle="1" w:styleId="SingleTxtGChar">
    <w:name w:val="_ Single Txt_G Char"/>
    <w:basedOn w:val="DefaultParagraphFont"/>
    <w:link w:val="SingleTxtG"/>
    <w:locked/>
    <w:rsid w:val="00FC04AB"/>
    <w:rPr>
      <w:rFonts w:ascii="Times New Roman" w:hAnsi="Times New Roman" w:cs="Times New Roman"/>
      <w:sz w:val="20"/>
      <w:szCs w:val="20"/>
    </w:rPr>
  </w:style>
  <w:style w:type="character" w:customStyle="1" w:styleId="HChGChar">
    <w:name w:val="_ H _Ch_G Char"/>
    <w:link w:val="HChG"/>
    <w:locked/>
    <w:rsid w:val="000B42E5"/>
    <w:rPr>
      <w:rFonts w:ascii="Times New Roman" w:hAnsi="Times New Roman"/>
      <w:b/>
      <w:sz w:val="20"/>
      <w:lang w:val="x-none" w:eastAsia="en-US"/>
    </w:rPr>
  </w:style>
  <w:style w:type="character" w:customStyle="1" w:styleId="H1GChar">
    <w:name w:val="_ H_1_G Char"/>
    <w:link w:val="H1G"/>
    <w:locked/>
    <w:rsid w:val="000B42E5"/>
    <w:rPr>
      <w:rFonts w:ascii="Times New Roman" w:hAnsi="Times New Roman"/>
      <w:b/>
      <w:sz w:val="20"/>
      <w:lang w:val="x-none" w:eastAsia="en-US"/>
    </w:rPr>
  </w:style>
  <w:style w:type="paragraph" w:customStyle="1" w:styleId="Bearbeitung">
    <w:name w:val="Bearbeitung"/>
    <w:hidden/>
    <w:semiHidden/>
    <w:rsid w:val="000B42E5"/>
    <w:rPr>
      <w:rFonts w:ascii="Times New Roman" w:hAnsi="Times New Roman" w:cs="Times New Roman"/>
      <w:lang w:val="fr-CH" w:eastAsia="fr-FR"/>
    </w:rPr>
  </w:style>
  <w:style w:type="table" w:styleId="TableList5">
    <w:name w:val="Table List 5"/>
    <w:basedOn w:val="TableNormal"/>
    <w:rsid w:val="000B42E5"/>
    <w:pPr>
      <w:suppressAutoHyphens/>
      <w:spacing w:line="240" w:lineRule="atLeast"/>
    </w:pPr>
    <w:rPr>
      <w:rFonts w:ascii="Times New Roman" w:hAnsi="Times New Roman" w:cs="Times New Roman"/>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character" w:customStyle="1" w:styleId="H23GChar">
    <w:name w:val="_ H_2/3_G Char"/>
    <w:link w:val="H23G"/>
    <w:locked/>
    <w:rsid w:val="000B42E5"/>
    <w:rPr>
      <w:rFonts w:ascii="Times New Roman" w:hAnsi="Times New Roman"/>
      <w:b/>
      <w:sz w:val="20"/>
      <w:lang w:val="x-none" w:eastAsia="en-US"/>
    </w:rPr>
  </w:style>
  <w:style w:type="paragraph" w:styleId="Revision">
    <w:name w:val="Revision"/>
    <w:hidden/>
    <w:semiHidden/>
    <w:rsid w:val="000B42E5"/>
    <w:rPr>
      <w:rFonts w:ascii="Times New Roman" w:hAnsi="Times New Roman" w:cs="Times New Roman"/>
      <w:lang w:eastAsia="en-US"/>
    </w:rPr>
  </w:style>
  <w:style w:type="character" w:styleId="CommentReference">
    <w:name w:val="annotation reference"/>
    <w:basedOn w:val="DefaultParagraphFont"/>
    <w:semiHidden/>
    <w:rsid w:val="00747C50"/>
    <w:rPr>
      <w:rFonts w:cs="Times New Roman"/>
      <w:sz w:val="16"/>
      <w:szCs w:val="16"/>
    </w:rPr>
  </w:style>
  <w:style w:type="paragraph" w:styleId="CommentText">
    <w:name w:val="annotation text"/>
    <w:basedOn w:val="Normal"/>
    <w:link w:val="CommentTextChar"/>
    <w:semiHidden/>
    <w:rsid w:val="00747C50"/>
    <w:pPr>
      <w:spacing w:line="240" w:lineRule="auto"/>
    </w:pPr>
  </w:style>
  <w:style w:type="character" w:customStyle="1" w:styleId="CommentTextChar">
    <w:name w:val="Comment Text Char"/>
    <w:basedOn w:val="DefaultParagraphFont"/>
    <w:link w:val="CommentText"/>
    <w:semiHidden/>
    <w:locked/>
    <w:rsid w:val="00747C50"/>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rsid w:val="00747C50"/>
    <w:rPr>
      <w:b/>
      <w:bCs/>
    </w:rPr>
  </w:style>
  <w:style w:type="character" w:customStyle="1" w:styleId="CommentSubjectChar">
    <w:name w:val="Comment Subject Char"/>
    <w:basedOn w:val="CommentTextChar"/>
    <w:link w:val="CommentSubject"/>
    <w:semiHidden/>
    <w:locked/>
    <w:rsid w:val="00747C50"/>
    <w:rPr>
      <w:rFonts w:ascii="Times New Roman" w:hAnsi="Times New Roman" w:cs="Times New Roman"/>
      <w:b/>
      <w:bCs/>
      <w:sz w:val="20"/>
      <w:szCs w:val="20"/>
      <w:lang w:val="x-none" w:eastAsia="en-US"/>
    </w:rPr>
  </w:style>
  <w:style w:type="numbering" w:styleId="111111">
    <w:name w:val="Outline List 2"/>
    <w:basedOn w:val="NoList"/>
    <w:rsid w:val="00832F67"/>
    <w:pPr>
      <w:numPr>
        <w:numId w:val="3"/>
      </w:numPr>
    </w:pPr>
  </w:style>
  <w:style w:type="numbering" w:styleId="1ai">
    <w:name w:val="Outline List 1"/>
    <w:basedOn w:val="NoList"/>
    <w:rsid w:val="00832F67"/>
    <w:pPr>
      <w:numPr>
        <w:numId w:val="4"/>
      </w:numPr>
    </w:pPr>
  </w:style>
  <w:style w:type="paragraph" w:customStyle="1" w:styleId="Default">
    <w:name w:val="Default"/>
    <w:rsid w:val="003B57B3"/>
    <w:pPr>
      <w:autoSpaceDE w:val="0"/>
      <w:autoSpaceDN w:val="0"/>
      <w:adjustRightInd w:val="0"/>
    </w:pPr>
    <w:rPr>
      <w:rFonts w:ascii="Arial" w:eastAsia="MS Mincho" w:hAnsi="Arial"/>
      <w:color w:val="000000"/>
      <w:sz w:val="24"/>
      <w:szCs w:val="24"/>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393281545">
      <w:bodyDiv w:val="1"/>
      <w:marLeft w:val="0"/>
      <w:marRight w:val="0"/>
      <w:marTop w:val="0"/>
      <w:marBottom w:val="0"/>
      <w:divBdr>
        <w:top w:val="none" w:sz="0" w:space="0" w:color="auto"/>
        <w:left w:val="none" w:sz="0" w:space="0" w:color="auto"/>
        <w:bottom w:val="none" w:sz="0" w:space="0" w:color="auto"/>
        <w:right w:val="none" w:sz="0" w:space="0" w:color="auto"/>
      </w:divBdr>
      <w:divsChild>
        <w:div w:id="1030451468">
          <w:marLeft w:val="0"/>
          <w:marRight w:val="0"/>
          <w:marTop w:val="0"/>
          <w:marBottom w:val="0"/>
          <w:divBdr>
            <w:top w:val="none" w:sz="0" w:space="0" w:color="auto"/>
            <w:left w:val="none" w:sz="0" w:space="0" w:color="auto"/>
            <w:bottom w:val="none" w:sz="0" w:space="0" w:color="auto"/>
            <w:right w:val="none" w:sz="0" w:space="0" w:color="auto"/>
          </w:divBdr>
        </w:div>
        <w:div w:id="1818256772">
          <w:marLeft w:val="0"/>
          <w:marRight w:val="0"/>
          <w:marTop w:val="0"/>
          <w:marBottom w:val="0"/>
          <w:divBdr>
            <w:top w:val="none" w:sz="0" w:space="0" w:color="auto"/>
            <w:left w:val="none" w:sz="0" w:space="0" w:color="auto"/>
            <w:bottom w:val="none" w:sz="0" w:space="0" w:color="auto"/>
            <w:right w:val="none" w:sz="0" w:space="0" w:color="auto"/>
          </w:divBdr>
        </w:div>
        <w:div w:id="1827670329">
          <w:marLeft w:val="0"/>
          <w:marRight w:val="0"/>
          <w:marTop w:val="0"/>
          <w:marBottom w:val="0"/>
          <w:divBdr>
            <w:top w:val="none" w:sz="0" w:space="0" w:color="auto"/>
            <w:left w:val="none" w:sz="0" w:space="0" w:color="auto"/>
            <w:bottom w:val="none" w:sz="0" w:space="0" w:color="auto"/>
            <w:right w:val="none" w:sz="0" w:space="0" w:color="auto"/>
          </w:divBdr>
        </w:div>
        <w:div w:id="2023513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7B048-FD0D-4419-A3A1-99D7390A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989</Words>
  <Characters>5167</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DCM</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Generic Desk Anglais</dc:creator>
  <cp:keywords/>
  <dc:description/>
  <cp:lastModifiedBy>CRP.1/Add.2</cp:lastModifiedBy>
  <cp:revision>7</cp:revision>
  <cp:lastPrinted>2019-01-16T17:42:00Z</cp:lastPrinted>
  <dcterms:created xsi:type="dcterms:W3CDTF">2019-01-17T09:40:00Z</dcterms:created>
  <dcterms:modified xsi:type="dcterms:W3CDTF">2019-01-17T10:05:00Z</dcterms:modified>
</cp:coreProperties>
</file>