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DF0" w:rsidRPr="00510BB0" w:rsidRDefault="00EA7DF0" w:rsidP="00EA7DF0">
      <w:pPr>
        <w:tabs>
          <w:tab w:val="right" w:pos="3856"/>
          <w:tab w:val="left" w:pos="5387"/>
        </w:tabs>
        <w:ind w:firstLine="3402"/>
        <w:jc w:val="both"/>
      </w:pPr>
      <w:bookmarkStart w:id="0" w:name="_GoBack"/>
      <w:bookmarkEnd w:id="0"/>
      <w:r>
        <w:rPr>
          <w:noProof/>
        </w:rPr>
        <w:tab/>
      </w:r>
      <w:r>
        <w:rPr>
          <w:noProof/>
        </w:rPr>
        <w:tab/>
      </w:r>
      <w:r w:rsidRPr="00510BB0">
        <w:rPr>
          <w:noProof/>
        </w:rPr>
        <w:t>ADN/WP.15/AC.2/20</w:t>
      </w:r>
      <w:r w:rsidR="00DE1067" w:rsidRPr="00510BB0">
        <w:rPr>
          <w:noProof/>
        </w:rPr>
        <w:t>19</w:t>
      </w:r>
      <w:r w:rsidRPr="00510BB0">
        <w:rPr>
          <w:noProof/>
        </w:rPr>
        <w:t>/</w:t>
      </w:r>
      <w:r w:rsidR="00DE1067" w:rsidRPr="00510BB0">
        <w:rPr>
          <w:noProof/>
        </w:rPr>
        <w:t>INF-</w:t>
      </w:r>
      <w:r w:rsidR="005A1E21" w:rsidRPr="00510BB0">
        <w:rPr>
          <w:noProof/>
        </w:rPr>
        <w:t>D</w:t>
      </w:r>
      <w:r w:rsidR="004D3E33">
        <w:rPr>
          <w:noProof/>
        </w:rPr>
        <w:t>4</w:t>
      </w:r>
    </w:p>
    <w:p w:rsidR="00EA7DF0" w:rsidRPr="00B27FCB" w:rsidRDefault="00EA7DF0" w:rsidP="00EA7DF0">
      <w:pPr>
        <w:tabs>
          <w:tab w:val="left" w:pos="5387"/>
          <w:tab w:val="right" w:pos="8640"/>
        </w:tabs>
        <w:rPr>
          <w:sz w:val="16"/>
        </w:rPr>
      </w:pPr>
      <w:r w:rsidRPr="00510BB0">
        <w:tab/>
      </w:r>
      <w:r w:rsidRPr="00B27FCB">
        <w:rPr>
          <w:noProof/>
          <w:sz w:val="16"/>
        </w:rPr>
        <w:t>Allgemeine Verteilung</w:t>
      </w:r>
    </w:p>
    <w:p w:rsidR="00EA7DF0" w:rsidRPr="00B27FCB" w:rsidRDefault="00EA7DF0" w:rsidP="00EA7DF0">
      <w:pPr>
        <w:tabs>
          <w:tab w:val="left" w:pos="5387"/>
          <w:tab w:val="right" w:pos="8640"/>
        </w:tabs>
      </w:pPr>
      <w:r w:rsidRPr="00B27FCB">
        <w:tab/>
      </w:r>
      <w:r w:rsidR="001A31A0">
        <w:t>09</w:t>
      </w:r>
      <w:r>
        <w:t>/</w:t>
      </w:r>
      <w:r w:rsidR="001A31A0">
        <w:t>August</w:t>
      </w:r>
      <w:r>
        <w:t>/2019</w:t>
      </w:r>
    </w:p>
    <w:p w:rsidR="00EA7DF0" w:rsidRPr="00B27FCB" w:rsidRDefault="00EA7DF0" w:rsidP="00EA7DF0">
      <w:pPr>
        <w:tabs>
          <w:tab w:val="left" w:pos="5387"/>
          <w:tab w:val="right" w:pos="8640"/>
        </w:tabs>
        <w:rPr>
          <w:sz w:val="16"/>
        </w:rPr>
      </w:pPr>
      <w:r w:rsidRPr="00B27FCB">
        <w:tab/>
      </w:r>
      <w:r w:rsidRPr="00B27FCB">
        <w:rPr>
          <w:noProof/>
          <w:sz w:val="16"/>
        </w:rPr>
        <w:t>Or.</w:t>
      </w:r>
      <w:r w:rsidRPr="00B27FCB">
        <w:rPr>
          <w:sz w:val="16"/>
        </w:rPr>
        <w:t xml:space="preserve">   </w:t>
      </w:r>
      <w:r>
        <w:rPr>
          <w:noProof/>
          <w:sz w:val="16"/>
        </w:rPr>
        <w:t>DEUTSCH</w:t>
      </w:r>
    </w:p>
    <w:p w:rsidR="00EA7DF0" w:rsidRPr="00B27FCB" w:rsidRDefault="00EA7DF0" w:rsidP="00EA7DF0"/>
    <w:p w:rsidR="00EA7DF0" w:rsidRPr="00B27FCB" w:rsidRDefault="00EA7DF0" w:rsidP="00EA7DF0"/>
    <w:p w:rsidR="00EA7DF0" w:rsidRPr="00B27FCB" w:rsidRDefault="00EA7DF0" w:rsidP="00EA7DF0">
      <w:pPr>
        <w:tabs>
          <w:tab w:val="left" w:pos="2977"/>
        </w:tabs>
        <w:ind w:left="3958"/>
        <w:rPr>
          <w:sz w:val="16"/>
        </w:rPr>
      </w:pPr>
      <w:r w:rsidRPr="00B27FCB">
        <w:rPr>
          <w:noProof/>
          <w:sz w:val="16"/>
        </w:rPr>
        <w:t>GEMEINSAME EXPERTENTAGUNG FÜR DIE DEM</w:t>
      </w:r>
    </w:p>
    <w:p w:rsidR="00EA7DF0" w:rsidRPr="00B27FCB" w:rsidRDefault="00EA7DF0" w:rsidP="00EA7DF0">
      <w:pPr>
        <w:tabs>
          <w:tab w:val="left" w:pos="2977"/>
        </w:tabs>
        <w:ind w:left="3958"/>
        <w:rPr>
          <w:sz w:val="16"/>
        </w:rPr>
      </w:pPr>
      <w:r w:rsidRPr="00B27FCB">
        <w:rPr>
          <w:noProof/>
          <w:sz w:val="16"/>
        </w:rPr>
        <w:t>ÜBEREINKOMMEN ÜBER DIE INTERNATIONALE BEFÖRDERUNG</w:t>
      </w:r>
    </w:p>
    <w:p w:rsidR="00EA7DF0" w:rsidRPr="00B27FCB" w:rsidRDefault="00EA7DF0" w:rsidP="00EA7DF0">
      <w:pPr>
        <w:tabs>
          <w:tab w:val="left" w:pos="2977"/>
        </w:tabs>
        <w:ind w:left="3958"/>
        <w:rPr>
          <w:sz w:val="16"/>
        </w:rPr>
      </w:pPr>
      <w:r w:rsidRPr="00B27FCB">
        <w:rPr>
          <w:noProof/>
          <w:sz w:val="16"/>
        </w:rPr>
        <w:t>VON GEFÄHRLICHEN GÜTERN AUF BINNENWASSERSTRASSEN</w:t>
      </w:r>
    </w:p>
    <w:p w:rsidR="00EA7DF0" w:rsidRPr="00B27FCB" w:rsidRDefault="00EA7DF0" w:rsidP="00EA7DF0">
      <w:pPr>
        <w:tabs>
          <w:tab w:val="left" w:pos="2977"/>
        </w:tabs>
        <w:ind w:left="3958"/>
        <w:rPr>
          <w:position w:val="2"/>
          <w:sz w:val="16"/>
        </w:rPr>
      </w:pPr>
      <w:r w:rsidRPr="00B27FCB">
        <w:rPr>
          <w:noProof/>
          <w:sz w:val="16"/>
        </w:rPr>
        <w:t>BEIGEFÜGTE VERORDNUNG (ADN)</w:t>
      </w:r>
    </w:p>
    <w:p w:rsidR="00EA7DF0" w:rsidRPr="00B27FCB" w:rsidRDefault="00EA7DF0" w:rsidP="00EA7DF0">
      <w:pPr>
        <w:tabs>
          <w:tab w:val="left" w:pos="2977"/>
        </w:tabs>
        <w:ind w:left="3958"/>
        <w:rPr>
          <w:sz w:val="16"/>
        </w:rPr>
      </w:pPr>
      <w:r w:rsidRPr="00B27FCB">
        <w:rPr>
          <w:noProof/>
          <w:position w:val="2"/>
          <w:sz w:val="16"/>
        </w:rPr>
        <w:t>(SICHERHEITSAUSSCHUSS)</w:t>
      </w:r>
    </w:p>
    <w:p w:rsidR="00EA7DF0" w:rsidRPr="00B27FCB" w:rsidRDefault="00EA7DF0" w:rsidP="00EA7DF0">
      <w:pPr>
        <w:tabs>
          <w:tab w:val="left" w:pos="2977"/>
        </w:tabs>
        <w:ind w:left="3960"/>
        <w:rPr>
          <w:sz w:val="16"/>
        </w:rPr>
      </w:pPr>
      <w:r>
        <w:rPr>
          <w:sz w:val="16"/>
        </w:rPr>
        <w:t>(3</w:t>
      </w:r>
      <w:r w:rsidR="00DE1067">
        <w:rPr>
          <w:sz w:val="16"/>
        </w:rPr>
        <w:t>5</w:t>
      </w:r>
      <w:r w:rsidRPr="00B27FCB">
        <w:rPr>
          <w:sz w:val="16"/>
        </w:rPr>
        <w:t xml:space="preserve">. </w:t>
      </w:r>
      <w:r w:rsidRPr="00B27FCB">
        <w:rPr>
          <w:noProof/>
          <w:sz w:val="16"/>
        </w:rPr>
        <w:t xml:space="preserve">Tagung, Genf, </w:t>
      </w:r>
      <w:r w:rsidR="00DE1067">
        <w:rPr>
          <w:noProof/>
          <w:sz w:val="16"/>
        </w:rPr>
        <w:t>26</w:t>
      </w:r>
      <w:r>
        <w:rPr>
          <w:noProof/>
          <w:sz w:val="16"/>
        </w:rPr>
        <w:t>.</w:t>
      </w:r>
      <w:r w:rsidRPr="00B27FCB">
        <w:rPr>
          <w:noProof/>
          <w:sz w:val="16"/>
        </w:rPr>
        <w:t xml:space="preserve">. bis </w:t>
      </w:r>
      <w:r w:rsidR="00DE1067">
        <w:rPr>
          <w:noProof/>
          <w:sz w:val="16"/>
        </w:rPr>
        <w:t>30</w:t>
      </w:r>
      <w:r w:rsidRPr="00B27FCB">
        <w:rPr>
          <w:noProof/>
          <w:sz w:val="16"/>
        </w:rPr>
        <w:t xml:space="preserve">. </w:t>
      </w:r>
      <w:r w:rsidR="00DE1067">
        <w:rPr>
          <w:noProof/>
          <w:sz w:val="16"/>
        </w:rPr>
        <w:t>August</w:t>
      </w:r>
      <w:r>
        <w:rPr>
          <w:noProof/>
          <w:sz w:val="16"/>
        </w:rPr>
        <w:t xml:space="preserve"> 20</w:t>
      </w:r>
      <w:r w:rsidR="00DE1067">
        <w:rPr>
          <w:noProof/>
          <w:sz w:val="16"/>
        </w:rPr>
        <w:t>19</w:t>
      </w:r>
      <w:r w:rsidRPr="00B27FCB">
        <w:rPr>
          <w:noProof/>
          <w:sz w:val="16"/>
        </w:rPr>
        <w:t>)</w:t>
      </w:r>
    </w:p>
    <w:p w:rsidR="003B4BEC" w:rsidRPr="0023083A" w:rsidRDefault="003B4BEC" w:rsidP="003B4BEC">
      <w:pPr>
        <w:tabs>
          <w:tab w:val="left" w:pos="2977"/>
        </w:tabs>
        <w:ind w:left="3960" w:right="-2"/>
        <w:rPr>
          <w:snapToGrid w:val="0"/>
          <w:sz w:val="16"/>
          <w:szCs w:val="16"/>
          <w:lang w:eastAsia="fr-FR"/>
        </w:rPr>
      </w:pPr>
      <w:r w:rsidRPr="0023083A">
        <w:rPr>
          <w:snapToGrid w:val="0"/>
          <w:sz w:val="16"/>
          <w:szCs w:val="16"/>
          <w:lang w:eastAsia="fr-FR"/>
        </w:rPr>
        <w:t xml:space="preserve">Punkt </w:t>
      </w:r>
      <w:r>
        <w:rPr>
          <w:snapToGrid w:val="0"/>
          <w:sz w:val="16"/>
          <w:szCs w:val="16"/>
          <w:lang w:eastAsia="fr-FR"/>
        </w:rPr>
        <w:t>3 d)</w:t>
      </w:r>
      <w:r w:rsidRPr="0023083A">
        <w:rPr>
          <w:snapToGrid w:val="0"/>
          <w:sz w:val="16"/>
          <w:szCs w:val="16"/>
          <w:lang w:eastAsia="fr-FR"/>
        </w:rPr>
        <w:t xml:space="preserve"> zur vorläufigen Tagesordnung</w:t>
      </w:r>
    </w:p>
    <w:p w:rsidR="003B4BEC" w:rsidRPr="0023083A" w:rsidRDefault="003B4BEC" w:rsidP="003B4BEC">
      <w:pPr>
        <w:tabs>
          <w:tab w:val="left" w:pos="2977"/>
        </w:tabs>
        <w:ind w:left="3960"/>
        <w:rPr>
          <w:b/>
          <w:sz w:val="16"/>
          <w:szCs w:val="16"/>
          <w:lang w:eastAsia="en-US"/>
        </w:rPr>
      </w:pPr>
      <w:r w:rsidRPr="0023083A">
        <w:rPr>
          <w:b/>
          <w:sz w:val="16"/>
          <w:szCs w:val="16"/>
          <w:lang w:eastAsia="en-US"/>
        </w:rPr>
        <w:t xml:space="preserve">Durchführung des Europäischen Übereinkommens über die internationale Beförderung von gefährlichen Gütern auf Binnenwasserstraßen (ADN): </w:t>
      </w:r>
      <w:proofErr w:type="spellStart"/>
      <w:r w:rsidRPr="0023083A">
        <w:rPr>
          <w:b/>
          <w:sz w:val="16"/>
          <w:szCs w:val="16"/>
          <w:lang w:eastAsia="en-US"/>
        </w:rPr>
        <w:t>Sachkundigenausbildung</w:t>
      </w:r>
      <w:proofErr w:type="spellEnd"/>
    </w:p>
    <w:p w:rsidR="00EA7DF0" w:rsidRPr="00B27FCB" w:rsidRDefault="00EA7DF0" w:rsidP="00EA7DF0">
      <w:pPr>
        <w:rPr>
          <w:b/>
        </w:rPr>
      </w:pPr>
    </w:p>
    <w:p w:rsidR="00EA7DF0" w:rsidRPr="00B27FCB" w:rsidRDefault="00EA7DF0" w:rsidP="00EA7DF0">
      <w:pPr>
        <w:rPr>
          <w:b/>
        </w:rPr>
      </w:pPr>
    </w:p>
    <w:p w:rsidR="003B4BEC" w:rsidRDefault="003B4BEC" w:rsidP="00A402C2">
      <w:pPr>
        <w:pStyle w:val="H1G"/>
        <w:spacing w:line="276" w:lineRule="auto"/>
        <w:rPr>
          <w:bCs/>
          <w:sz w:val="28"/>
          <w:lang w:val="de-DE"/>
        </w:rPr>
      </w:pPr>
      <w:r>
        <w:rPr>
          <w:bCs/>
          <w:sz w:val="28"/>
          <w:lang w:val="de-DE"/>
        </w:rPr>
        <w:tab/>
      </w:r>
      <w:r>
        <w:rPr>
          <w:bCs/>
          <w:sz w:val="28"/>
          <w:lang w:val="de-DE"/>
        </w:rPr>
        <w:tab/>
        <w:t>Z</w:t>
      </w:r>
      <w:r w:rsidRPr="003B4BEC">
        <w:rPr>
          <w:bCs/>
          <w:sz w:val="28"/>
          <w:lang w:val="de-DE"/>
        </w:rPr>
        <w:t xml:space="preserve">wanzigste Sitzung der informellen Arbeitsgruppe </w:t>
      </w:r>
      <w:r w:rsidRPr="003B4BEC">
        <w:rPr>
          <w:bCs/>
          <w:sz w:val="22"/>
          <w:lang w:val="de-DE"/>
        </w:rPr>
        <w:t>„</w:t>
      </w:r>
      <w:proofErr w:type="spellStart"/>
      <w:r w:rsidRPr="003B4BEC">
        <w:rPr>
          <w:bCs/>
          <w:sz w:val="28"/>
          <w:lang w:val="de-DE"/>
        </w:rPr>
        <w:t>Sachkundigenausbildung</w:t>
      </w:r>
      <w:proofErr w:type="spellEnd"/>
      <w:r w:rsidRPr="003B4BEC">
        <w:rPr>
          <w:bCs/>
          <w:sz w:val="28"/>
          <w:lang w:val="de-DE"/>
        </w:rPr>
        <w:t>“</w:t>
      </w:r>
    </w:p>
    <w:p w:rsidR="00EA7DF0" w:rsidRPr="0099218A" w:rsidRDefault="00EA7DF0" w:rsidP="00EA7DF0">
      <w:pPr>
        <w:pStyle w:val="H1G"/>
        <w:rPr>
          <w:lang w:val="de-DE"/>
        </w:rPr>
      </w:pPr>
      <w:r w:rsidRPr="00CD1222">
        <w:rPr>
          <w:szCs w:val="24"/>
          <w:lang w:val="de-DE"/>
        </w:rPr>
        <w:tab/>
      </w:r>
      <w:r w:rsidRPr="00CD1222">
        <w:rPr>
          <w:szCs w:val="24"/>
          <w:lang w:val="de-DE"/>
        </w:rPr>
        <w:tab/>
      </w:r>
      <w:r w:rsidRPr="0099218A">
        <w:rPr>
          <w:lang w:val="de-DE"/>
        </w:rPr>
        <w:t xml:space="preserve">Vorgelegt von </w:t>
      </w:r>
      <w:r>
        <w:rPr>
          <w:lang w:val="de-DE"/>
        </w:rPr>
        <w:t>Deutschland</w:t>
      </w:r>
    </w:p>
    <w:p w:rsidR="00EA7DF0" w:rsidRPr="003F605E" w:rsidRDefault="00EA7DF0" w:rsidP="003F605E">
      <w:pPr>
        <w:spacing w:line="276" w:lineRule="auto"/>
        <w:rPr>
          <w:rFonts w:ascii="Times New Roman" w:hAnsi="Times New Roman"/>
          <w:sz w:val="22"/>
        </w:rPr>
      </w:pPr>
    </w:p>
    <w:p w:rsidR="004E3CD5" w:rsidRPr="004E3CD5" w:rsidRDefault="004E3CD5" w:rsidP="004E3CD5">
      <w:pPr>
        <w:rPr>
          <w:rFonts w:ascii="Times New Roman" w:hAnsi="Times New Roman"/>
          <w:sz w:val="22"/>
          <w:u w:val="single"/>
        </w:rPr>
      </w:pPr>
      <w:r w:rsidRPr="004E3CD5">
        <w:rPr>
          <w:rFonts w:ascii="Times New Roman" w:hAnsi="Times New Roman"/>
          <w:sz w:val="22"/>
          <w:u w:val="single"/>
        </w:rPr>
        <w:t>Verbundene</w:t>
      </w:r>
      <w:r w:rsidR="006B7807">
        <w:rPr>
          <w:rFonts w:ascii="Times New Roman" w:hAnsi="Times New Roman"/>
          <w:sz w:val="22"/>
          <w:u w:val="single"/>
        </w:rPr>
        <w:t>s</w:t>
      </w:r>
      <w:r w:rsidRPr="004E3CD5">
        <w:rPr>
          <w:rFonts w:ascii="Times New Roman" w:hAnsi="Times New Roman"/>
          <w:sz w:val="22"/>
          <w:u w:val="single"/>
        </w:rPr>
        <w:t xml:space="preserve"> Dokument: </w:t>
      </w:r>
    </w:p>
    <w:p w:rsidR="004E3CD5" w:rsidRPr="006B7807" w:rsidRDefault="006B7807" w:rsidP="004E3CD5">
      <w:pPr>
        <w:rPr>
          <w:rFonts w:ascii="Times New Roman" w:hAnsi="Times New Roman"/>
          <w:color w:val="000000"/>
        </w:rPr>
      </w:pPr>
      <w:r w:rsidRPr="006B7807">
        <w:rPr>
          <w:rFonts w:ascii="Times New Roman" w:hAnsi="Times New Roman"/>
          <w:color w:val="000000"/>
        </w:rPr>
        <w:t>CCNR-ZKR/ADN/WP.15/AC.2/2019/25</w:t>
      </w:r>
      <w:r w:rsidR="003B4BEC">
        <w:rPr>
          <w:rFonts w:ascii="Times New Roman" w:hAnsi="Times New Roman"/>
          <w:color w:val="000000"/>
        </w:rPr>
        <w:t>, Nr</w:t>
      </w:r>
      <w:r w:rsidR="00A402C2">
        <w:rPr>
          <w:rFonts w:ascii="Times New Roman" w:hAnsi="Times New Roman"/>
          <w:color w:val="000000"/>
        </w:rPr>
        <w:t>.</w:t>
      </w:r>
      <w:r w:rsidR="003B4BEC">
        <w:rPr>
          <w:rFonts w:ascii="Times New Roman" w:hAnsi="Times New Roman"/>
          <w:color w:val="000000"/>
        </w:rPr>
        <w:t xml:space="preserve"> 19</w:t>
      </w:r>
    </w:p>
    <w:p w:rsidR="00751575" w:rsidRDefault="00751575" w:rsidP="003F605E">
      <w:pPr>
        <w:spacing w:line="276" w:lineRule="auto"/>
        <w:rPr>
          <w:rFonts w:ascii="Times New Roman" w:hAnsi="Times New Roman"/>
          <w:sz w:val="22"/>
        </w:rPr>
      </w:pPr>
    </w:p>
    <w:p w:rsidR="00A402C2" w:rsidRPr="003F605E" w:rsidRDefault="00A402C2" w:rsidP="003F605E">
      <w:pPr>
        <w:spacing w:line="276" w:lineRule="auto"/>
        <w:rPr>
          <w:rFonts w:ascii="Times New Roman" w:hAnsi="Times New Roman"/>
          <w:sz w:val="22"/>
        </w:rPr>
      </w:pPr>
    </w:p>
    <w:p w:rsidR="004E3CD5" w:rsidRPr="000E7102" w:rsidRDefault="00D36FB1" w:rsidP="004E3CD5">
      <w:pPr>
        <w:pStyle w:val="Default"/>
      </w:pPr>
      <w:r w:rsidRPr="00DC435F">
        <w:rPr>
          <w:sz w:val="22"/>
        </w:rPr>
        <w:t>1.</w:t>
      </w:r>
      <w:r w:rsidRPr="00DC435F">
        <w:rPr>
          <w:sz w:val="22"/>
        </w:rPr>
        <w:tab/>
      </w:r>
      <w:r w:rsidR="004E3CD5">
        <w:t xml:space="preserve">Die </w:t>
      </w:r>
      <w:r w:rsidR="003B4BEC">
        <w:t xml:space="preserve">deutsche Delegation möchte den anderen Vertragsparteien </w:t>
      </w:r>
      <w:r w:rsidR="00A402C2">
        <w:t>das</w:t>
      </w:r>
      <w:r w:rsidR="003F605E">
        <w:t xml:space="preserve"> folgende</w:t>
      </w:r>
      <w:r w:rsidR="00A402C2">
        <w:t xml:space="preserve"> Dokument</w:t>
      </w:r>
      <w:r w:rsidR="003F605E">
        <w:t xml:space="preserve"> zur Kenntnis bringen</w:t>
      </w:r>
      <w:r w:rsidR="004E3CD5">
        <w:t>:</w:t>
      </w:r>
    </w:p>
    <w:p w:rsidR="009F1CAD" w:rsidRDefault="009F1CAD" w:rsidP="00DC435F">
      <w:pPr>
        <w:spacing w:line="276" w:lineRule="auto"/>
        <w:rPr>
          <w:rFonts w:ascii="Times New Roman" w:hAnsi="Times New Roman"/>
          <w:sz w:val="22"/>
        </w:rPr>
      </w:pPr>
    </w:p>
    <w:p w:rsidR="00AE46E0" w:rsidRPr="00AE46E0" w:rsidRDefault="00AE46E0" w:rsidP="00DC435F">
      <w:pPr>
        <w:spacing w:line="276" w:lineRule="auto"/>
        <w:rPr>
          <w:rFonts w:ascii="Times New Roman" w:hAnsi="Times New Roman"/>
          <w:color w:val="000000"/>
        </w:rPr>
      </w:pPr>
      <w:r w:rsidRPr="00AE46E0">
        <w:rPr>
          <w:rFonts w:ascii="Times New Roman" w:hAnsi="Times New Roman"/>
          <w:color w:val="000000"/>
        </w:rPr>
        <w:t xml:space="preserve">Bundesinstitut für Berufsbildung, </w:t>
      </w:r>
      <w:r w:rsidR="00B94045">
        <w:rPr>
          <w:rFonts w:ascii="Times New Roman" w:hAnsi="Times New Roman"/>
          <w:color w:val="000000"/>
        </w:rPr>
        <w:t xml:space="preserve">[Federal Institute </w:t>
      </w:r>
      <w:proofErr w:type="spellStart"/>
      <w:r w:rsidR="00B94045">
        <w:rPr>
          <w:rFonts w:ascii="Times New Roman" w:hAnsi="Times New Roman"/>
          <w:color w:val="000000"/>
        </w:rPr>
        <w:t>for</w:t>
      </w:r>
      <w:proofErr w:type="spellEnd"/>
      <w:r w:rsidR="00B94045">
        <w:rPr>
          <w:rFonts w:ascii="Times New Roman" w:hAnsi="Times New Roman"/>
          <w:color w:val="000000"/>
        </w:rPr>
        <w:t xml:space="preserve"> </w:t>
      </w:r>
      <w:proofErr w:type="spellStart"/>
      <w:r w:rsidR="00B94045">
        <w:rPr>
          <w:rFonts w:ascii="Times New Roman" w:hAnsi="Times New Roman"/>
          <w:color w:val="000000"/>
        </w:rPr>
        <w:t>Vocational</w:t>
      </w:r>
      <w:proofErr w:type="spellEnd"/>
      <w:r w:rsidR="00B94045">
        <w:rPr>
          <w:rFonts w:ascii="Times New Roman" w:hAnsi="Times New Roman"/>
          <w:color w:val="000000"/>
        </w:rPr>
        <w:t xml:space="preserve"> Education and Training] </w:t>
      </w:r>
      <w:r w:rsidRPr="00AE46E0">
        <w:rPr>
          <w:rFonts w:ascii="Times New Roman" w:hAnsi="Times New Roman"/>
          <w:color w:val="000000"/>
        </w:rPr>
        <w:t>Bonn, Deutschland</w:t>
      </w:r>
      <w:r w:rsidR="00A402C2">
        <w:rPr>
          <w:rFonts w:ascii="Times New Roman" w:hAnsi="Times New Roman"/>
          <w:color w:val="000000"/>
        </w:rPr>
        <w:t xml:space="preserve"> [Germany]</w:t>
      </w:r>
      <w:r w:rsidRPr="00AE46E0">
        <w:rPr>
          <w:rFonts w:ascii="Times New Roman" w:hAnsi="Times New Roman"/>
          <w:color w:val="000000"/>
        </w:rPr>
        <w:t>:</w:t>
      </w:r>
    </w:p>
    <w:p w:rsidR="003F605E" w:rsidRDefault="003F605E" w:rsidP="00DC435F">
      <w:pPr>
        <w:spacing w:line="276" w:lineRule="auto"/>
        <w:rPr>
          <w:rFonts w:ascii="Times New Roman" w:hAnsi="Times New Roman"/>
          <w:color w:val="000000"/>
        </w:rPr>
      </w:pPr>
      <w:r w:rsidRPr="00AE46E0">
        <w:rPr>
          <w:rFonts w:ascii="Times New Roman" w:hAnsi="Times New Roman"/>
          <w:color w:val="000000"/>
        </w:rPr>
        <w:t>2.2.326 - Gutachterliche Stellungnahme zur Ausbildung der Schiffsführer für die Beförderung gefährlicher Güter auf Binnenwasserstraßen</w:t>
      </w:r>
      <w:r w:rsidR="00B94045">
        <w:rPr>
          <w:rFonts w:ascii="Times New Roman" w:hAnsi="Times New Roman"/>
          <w:color w:val="000000"/>
        </w:rPr>
        <w:t>.</w:t>
      </w:r>
    </w:p>
    <w:p w:rsidR="00B94045" w:rsidRDefault="00B94045" w:rsidP="00DC435F">
      <w:pPr>
        <w:spacing w:line="276" w:lineRule="auto"/>
        <w:rPr>
          <w:rFonts w:ascii="Times New Roman" w:hAnsi="Times New Roman"/>
          <w:color w:val="000000"/>
        </w:rPr>
      </w:pPr>
    </w:p>
    <w:p w:rsidR="00B94045" w:rsidRDefault="00B94045" w:rsidP="00DC435F">
      <w:pPr>
        <w:spacing w:line="276" w:lineRule="auto"/>
        <w:rPr>
          <w:rFonts w:ascii="Times New Roman" w:hAnsi="Times New Roman"/>
          <w:color w:val="000000"/>
        </w:rPr>
      </w:pPr>
      <w:r>
        <w:rPr>
          <w:rFonts w:ascii="Times New Roman" w:hAnsi="Times New Roman"/>
          <w:color w:val="000000"/>
        </w:rPr>
        <w:t>2.</w:t>
      </w:r>
      <w:r>
        <w:rPr>
          <w:rFonts w:ascii="Times New Roman" w:hAnsi="Times New Roman"/>
          <w:color w:val="000000"/>
        </w:rPr>
        <w:tab/>
        <w:t>Der vollständige Text kann unter folgender Internetadresse abgerufen werden:</w:t>
      </w:r>
    </w:p>
    <w:p w:rsidR="00B94045" w:rsidRDefault="00B94045" w:rsidP="00DC435F">
      <w:pPr>
        <w:spacing w:line="276" w:lineRule="auto"/>
        <w:rPr>
          <w:rFonts w:ascii="Times New Roman" w:hAnsi="Times New Roman"/>
          <w:color w:val="000000"/>
        </w:rPr>
      </w:pPr>
    </w:p>
    <w:p w:rsidR="00B94045" w:rsidRPr="00BF3D1A" w:rsidRDefault="002F520A" w:rsidP="00172534">
      <w:pPr>
        <w:spacing w:line="276" w:lineRule="auto"/>
        <w:ind w:left="708"/>
        <w:rPr>
          <w:rFonts w:ascii="Times New Roman" w:hAnsi="Times New Roman"/>
          <w:color w:val="F79646" w:themeColor="accent6"/>
        </w:rPr>
      </w:pPr>
      <w:hyperlink r:id="rId7" w:history="1">
        <w:r w:rsidR="00E01025" w:rsidRPr="00BF3D1A">
          <w:rPr>
            <w:rStyle w:val="Hyperlink"/>
            <w:rFonts w:ascii="Times New Roman" w:hAnsi="Times New Roman"/>
          </w:rPr>
          <w:t>https://www.bibb.de/tools/dapro/data/documents/pdf/eb_22326.pdf</w:t>
        </w:r>
      </w:hyperlink>
    </w:p>
    <w:p w:rsidR="00B94045" w:rsidRDefault="00B94045" w:rsidP="00DC435F">
      <w:pPr>
        <w:spacing w:line="276" w:lineRule="auto"/>
        <w:rPr>
          <w:rFonts w:ascii="Times New Roman" w:hAnsi="Times New Roman"/>
          <w:color w:val="000000"/>
        </w:rPr>
      </w:pPr>
    </w:p>
    <w:p w:rsidR="00B94045" w:rsidRDefault="00B94045" w:rsidP="00DC435F">
      <w:pPr>
        <w:spacing w:line="276" w:lineRule="auto"/>
        <w:rPr>
          <w:rFonts w:ascii="Times New Roman" w:hAnsi="Times New Roman"/>
          <w:color w:val="000000"/>
        </w:rPr>
      </w:pPr>
      <w:r>
        <w:rPr>
          <w:rFonts w:ascii="Times New Roman" w:hAnsi="Times New Roman"/>
          <w:color w:val="000000"/>
        </w:rPr>
        <w:t>3.</w:t>
      </w:r>
      <w:r>
        <w:rPr>
          <w:rFonts w:ascii="Times New Roman" w:hAnsi="Times New Roman"/>
          <w:color w:val="000000"/>
        </w:rPr>
        <w:tab/>
        <w:t>Das Institut hat folgende Handlungsempfehlungen abgegeben:</w:t>
      </w:r>
    </w:p>
    <w:p w:rsidR="00B94045" w:rsidRDefault="00B94045" w:rsidP="00DC435F">
      <w:pPr>
        <w:spacing w:line="276" w:lineRule="auto"/>
        <w:rPr>
          <w:rFonts w:ascii="Times New Roman" w:hAnsi="Times New Roman"/>
          <w:color w:val="000000"/>
        </w:rPr>
      </w:pPr>
    </w:p>
    <w:p w:rsidR="00B94045" w:rsidRPr="00172534" w:rsidRDefault="00B94045" w:rsidP="00172534">
      <w:pPr>
        <w:spacing w:line="276" w:lineRule="auto"/>
        <w:ind w:left="708"/>
        <w:rPr>
          <w:rFonts w:ascii="Times New Roman" w:hAnsi="Times New Roman"/>
          <w:b/>
          <w:color w:val="000000"/>
        </w:rPr>
      </w:pPr>
      <w:bookmarkStart w:id="1" w:name="_Toc5001845"/>
      <w:r w:rsidRPr="00172534">
        <w:rPr>
          <w:rFonts w:ascii="Times New Roman" w:hAnsi="Times New Roman"/>
          <w:b/>
          <w:color w:val="000000"/>
        </w:rPr>
        <w:t>„6 Handlungsempfehlungen</w:t>
      </w:r>
      <w:bookmarkEnd w:id="1"/>
    </w:p>
    <w:p w:rsidR="00172534" w:rsidRPr="00172534" w:rsidRDefault="00172534" w:rsidP="00172534">
      <w:pPr>
        <w:spacing w:line="276" w:lineRule="auto"/>
        <w:ind w:left="708"/>
        <w:rPr>
          <w:rFonts w:ascii="Times New Roman" w:hAnsi="Times New Roman"/>
          <w:color w:val="000000"/>
        </w:rPr>
      </w:pPr>
    </w:p>
    <w:p w:rsidR="00B94045" w:rsidRPr="00B94045" w:rsidRDefault="00B94045" w:rsidP="00172534">
      <w:pPr>
        <w:spacing w:after="200" w:line="276" w:lineRule="auto"/>
        <w:ind w:left="708"/>
        <w:rPr>
          <w:rFonts w:ascii="Times New Roman" w:hAnsi="Times New Roman"/>
        </w:rPr>
      </w:pPr>
      <w:r w:rsidRPr="00B94045">
        <w:rPr>
          <w:rFonts w:ascii="Times New Roman" w:hAnsi="Times New Roman"/>
        </w:rPr>
        <w:t xml:space="preserve">Grundsätzlich gibt diese Stellungnahme die Empfehlung, die Prüfung an sich in den Gremien zu diskutieren. Die Kritikpunkte wurden angerissen. Da dies für den aktuellen Stand jedoch eine ungleich hohe und umfangreiche Hürde darstellt (Änderung des ADN hinsichtlich Kenntnisprüfung, Änderung der Prüfungsdurchführungsform hinsichtlich einer rein schriftlichen Form, Änderung der Aufgabenform hinsichtlich der ausschließlich gebundenen Auswahlaufgaben), </w:t>
      </w:r>
      <w:r w:rsidRPr="00B94045">
        <w:rPr>
          <w:rFonts w:ascii="Times New Roman" w:hAnsi="Times New Roman"/>
        </w:rPr>
        <w:lastRenderedPageBreak/>
        <w:t>beziehen sich die nachfolgenden Handlungsempfehlungen auf die bestehende Prüfungsform. Dennoch sollte der Einsatz ungebundener Aufgaben geprüft werden, da diese es eher ermöglichen, eigene Leistungen z.B. in Form einer Frisurenskizze, Begründungen, Zusammenhänge oder Meinungen darzustellen.</w:t>
      </w:r>
    </w:p>
    <w:p w:rsidR="00B94045" w:rsidRPr="00B94045" w:rsidRDefault="00B94045" w:rsidP="00172534">
      <w:pPr>
        <w:spacing w:after="200" w:line="276" w:lineRule="auto"/>
        <w:ind w:left="708"/>
        <w:rPr>
          <w:rFonts w:ascii="Times New Roman" w:hAnsi="Times New Roman"/>
        </w:rPr>
      </w:pPr>
      <w:r w:rsidRPr="00B94045">
        <w:rPr>
          <w:rFonts w:ascii="Times New Roman" w:hAnsi="Times New Roman"/>
        </w:rPr>
        <w:t xml:space="preserve">Die Distraktoren sollten </w:t>
      </w:r>
      <w:r w:rsidRPr="00B94045">
        <w:rPr>
          <w:rFonts w:ascii="Times New Roman" w:hAnsi="Times New Roman"/>
          <w:b/>
        </w:rPr>
        <w:t>nicht reduziert</w:t>
      </w:r>
      <w:r w:rsidRPr="00B94045">
        <w:rPr>
          <w:rFonts w:ascii="Times New Roman" w:hAnsi="Times New Roman"/>
        </w:rPr>
        <w:t xml:space="preserve"> werden. Jedoch sollte punktuell geprüft werden, inwieweit vom gebundenen Aufgabentyp </w:t>
      </w:r>
      <w:r w:rsidRPr="00B94045">
        <w:rPr>
          <w:rFonts w:ascii="Times New Roman" w:hAnsi="Times New Roman"/>
          <w:b/>
        </w:rPr>
        <w:t>abgewichen</w:t>
      </w:r>
      <w:r w:rsidRPr="00B94045">
        <w:rPr>
          <w:rFonts w:ascii="Times New Roman" w:hAnsi="Times New Roman"/>
        </w:rPr>
        <w:t xml:space="preserve"> werden kann. Prinzipiell scheint es niederschwellig umsetzbar, die </w:t>
      </w:r>
      <w:r w:rsidRPr="00B94045">
        <w:rPr>
          <w:rFonts w:ascii="Times New Roman" w:hAnsi="Times New Roman"/>
          <w:b/>
        </w:rPr>
        <w:t>Sprache anzupassen</w:t>
      </w:r>
      <w:r w:rsidRPr="00B94045">
        <w:rPr>
          <w:rFonts w:ascii="Times New Roman" w:hAnsi="Times New Roman"/>
        </w:rPr>
        <w:t>. Hierzu kann sich an den Qualitätsanforderungen der PAL an schriftliche Aufgaben und Aufgabensätze (</w:t>
      </w:r>
      <w:r w:rsidR="00722BFC">
        <w:rPr>
          <w:rFonts w:ascii="Times New Roman" w:hAnsi="Times New Roman"/>
        </w:rPr>
        <w:t>...</w:t>
      </w:r>
      <w:r w:rsidRPr="00B94045">
        <w:rPr>
          <w:rFonts w:ascii="Times New Roman" w:hAnsi="Times New Roman"/>
        </w:rPr>
        <w:t xml:space="preserve">) oder am Leitfaden für Aufgabenerstellung und Prüfungsdurchführung des DIHK </w:t>
      </w:r>
      <w:r w:rsidR="00722BFC">
        <w:rPr>
          <w:rFonts w:ascii="Times New Roman" w:hAnsi="Times New Roman"/>
        </w:rPr>
        <w:t>[Deutscher Industrie- und Handelskammer</w:t>
      </w:r>
      <w:r w:rsidR="00225353">
        <w:rPr>
          <w:rFonts w:ascii="Times New Roman" w:hAnsi="Times New Roman"/>
        </w:rPr>
        <w:t xml:space="preserve">tag] </w:t>
      </w:r>
      <w:r w:rsidRPr="00B94045">
        <w:rPr>
          <w:rFonts w:ascii="Times New Roman" w:hAnsi="Times New Roman"/>
        </w:rPr>
        <w:t>(</w:t>
      </w:r>
      <w:r w:rsidR="00722BFC">
        <w:rPr>
          <w:rFonts w:ascii="Times New Roman" w:hAnsi="Times New Roman"/>
        </w:rPr>
        <w:t>...</w:t>
      </w:r>
      <w:r w:rsidRPr="00B94045">
        <w:rPr>
          <w:rFonts w:ascii="Times New Roman" w:hAnsi="Times New Roman"/>
        </w:rPr>
        <w:t>) orientiert werden. Dazu zählen u. a.:</w:t>
      </w:r>
    </w:p>
    <w:p w:rsidR="00B94045" w:rsidRPr="00B94045" w:rsidRDefault="00B94045" w:rsidP="00172534">
      <w:pPr>
        <w:pStyle w:val="ListParagraph"/>
        <w:widowControl/>
        <w:numPr>
          <w:ilvl w:val="0"/>
          <w:numId w:val="2"/>
        </w:numPr>
        <w:autoSpaceDE/>
        <w:autoSpaceDN/>
        <w:spacing w:after="200" w:line="276" w:lineRule="auto"/>
        <w:ind w:left="1428"/>
        <w:rPr>
          <w:rFonts w:ascii="Times New Roman" w:eastAsia="Times New Roman" w:hAnsi="Times New Roman" w:cs="Times New Roman"/>
          <w:sz w:val="24"/>
          <w:szCs w:val="24"/>
          <w:lang w:val="de-DE" w:eastAsia="de-DE"/>
        </w:rPr>
      </w:pPr>
      <w:r w:rsidRPr="00B94045">
        <w:rPr>
          <w:rFonts w:ascii="Times New Roman" w:eastAsia="Times New Roman" w:hAnsi="Times New Roman" w:cs="Times New Roman"/>
          <w:sz w:val="24"/>
          <w:szCs w:val="24"/>
          <w:lang w:val="de-DE" w:eastAsia="de-DE"/>
        </w:rPr>
        <w:t>möglichst häufig die Subjekt-Prädikat-Objekt-Struktur verwenden</w:t>
      </w:r>
    </w:p>
    <w:p w:rsidR="00B94045" w:rsidRPr="00B94045" w:rsidRDefault="00B94045" w:rsidP="00172534">
      <w:pPr>
        <w:pStyle w:val="ListParagraph"/>
        <w:widowControl/>
        <w:numPr>
          <w:ilvl w:val="0"/>
          <w:numId w:val="2"/>
        </w:numPr>
        <w:autoSpaceDE/>
        <w:autoSpaceDN/>
        <w:spacing w:after="200" w:line="276" w:lineRule="auto"/>
        <w:ind w:left="1428"/>
        <w:rPr>
          <w:rFonts w:ascii="Times New Roman" w:eastAsia="Times New Roman" w:hAnsi="Times New Roman" w:cs="Times New Roman"/>
          <w:sz w:val="24"/>
          <w:szCs w:val="24"/>
          <w:lang w:val="de-DE" w:eastAsia="de-DE"/>
        </w:rPr>
      </w:pPr>
      <w:r w:rsidRPr="00B94045">
        <w:rPr>
          <w:rFonts w:ascii="Times New Roman" w:eastAsia="Times New Roman" w:hAnsi="Times New Roman" w:cs="Times New Roman"/>
          <w:sz w:val="24"/>
          <w:szCs w:val="24"/>
          <w:lang w:val="de-DE" w:eastAsia="de-DE"/>
        </w:rPr>
        <w:t>möglichst kurze Sätze formulieren; Schachtelsätze vermeiden</w:t>
      </w:r>
    </w:p>
    <w:p w:rsidR="00B94045" w:rsidRPr="00B94045" w:rsidRDefault="00B94045" w:rsidP="00172534">
      <w:pPr>
        <w:pStyle w:val="ListParagraph"/>
        <w:widowControl/>
        <w:numPr>
          <w:ilvl w:val="0"/>
          <w:numId w:val="2"/>
        </w:numPr>
        <w:autoSpaceDE/>
        <w:autoSpaceDN/>
        <w:spacing w:after="200" w:line="276" w:lineRule="auto"/>
        <w:ind w:left="1428"/>
        <w:rPr>
          <w:rFonts w:ascii="Times New Roman" w:eastAsia="Times New Roman" w:hAnsi="Times New Roman" w:cs="Times New Roman"/>
          <w:sz w:val="24"/>
          <w:szCs w:val="24"/>
          <w:lang w:val="de-DE" w:eastAsia="de-DE"/>
        </w:rPr>
      </w:pPr>
      <w:r w:rsidRPr="00B94045">
        <w:rPr>
          <w:rFonts w:ascii="Times New Roman" w:eastAsia="Times New Roman" w:hAnsi="Times New Roman" w:cs="Times New Roman"/>
          <w:sz w:val="24"/>
          <w:szCs w:val="24"/>
          <w:lang w:val="de-DE" w:eastAsia="de-DE"/>
        </w:rPr>
        <w:t>konkrete und anschauliche - statt abstrakter - Wörter verwenden</w:t>
      </w:r>
    </w:p>
    <w:p w:rsidR="00B94045" w:rsidRPr="00B94045" w:rsidRDefault="00B94045" w:rsidP="00172534">
      <w:pPr>
        <w:pStyle w:val="ListParagraph"/>
        <w:widowControl/>
        <w:numPr>
          <w:ilvl w:val="0"/>
          <w:numId w:val="2"/>
        </w:numPr>
        <w:autoSpaceDE/>
        <w:autoSpaceDN/>
        <w:spacing w:after="200" w:line="276" w:lineRule="auto"/>
        <w:ind w:left="1428"/>
        <w:rPr>
          <w:rFonts w:ascii="Times New Roman" w:eastAsia="Times New Roman" w:hAnsi="Times New Roman" w:cs="Times New Roman"/>
          <w:sz w:val="24"/>
          <w:szCs w:val="24"/>
          <w:lang w:val="de-DE" w:eastAsia="de-DE"/>
        </w:rPr>
      </w:pPr>
      <w:r w:rsidRPr="00B94045">
        <w:rPr>
          <w:rFonts w:ascii="Times New Roman" w:eastAsia="Times New Roman" w:hAnsi="Times New Roman" w:cs="Times New Roman"/>
          <w:sz w:val="24"/>
          <w:szCs w:val="24"/>
          <w:lang w:val="de-DE" w:eastAsia="de-DE"/>
        </w:rPr>
        <w:t>komplexe Wortkonstruktionen auflösen und vereinfachen; lange Wörter durch den Einsatz von Bindestrichen ersetzen</w:t>
      </w:r>
    </w:p>
    <w:p w:rsidR="00B94045" w:rsidRPr="00B94045" w:rsidRDefault="00B94045" w:rsidP="00172534">
      <w:pPr>
        <w:pStyle w:val="ListParagraph"/>
        <w:widowControl/>
        <w:numPr>
          <w:ilvl w:val="0"/>
          <w:numId w:val="2"/>
        </w:numPr>
        <w:autoSpaceDE/>
        <w:autoSpaceDN/>
        <w:spacing w:after="200" w:line="276" w:lineRule="auto"/>
        <w:ind w:left="1428"/>
        <w:rPr>
          <w:rFonts w:ascii="Times New Roman" w:eastAsia="Times New Roman" w:hAnsi="Times New Roman" w:cs="Times New Roman"/>
          <w:sz w:val="24"/>
          <w:szCs w:val="24"/>
          <w:lang w:val="de-DE" w:eastAsia="de-DE"/>
        </w:rPr>
      </w:pPr>
      <w:r w:rsidRPr="00B94045">
        <w:rPr>
          <w:rFonts w:ascii="Times New Roman" w:eastAsia="Times New Roman" w:hAnsi="Times New Roman" w:cs="Times New Roman"/>
          <w:sz w:val="24"/>
          <w:szCs w:val="24"/>
          <w:lang w:val="de-DE" w:eastAsia="de-DE"/>
        </w:rPr>
        <w:t>positive Fragestellungen formulieren; Verneinungen vermeiden; Negationen hervorheben</w:t>
      </w:r>
    </w:p>
    <w:p w:rsidR="00B94045" w:rsidRPr="00B94045" w:rsidRDefault="00B94045" w:rsidP="00172534">
      <w:pPr>
        <w:pStyle w:val="ListParagraph"/>
        <w:widowControl/>
        <w:numPr>
          <w:ilvl w:val="0"/>
          <w:numId w:val="2"/>
        </w:numPr>
        <w:autoSpaceDE/>
        <w:autoSpaceDN/>
        <w:spacing w:after="200" w:line="276" w:lineRule="auto"/>
        <w:ind w:left="1428"/>
        <w:rPr>
          <w:rFonts w:ascii="Times New Roman" w:eastAsia="Times New Roman" w:hAnsi="Times New Roman" w:cs="Times New Roman"/>
          <w:sz w:val="24"/>
          <w:szCs w:val="24"/>
          <w:lang w:val="de-DE" w:eastAsia="de-DE"/>
        </w:rPr>
      </w:pPr>
      <w:r w:rsidRPr="00B94045">
        <w:rPr>
          <w:rFonts w:ascii="Times New Roman" w:eastAsia="Times New Roman" w:hAnsi="Times New Roman" w:cs="Times New Roman"/>
          <w:sz w:val="24"/>
          <w:szCs w:val="24"/>
          <w:lang w:val="de-DE" w:eastAsia="de-DE"/>
        </w:rPr>
        <w:t>einzelne Wörter systematisch und gezielt hervorheben; durch das Layout die Aufgaben übersichtlich und leicht erfassbar strukturieren und gliedern</w:t>
      </w:r>
    </w:p>
    <w:p w:rsidR="00B94045" w:rsidRPr="00B94045" w:rsidRDefault="00B94045" w:rsidP="00172534">
      <w:pPr>
        <w:pStyle w:val="ListParagraph"/>
        <w:widowControl/>
        <w:numPr>
          <w:ilvl w:val="0"/>
          <w:numId w:val="2"/>
        </w:numPr>
        <w:autoSpaceDE/>
        <w:autoSpaceDN/>
        <w:spacing w:after="200" w:line="276" w:lineRule="auto"/>
        <w:ind w:left="1428"/>
        <w:rPr>
          <w:rFonts w:ascii="Times New Roman" w:eastAsia="Times New Roman" w:hAnsi="Times New Roman" w:cs="Times New Roman"/>
          <w:sz w:val="24"/>
          <w:szCs w:val="24"/>
          <w:lang w:val="de-DE" w:eastAsia="de-DE"/>
        </w:rPr>
      </w:pPr>
      <w:r w:rsidRPr="00B94045">
        <w:rPr>
          <w:rFonts w:ascii="Times New Roman" w:eastAsia="Times New Roman" w:hAnsi="Times New Roman" w:cs="Times New Roman"/>
          <w:sz w:val="24"/>
          <w:szCs w:val="24"/>
          <w:lang w:val="de-DE" w:eastAsia="de-DE"/>
        </w:rPr>
        <w:t>Texte durch Bilder veranschaulichen</w:t>
      </w:r>
    </w:p>
    <w:p w:rsidR="00B94045" w:rsidRPr="00B94045" w:rsidRDefault="00B94045" w:rsidP="00172534">
      <w:pPr>
        <w:pStyle w:val="ListParagraph"/>
        <w:widowControl/>
        <w:numPr>
          <w:ilvl w:val="0"/>
          <w:numId w:val="2"/>
        </w:numPr>
        <w:autoSpaceDE/>
        <w:autoSpaceDN/>
        <w:spacing w:after="200" w:line="276" w:lineRule="auto"/>
        <w:ind w:left="1428"/>
        <w:rPr>
          <w:rFonts w:ascii="Times New Roman" w:eastAsia="Times New Roman" w:hAnsi="Times New Roman" w:cs="Times New Roman"/>
          <w:sz w:val="24"/>
          <w:szCs w:val="24"/>
          <w:lang w:val="de-DE" w:eastAsia="de-DE"/>
        </w:rPr>
      </w:pPr>
      <w:r w:rsidRPr="00B94045">
        <w:rPr>
          <w:rFonts w:ascii="Times New Roman" w:eastAsia="Times New Roman" w:hAnsi="Times New Roman" w:cs="Times New Roman"/>
          <w:sz w:val="24"/>
          <w:szCs w:val="24"/>
          <w:lang w:val="de-DE" w:eastAsia="de-DE"/>
        </w:rPr>
        <w:t>Frage vom Aufgabenstamm abgrenzen</w:t>
      </w:r>
    </w:p>
    <w:p w:rsidR="00B94045" w:rsidRPr="00B94045" w:rsidRDefault="00B94045" w:rsidP="00172534">
      <w:pPr>
        <w:pStyle w:val="ListParagraph"/>
        <w:widowControl/>
        <w:numPr>
          <w:ilvl w:val="0"/>
          <w:numId w:val="2"/>
        </w:numPr>
        <w:autoSpaceDE/>
        <w:autoSpaceDN/>
        <w:spacing w:after="200" w:line="276" w:lineRule="auto"/>
        <w:ind w:left="1428"/>
        <w:rPr>
          <w:rFonts w:ascii="Times New Roman" w:eastAsia="Times New Roman" w:hAnsi="Times New Roman" w:cs="Times New Roman"/>
          <w:sz w:val="24"/>
          <w:szCs w:val="24"/>
          <w:lang w:val="de-DE" w:eastAsia="de-DE"/>
        </w:rPr>
      </w:pPr>
      <w:r w:rsidRPr="00B94045">
        <w:rPr>
          <w:rFonts w:ascii="Times New Roman" w:eastAsia="Times New Roman" w:hAnsi="Times New Roman" w:cs="Times New Roman"/>
          <w:sz w:val="24"/>
          <w:szCs w:val="24"/>
          <w:lang w:val="de-DE" w:eastAsia="de-DE"/>
        </w:rPr>
        <w:t>Frage und Antworten grammatikalisch anschlussfähig formulieren („Wodurch…?“ – „Durch …“)</w:t>
      </w:r>
    </w:p>
    <w:p w:rsidR="00B94045" w:rsidRPr="00B94045" w:rsidRDefault="00B94045" w:rsidP="00172534">
      <w:pPr>
        <w:pStyle w:val="ListParagraph"/>
        <w:widowControl/>
        <w:numPr>
          <w:ilvl w:val="0"/>
          <w:numId w:val="2"/>
        </w:numPr>
        <w:autoSpaceDE/>
        <w:autoSpaceDN/>
        <w:spacing w:after="200" w:line="276" w:lineRule="auto"/>
        <w:ind w:left="1428"/>
        <w:rPr>
          <w:rFonts w:ascii="Times New Roman" w:eastAsia="Times New Roman" w:hAnsi="Times New Roman" w:cs="Times New Roman"/>
          <w:sz w:val="24"/>
          <w:szCs w:val="24"/>
          <w:lang w:val="de-DE" w:eastAsia="de-DE"/>
        </w:rPr>
      </w:pPr>
      <w:r w:rsidRPr="00B94045">
        <w:rPr>
          <w:rFonts w:ascii="Times New Roman" w:eastAsia="Times New Roman" w:hAnsi="Times New Roman" w:cs="Times New Roman"/>
          <w:sz w:val="24"/>
          <w:szCs w:val="24"/>
          <w:lang w:val="de-DE" w:eastAsia="de-DE"/>
        </w:rPr>
        <w:t>logische, plausible, stimmige und vergleichbare Antwortoptionen ohne versteckte Hinweise formulieren, die nicht mehr als eine Aussage enthalten</w:t>
      </w:r>
    </w:p>
    <w:p w:rsidR="00B94045" w:rsidRPr="00B94045" w:rsidRDefault="00B94045" w:rsidP="00172534">
      <w:pPr>
        <w:spacing w:after="200" w:line="276" w:lineRule="auto"/>
        <w:ind w:left="708"/>
        <w:rPr>
          <w:rFonts w:ascii="Times New Roman" w:hAnsi="Times New Roman"/>
        </w:rPr>
      </w:pPr>
      <w:r w:rsidRPr="00B94045">
        <w:rPr>
          <w:rFonts w:ascii="Times New Roman" w:hAnsi="Times New Roman"/>
        </w:rPr>
        <w:t xml:space="preserve">Insbesondere der verstärkte Einsatz von </w:t>
      </w:r>
      <w:r w:rsidRPr="00B94045">
        <w:rPr>
          <w:rFonts w:ascii="Times New Roman" w:hAnsi="Times New Roman"/>
          <w:b/>
        </w:rPr>
        <w:t>Bildmaterial</w:t>
      </w:r>
      <w:r w:rsidRPr="00B94045">
        <w:rPr>
          <w:rFonts w:ascii="Times New Roman" w:hAnsi="Times New Roman"/>
        </w:rPr>
        <w:t xml:space="preserve"> anstelle von umfangreicheren verbalen Beschreibungen (gestapelt, Gefahrgutzettel, Kennzeichnung des Schiffes etc.) könnte dazu beitragen, dem Bedarf an einer Ausweitung der Bearbeitungszeit zu begegnen.</w:t>
      </w:r>
    </w:p>
    <w:p w:rsidR="00B94045" w:rsidRPr="00B94045" w:rsidRDefault="00B94045" w:rsidP="00172534">
      <w:pPr>
        <w:spacing w:after="200" w:line="276" w:lineRule="auto"/>
        <w:ind w:left="708"/>
        <w:rPr>
          <w:rFonts w:ascii="Times New Roman" w:hAnsi="Times New Roman"/>
        </w:rPr>
      </w:pPr>
      <w:r w:rsidRPr="00B94045">
        <w:rPr>
          <w:rFonts w:ascii="Times New Roman" w:hAnsi="Times New Roman"/>
        </w:rPr>
        <w:t xml:space="preserve">Bezüglich der </w:t>
      </w:r>
      <w:r w:rsidRPr="00B94045">
        <w:rPr>
          <w:rFonts w:ascii="Times New Roman" w:hAnsi="Times New Roman"/>
          <w:b/>
        </w:rPr>
        <w:t>Bearbeitungszeit</w:t>
      </w:r>
      <w:r w:rsidRPr="00B94045">
        <w:rPr>
          <w:rFonts w:ascii="Times New Roman" w:hAnsi="Times New Roman"/>
        </w:rPr>
        <w:t xml:space="preserve"> kann keine eindeutige Aussage getroffen werden. Das Sprachniveau der Kandidaten sollte nicht dafür herangezogen werden, die Bearbeitungszeit zu erhöhen. Dafür scheinen andere Maßnahmen wie die Anpassung der Prüfungsform sowie des Aufgabentyps wesentlich geeigneter. Durch eine </w:t>
      </w:r>
      <w:r w:rsidRPr="00B94045">
        <w:rPr>
          <w:rFonts w:ascii="Times New Roman" w:hAnsi="Times New Roman"/>
          <w:b/>
        </w:rPr>
        <w:t>Anpassung der Sprache</w:t>
      </w:r>
      <w:r w:rsidRPr="00B94045">
        <w:rPr>
          <w:rFonts w:ascii="Times New Roman" w:hAnsi="Times New Roman"/>
        </w:rPr>
        <w:t xml:space="preserve"> kann der Lese- und </w:t>
      </w:r>
      <w:proofErr w:type="spellStart"/>
      <w:r w:rsidRPr="00B94045">
        <w:rPr>
          <w:rFonts w:ascii="Times New Roman" w:hAnsi="Times New Roman"/>
        </w:rPr>
        <w:t>Verstehensaufwand</w:t>
      </w:r>
      <w:proofErr w:type="spellEnd"/>
      <w:r w:rsidRPr="00B94045">
        <w:rPr>
          <w:rFonts w:ascii="Times New Roman" w:hAnsi="Times New Roman"/>
        </w:rPr>
        <w:t xml:space="preserve"> ebenfalls reduziert werden. Es sollte in den Gremien geprüft werden, inwieweit der </w:t>
      </w:r>
      <w:r w:rsidRPr="00B94045">
        <w:rPr>
          <w:rFonts w:ascii="Times New Roman" w:hAnsi="Times New Roman"/>
          <w:b/>
        </w:rPr>
        <w:lastRenderedPageBreak/>
        <w:t>Nachschlageaufwand</w:t>
      </w:r>
      <w:r w:rsidRPr="00B94045">
        <w:rPr>
          <w:rFonts w:ascii="Times New Roman" w:hAnsi="Times New Roman"/>
        </w:rPr>
        <w:t xml:space="preserve"> durch eine Erhöhung der zu konsultierenden Unterlagen in den letzten Jahren größer geworden ist. Hierfür bietet es sich an, </w:t>
      </w:r>
      <w:r w:rsidRPr="00B94045">
        <w:rPr>
          <w:rFonts w:ascii="Times New Roman" w:hAnsi="Times New Roman"/>
          <w:b/>
        </w:rPr>
        <w:t>probehalber</w:t>
      </w:r>
      <w:r w:rsidRPr="00B94045">
        <w:rPr>
          <w:rFonts w:ascii="Times New Roman" w:hAnsi="Times New Roman"/>
        </w:rPr>
        <w:t xml:space="preserve"> die Zeit zu erhöhen, um dieses Verfahren vorab zu </w:t>
      </w:r>
      <w:r w:rsidRPr="00B94045">
        <w:rPr>
          <w:rFonts w:ascii="Times New Roman" w:hAnsi="Times New Roman"/>
          <w:b/>
        </w:rPr>
        <w:t>evaluieren</w:t>
      </w:r>
      <w:r w:rsidRPr="00B94045">
        <w:rPr>
          <w:rFonts w:ascii="Times New Roman" w:hAnsi="Times New Roman"/>
        </w:rPr>
        <w:t>. Dies könnte bspw. in Form von Testexamen innerhalb der Schulungen erfolgen. Bei einer Umsetzung der Ausweitung der Zeit ist zu prüfen, inwieweit die vorangegangenen Kandidaten somit ungleich behandelt worden wären.</w:t>
      </w:r>
    </w:p>
    <w:p w:rsidR="00B94045" w:rsidRPr="00B94045" w:rsidRDefault="00B94045" w:rsidP="00172534">
      <w:pPr>
        <w:spacing w:after="200" w:line="276" w:lineRule="auto"/>
        <w:ind w:left="708"/>
        <w:rPr>
          <w:rFonts w:ascii="Times New Roman" w:hAnsi="Times New Roman"/>
        </w:rPr>
      </w:pPr>
      <w:r w:rsidRPr="00B94045">
        <w:rPr>
          <w:rFonts w:ascii="Times New Roman" w:hAnsi="Times New Roman"/>
        </w:rPr>
        <w:t xml:space="preserve">Nicht zuletzt sollte übergreifend das </w:t>
      </w:r>
      <w:r w:rsidRPr="00B94045">
        <w:rPr>
          <w:rFonts w:ascii="Times New Roman" w:hAnsi="Times New Roman"/>
          <w:b/>
        </w:rPr>
        <w:t>Ausbildungsniveau</w:t>
      </w:r>
      <w:r w:rsidRPr="00B94045">
        <w:rPr>
          <w:rFonts w:ascii="Times New Roman" w:hAnsi="Times New Roman"/>
        </w:rPr>
        <w:t xml:space="preserve"> der Kandidaten erfasst werden. Einerseits kann so die Aussage der niederländischen Stellungnahme für den deutschsprachigen Raum bzw. europaweit überprüft werden. Andererseits lässt dies Rückschlüsse darauf zu, ob sich aufgrund der europäischen Befähigungsrichtlinie einer Änderung im Niveau der Kandidaten erwarten lässt.</w:t>
      </w:r>
      <w:r>
        <w:rPr>
          <w:rFonts w:ascii="Times New Roman" w:hAnsi="Times New Roman"/>
        </w:rPr>
        <w:t>“.</w:t>
      </w:r>
    </w:p>
    <w:p w:rsidR="00AE46E0" w:rsidRDefault="00AE46E0" w:rsidP="004E3CD5">
      <w:pPr>
        <w:rPr>
          <w:rFonts w:ascii="Times New Roman" w:hAnsi="Times New Roman"/>
          <w:color w:val="000000"/>
        </w:rPr>
      </w:pPr>
    </w:p>
    <w:p w:rsidR="00D36FB1" w:rsidRPr="00BE7D73" w:rsidRDefault="00D36FB1" w:rsidP="00D36FB1">
      <w:pPr>
        <w:jc w:val="center"/>
        <w:rPr>
          <w:sz w:val="22"/>
          <w:szCs w:val="22"/>
        </w:rPr>
      </w:pPr>
      <w:r>
        <w:rPr>
          <w:sz w:val="22"/>
          <w:szCs w:val="22"/>
        </w:rPr>
        <w:t>********</w:t>
      </w:r>
    </w:p>
    <w:sectPr w:rsidR="00D36FB1" w:rsidRPr="00BE7D7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F60" w:rsidRDefault="00C61F60" w:rsidP="00C61F60">
      <w:r>
        <w:separator/>
      </w:r>
    </w:p>
  </w:endnote>
  <w:endnote w:type="continuationSeparator" w:id="0">
    <w:p w:rsidR="00C61F60" w:rsidRDefault="00C61F60" w:rsidP="00C6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F60" w:rsidRDefault="00C61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F60" w:rsidRDefault="00C61F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F60" w:rsidRDefault="00C61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F60" w:rsidRDefault="00C61F60" w:rsidP="00C61F60">
      <w:r>
        <w:separator/>
      </w:r>
    </w:p>
  </w:footnote>
  <w:footnote w:type="continuationSeparator" w:id="0">
    <w:p w:rsidR="00C61F60" w:rsidRDefault="00C61F60" w:rsidP="00C61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F60" w:rsidRDefault="00C61F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F60" w:rsidRDefault="00C61F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F60" w:rsidRDefault="00C61F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1410D"/>
    <w:multiLevelType w:val="hybridMultilevel"/>
    <w:tmpl w:val="8BFCB144"/>
    <w:lvl w:ilvl="0" w:tplc="69B47A7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3CE52EB"/>
    <w:multiLevelType w:val="hybridMultilevel"/>
    <w:tmpl w:val="AC1E7B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CAD"/>
    <w:rsid w:val="0001219B"/>
    <w:rsid w:val="00015922"/>
    <w:rsid w:val="0007163B"/>
    <w:rsid w:val="0008630E"/>
    <w:rsid w:val="0009215A"/>
    <w:rsid w:val="000934F2"/>
    <w:rsid w:val="000A50E0"/>
    <w:rsid w:val="000C0D8F"/>
    <w:rsid w:val="000C5AA3"/>
    <w:rsid w:val="000C6E63"/>
    <w:rsid w:val="00172534"/>
    <w:rsid w:val="001A31A0"/>
    <w:rsid w:val="0021289A"/>
    <w:rsid w:val="00225353"/>
    <w:rsid w:val="00263048"/>
    <w:rsid w:val="00267914"/>
    <w:rsid w:val="002F520A"/>
    <w:rsid w:val="003201F1"/>
    <w:rsid w:val="00320563"/>
    <w:rsid w:val="00377F0D"/>
    <w:rsid w:val="003A504B"/>
    <w:rsid w:val="003B4BEC"/>
    <w:rsid w:val="003C62FC"/>
    <w:rsid w:val="003F605E"/>
    <w:rsid w:val="00427946"/>
    <w:rsid w:val="004458EF"/>
    <w:rsid w:val="0048687F"/>
    <w:rsid w:val="004C2159"/>
    <w:rsid w:val="004D3E33"/>
    <w:rsid w:val="004E3CD5"/>
    <w:rsid w:val="00510BB0"/>
    <w:rsid w:val="005134E2"/>
    <w:rsid w:val="00550A2F"/>
    <w:rsid w:val="00581CAA"/>
    <w:rsid w:val="00591A7D"/>
    <w:rsid w:val="005A1E21"/>
    <w:rsid w:val="005A35A3"/>
    <w:rsid w:val="0062382E"/>
    <w:rsid w:val="00643AEA"/>
    <w:rsid w:val="00667F34"/>
    <w:rsid w:val="00693DC9"/>
    <w:rsid w:val="006B7807"/>
    <w:rsid w:val="006C1905"/>
    <w:rsid w:val="006D6DFD"/>
    <w:rsid w:val="00717AAD"/>
    <w:rsid w:val="00722BFC"/>
    <w:rsid w:val="007300EC"/>
    <w:rsid w:val="00751575"/>
    <w:rsid w:val="00782194"/>
    <w:rsid w:val="00801BFE"/>
    <w:rsid w:val="00835CB9"/>
    <w:rsid w:val="0084427B"/>
    <w:rsid w:val="008855EC"/>
    <w:rsid w:val="009025E9"/>
    <w:rsid w:val="00922D2A"/>
    <w:rsid w:val="00963026"/>
    <w:rsid w:val="00971D4A"/>
    <w:rsid w:val="009763EA"/>
    <w:rsid w:val="00984F7A"/>
    <w:rsid w:val="00992280"/>
    <w:rsid w:val="009B60DA"/>
    <w:rsid w:val="009C1FA7"/>
    <w:rsid w:val="009D543B"/>
    <w:rsid w:val="009E2069"/>
    <w:rsid w:val="009E3EEA"/>
    <w:rsid w:val="009F1CAD"/>
    <w:rsid w:val="00A22177"/>
    <w:rsid w:val="00A402C2"/>
    <w:rsid w:val="00A53093"/>
    <w:rsid w:val="00A60B5A"/>
    <w:rsid w:val="00AA3995"/>
    <w:rsid w:val="00AE2DE1"/>
    <w:rsid w:val="00AE46E0"/>
    <w:rsid w:val="00B176BC"/>
    <w:rsid w:val="00B4533C"/>
    <w:rsid w:val="00B833FF"/>
    <w:rsid w:val="00B94045"/>
    <w:rsid w:val="00B97956"/>
    <w:rsid w:val="00BE7D73"/>
    <w:rsid w:val="00BF3D1A"/>
    <w:rsid w:val="00C05859"/>
    <w:rsid w:val="00C319DE"/>
    <w:rsid w:val="00C61F60"/>
    <w:rsid w:val="00C920B8"/>
    <w:rsid w:val="00C9291F"/>
    <w:rsid w:val="00CA6531"/>
    <w:rsid w:val="00D12233"/>
    <w:rsid w:val="00D24798"/>
    <w:rsid w:val="00D36FB1"/>
    <w:rsid w:val="00D419A9"/>
    <w:rsid w:val="00D57F38"/>
    <w:rsid w:val="00D831EC"/>
    <w:rsid w:val="00DB57E7"/>
    <w:rsid w:val="00DB6537"/>
    <w:rsid w:val="00DB7568"/>
    <w:rsid w:val="00DB7B4A"/>
    <w:rsid w:val="00DC435F"/>
    <w:rsid w:val="00DC523E"/>
    <w:rsid w:val="00DE1067"/>
    <w:rsid w:val="00DE1C15"/>
    <w:rsid w:val="00E01025"/>
    <w:rsid w:val="00E11D51"/>
    <w:rsid w:val="00E7405F"/>
    <w:rsid w:val="00EA7DF0"/>
    <w:rsid w:val="00ED557F"/>
    <w:rsid w:val="00F3111A"/>
    <w:rsid w:val="00F35C0F"/>
    <w:rsid w:val="00F62457"/>
    <w:rsid w:val="00F67B0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5:docId w15:val="{42A4D4C7-3D1F-402D-8B6F-C4FD4F950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543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N11">
    <w:name w:val="ADN_1_1"/>
    <w:basedOn w:val="Normal"/>
    <w:rsid w:val="00320563"/>
    <w:pPr>
      <w:widowControl w:val="0"/>
      <w:overflowPunct w:val="0"/>
      <w:autoSpaceDE w:val="0"/>
      <w:autoSpaceDN w:val="0"/>
      <w:adjustRightInd w:val="0"/>
      <w:spacing w:line="240" w:lineRule="atLeast"/>
      <w:ind w:left="1134" w:hanging="1134"/>
      <w:jc w:val="both"/>
      <w:textAlignment w:val="baseline"/>
    </w:pPr>
    <w:rPr>
      <w:b/>
      <w:sz w:val="18"/>
      <w:szCs w:val="18"/>
      <w:lang w:eastAsia="fr-FR"/>
    </w:rPr>
  </w:style>
  <w:style w:type="table" w:styleId="TableGrid">
    <w:name w:val="Table Grid"/>
    <w:basedOn w:val="TableNormal"/>
    <w:rsid w:val="00E11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289A"/>
    <w:pPr>
      <w:autoSpaceDE w:val="0"/>
      <w:autoSpaceDN w:val="0"/>
      <w:adjustRightInd w:val="0"/>
    </w:pPr>
    <w:rPr>
      <w:color w:val="000000"/>
      <w:sz w:val="24"/>
      <w:szCs w:val="24"/>
    </w:rPr>
  </w:style>
  <w:style w:type="paragraph" w:customStyle="1" w:styleId="N3">
    <w:name w:val="N3"/>
    <w:basedOn w:val="Normal"/>
    <w:rsid w:val="00693DC9"/>
    <w:pPr>
      <w:widowControl w:val="0"/>
      <w:tabs>
        <w:tab w:val="left" w:pos="170"/>
      </w:tabs>
      <w:overflowPunct w:val="0"/>
      <w:autoSpaceDE w:val="0"/>
      <w:autoSpaceDN w:val="0"/>
      <w:adjustRightInd w:val="0"/>
      <w:spacing w:line="240" w:lineRule="exact"/>
      <w:textAlignment w:val="baseline"/>
    </w:pPr>
    <w:rPr>
      <w:rFonts w:ascii="Tms Rmn" w:hAnsi="Tms Rmn"/>
      <w:sz w:val="22"/>
      <w:szCs w:val="20"/>
      <w:lang w:eastAsia="fr-FR"/>
    </w:rPr>
  </w:style>
  <w:style w:type="paragraph" w:styleId="Header">
    <w:name w:val="header"/>
    <w:basedOn w:val="Normal"/>
    <w:link w:val="HeaderChar"/>
    <w:rsid w:val="00C61F60"/>
    <w:pPr>
      <w:tabs>
        <w:tab w:val="center" w:pos="4536"/>
        <w:tab w:val="right" w:pos="9072"/>
      </w:tabs>
    </w:pPr>
  </w:style>
  <w:style w:type="character" w:customStyle="1" w:styleId="HeaderChar">
    <w:name w:val="Header Char"/>
    <w:link w:val="Header"/>
    <w:rsid w:val="00C61F60"/>
    <w:rPr>
      <w:rFonts w:ascii="Arial" w:hAnsi="Arial"/>
      <w:sz w:val="24"/>
      <w:szCs w:val="24"/>
    </w:rPr>
  </w:style>
  <w:style w:type="paragraph" w:styleId="Footer">
    <w:name w:val="footer"/>
    <w:basedOn w:val="Normal"/>
    <w:link w:val="FooterChar"/>
    <w:rsid w:val="00C61F60"/>
    <w:pPr>
      <w:tabs>
        <w:tab w:val="center" w:pos="4536"/>
        <w:tab w:val="right" w:pos="9072"/>
      </w:tabs>
    </w:pPr>
  </w:style>
  <w:style w:type="character" w:customStyle="1" w:styleId="FooterChar">
    <w:name w:val="Footer Char"/>
    <w:link w:val="Footer"/>
    <w:rsid w:val="00C61F60"/>
    <w:rPr>
      <w:rFonts w:ascii="Arial" w:hAnsi="Arial"/>
      <w:sz w:val="24"/>
      <w:szCs w:val="24"/>
    </w:rPr>
  </w:style>
  <w:style w:type="paragraph" w:customStyle="1" w:styleId="HChG">
    <w:name w:val="_ H _Ch_G"/>
    <w:basedOn w:val="Normal"/>
    <w:next w:val="Normal"/>
    <w:rsid w:val="00EA7DF0"/>
    <w:pPr>
      <w:keepNext/>
      <w:keepLines/>
      <w:tabs>
        <w:tab w:val="right" w:pos="851"/>
      </w:tabs>
      <w:suppressAutoHyphens/>
      <w:spacing w:before="360" w:after="240" w:line="300" w:lineRule="exact"/>
      <w:ind w:left="1134" w:right="1134" w:hanging="1134"/>
    </w:pPr>
    <w:rPr>
      <w:rFonts w:ascii="Times New Roman" w:hAnsi="Times New Roman"/>
      <w:b/>
      <w:snapToGrid w:val="0"/>
      <w:sz w:val="28"/>
      <w:szCs w:val="20"/>
      <w:lang w:val="fr-CH" w:eastAsia="fr-FR"/>
    </w:rPr>
  </w:style>
  <w:style w:type="paragraph" w:customStyle="1" w:styleId="H1G">
    <w:name w:val="_ H_1_G"/>
    <w:basedOn w:val="Normal"/>
    <w:next w:val="Normal"/>
    <w:rsid w:val="00EA7DF0"/>
    <w:pPr>
      <w:keepNext/>
      <w:keepLines/>
      <w:tabs>
        <w:tab w:val="right" w:pos="851"/>
      </w:tabs>
      <w:suppressAutoHyphens/>
      <w:spacing w:before="360" w:after="240" w:line="270" w:lineRule="exact"/>
      <w:ind w:left="1134" w:right="1134" w:hanging="1134"/>
    </w:pPr>
    <w:rPr>
      <w:rFonts w:ascii="Times New Roman" w:hAnsi="Times New Roman"/>
      <w:b/>
      <w:snapToGrid w:val="0"/>
      <w:szCs w:val="20"/>
      <w:lang w:val="fr-CH" w:eastAsia="fr-FR"/>
    </w:rPr>
  </w:style>
  <w:style w:type="paragraph" w:styleId="PlainText">
    <w:name w:val="Plain Text"/>
    <w:basedOn w:val="Normal"/>
    <w:link w:val="PlainTextChar"/>
    <w:uiPriority w:val="99"/>
    <w:unhideWhenUsed/>
    <w:rsid w:val="00EA7DF0"/>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EA7DF0"/>
    <w:rPr>
      <w:rFonts w:ascii="Calibri" w:eastAsia="Calibri" w:hAnsi="Calibri"/>
      <w:sz w:val="22"/>
      <w:szCs w:val="21"/>
      <w:lang w:val="fr-FR" w:eastAsia="en-US"/>
    </w:rPr>
  </w:style>
  <w:style w:type="character" w:styleId="FootnoteReference">
    <w:name w:val="footnote reference"/>
    <w:aliases w:val="Footnote Reference/,4_G"/>
    <w:rsid w:val="000934F2"/>
    <w:rPr>
      <w:position w:val="6"/>
      <w:sz w:val="12"/>
    </w:rPr>
  </w:style>
  <w:style w:type="paragraph" w:styleId="FootnoteText">
    <w:name w:val="footnote text"/>
    <w:basedOn w:val="Normal"/>
    <w:link w:val="FootnoteTextChar"/>
    <w:rsid w:val="000934F2"/>
    <w:pPr>
      <w:widowControl w:val="0"/>
      <w:tabs>
        <w:tab w:val="left" w:pos="1400"/>
      </w:tabs>
      <w:overflowPunct w:val="0"/>
      <w:autoSpaceDE w:val="0"/>
      <w:autoSpaceDN w:val="0"/>
      <w:adjustRightInd w:val="0"/>
      <w:spacing w:before="180"/>
      <w:ind w:left="1400" w:hanging="323"/>
      <w:jc w:val="both"/>
      <w:textAlignment w:val="baseline"/>
    </w:pPr>
    <w:rPr>
      <w:color w:val="000000"/>
      <w:sz w:val="20"/>
      <w:szCs w:val="20"/>
      <w:lang w:eastAsia="fr-FR"/>
    </w:rPr>
  </w:style>
  <w:style w:type="character" w:customStyle="1" w:styleId="FootnoteTextChar">
    <w:name w:val="Footnote Text Char"/>
    <w:basedOn w:val="DefaultParagraphFont"/>
    <w:link w:val="FootnoteText"/>
    <w:rsid w:val="000934F2"/>
    <w:rPr>
      <w:rFonts w:ascii="Arial" w:hAnsi="Arial"/>
      <w:color w:val="000000"/>
      <w:lang w:eastAsia="fr-FR"/>
    </w:rPr>
  </w:style>
  <w:style w:type="character" w:styleId="Strong">
    <w:name w:val="Strong"/>
    <w:basedOn w:val="DefaultParagraphFont"/>
    <w:uiPriority w:val="22"/>
    <w:qFormat/>
    <w:rsid w:val="00922D2A"/>
    <w:rPr>
      <w:b/>
      <w:bCs/>
    </w:rPr>
  </w:style>
  <w:style w:type="character" w:styleId="HTMLAcronym">
    <w:name w:val="HTML Acronym"/>
    <w:basedOn w:val="DefaultParagraphFont"/>
    <w:uiPriority w:val="99"/>
    <w:unhideWhenUsed/>
    <w:rsid w:val="00922D2A"/>
  </w:style>
  <w:style w:type="paragraph" w:customStyle="1" w:styleId="SingleTxtG">
    <w:name w:val="_ Single Txt_G"/>
    <w:basedOn w:val="Normal"/>
    <w:link w:val="SingleTxtGChar"/>
    <w:uiPriority w:val="99"/>
    <w:qFormat/>
    <w:rsid w:val="00963026"/>
    <w:pPr>
      <w:suppressAutoHyphens/>
      <w:spacing w:after="120" w:line="240" w:lineRule="atLeast"/>
      <w:ind w:left="1134" w:right="1134"/>
      <w:jc w:val="both"/>
    </w:pPr>
    <w:rPr>
      <w:rFonts w:ascii="Times New Roman" w:hAnsi="Times New Roman"/>
      <w:sz w:val="20"/>
      <w:szCs w:val="20"/>
      <w:lang w:val="en-GB" w:eastAsia="en-US"/>
    </w:rPr>
  </w:style>
  <w:style w:type="character" w:customStyle="1" w:styleId="SingleTxtGChar">
    <w:name w:val="_ Single Txt_G Char"/>
    <w:link w:val="SingleTxtG"/>
    <w:uiPriority w:val="99"/>
    <w:qFormat/>
    <w:rsid w:val="00963026"/>
    <w:rPr>
      <w:lang w:val="en-GB" w:eastAsia="en-US"/>
    </w:rPr>
  </w:style>
  <w:style w:type="paragraph" w:styleId="ListParagraph">
    <w:name w:val="List Paragraph"/>
    <w:basedOn w:val="Normal"/>
    <w:uiPriority w:val="1"/>
    <w:qFormat/>
    <w:rsid w:val="00B94045"/>
    <w:pPr>
      <w:widowControl w:val="0"/>
      <w:autoSpaceDE w:val="0"/>
      <w:autoSpaceDN w:val="0"/>
    </w:pPr>
    <w:rPr>
      <w:rFonts w:eastAsia="Arial" w:cs="Arial"/>
      <w:sz w:val="22"/>
      <w:szCs w:val="22"/>
      <w:lang w:val="en-US" w:eastAsia="en-US"/>
    </w:rPr>
  </w:style>
  <w:style w:type="character" w:styleId="Hyperlink">
    <w:name w:val="Hyperlink"/>
    <w:basedOn w:val="DefaultParagraphFont"/>
    <w:uiPriority w:val="99"/>
    <w:unhideWhenUsed/>
    <w:rsid w:val="00E0102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53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ibb.de/tools/dapro/data/documents/pdf/eb_22326.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4226</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MyCompany</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Marie-Claude Collet</cp:lastModifiedBy>
  <cp:revision>2</cp:revision>
  <dcterms:created xsi:type="dcterms:W3CDTF">2019-08-13T12:43:00Z</dcterms:created>
  <dcterms:modified xsi:type="dcterms:W3CDTF">2019-08-13T12:43:00Z</dcterms:modified>
</cp:coreProperties>
</file>