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272DCE" w14:paraId="4E3D0F46" w14:textId="77777777" w:rsidTr="00C97039">
        <w:trPr>
          <w:trHeight w:hRule="exact" w:val="851"/>
        </w:trPr>
        <w:tc>
          <w:tcPr>
            <w:tcW w:w="1276" w:type="dxa"/>
            <w:tcBorders>
              <w:bottom w:val="single" w:sz="4" w:space="0" w:color="auto"/>
            </w:tcBorders>
          </w:tcPr>
          <w:p w14:paraId="66DCA254" w14:textId="77777777" w:rsidR="00F35BAF" w:rsidRPr="00F545F3" w:rsidRDefault="00F35BAF" w:rsidP="00B636A2">
            <w:bookmarkStart w:id="0" w:name="_GoBack"/>
            <w:bookmarkEnd w:id="0"/>
          </w:p>
        </w:tc>
        <w:tc>
          <w:tcPr>
            <w:tcW w:w="2268" w:type="dxa"/>
            <w:tcBorders>
              <w:bottom w:val="single" w:sz="4" w:space="0" w:color="auto"/>
            </w:tcBorders>
            <w:vAlign w:val="bottom"/>
          </w:tcPr>
          <w:p w14:paraId="394C646E" w14:textId="77777777" w:rsidR="00F35BAF" w:rsidRPr="00272DCE" w:rsidRDefault="00F35BAF" w:rsidP="00C97039">
            <w:pPr>
              <w:spacing w:after="80" w:line="300" w:lineRule="exact"/>
              <w:rPr>
                <w:sz w:val="28"/>
              </w:rPr>
            </w:pPr>
            <w:r w:rsidRPr="00272DCE">
              <w:rPr>
                <w:sz w:val="28"/>
              </w:rPr>
              <w:t>Nations Unies</w:t>
            </w:r>
          </w:p>
        </w:tc>
        <w:tc>
          <w:tcPr>
            <w:tcW w:w="6095" w:type="dxa"/>
            <w:gridSpan w:val="2"/>
            <w:tcBorders>
              <w:bottom w:val="single" w:sz="4" w:space="0" w:color="auto"/>
            </w:tcBorders>
            <w:vAlign w:val="bottom"/>
          </w:tcPr>
          <w:p w14:paraId="42B5A9BA" w14:textId="77777777" w:rsidR="00F35BAF" w:rsidRPr="00272DCE" w:rsidRDefault="00B636A2" w:rsidP="00B636A2">
            <w:pPr>
              <w:jc w:val="right"/>
            </w:pPr>
            <w:r w:rsidRPr="00272DCE">
              <w:rPr>
                <w:sz w:val="40"/>
              </w:rPr>
              <w:t>ECE</w:t>
            </w:r>
            <w:r w:rsidRPr="00272DCE">
              <w:t>/TRANS/WP.15/AC.2/70</w:t>
            </w:r>
          </w:p>
        </w:tc>
      </w:tr>
      <w:tr w:rsidR="00F35BAF" w:rsidRPr="00272DCE" w14:paraId="5ABE0A71" w14:textId="77777777" w:rsidTr="00C97039">
        <w:trPr>
          <w:trHeight w:hRule="exact" w:val="2835"/>
        </w:trPr>
        <w:tc>
          <w:tcPr>
            <w:tcW w:w="1276" w:type="dxa"/>
            <w:tcBorders>
              <w:top w:val="single" w:sz="4" w:space="0" w:color="auto"/>
              <w:bottom w:val="single" w:sz="12" w:space="0" w:color="auto"/>
            </w:tcBorders>
          </w:tcPr>
          <w:p w14:paraId="177FCDF1" w14:textId="77777777" w:rsidR="00F35BAF" w:rsidRPr="00272DCE" w:rsidRDefault="00F35BAF" w:rsidP="00C97039">
            <w:pPr>
              <w:spacing w:before="120"/>
              <w:jc w:val="center"/>
            </w:pPr>
            <w:r w:rsidRPr="00272DCE">
              <w:rPr>
                <w:noProof/>
                <w:lang w:eastAsia="fr-CH"/>
              </w:rPr>
              <w:drawing>
                <wp:inline distT="0" distB="0" distL="0" distR="0" wp14:anchorId="4E0E4FC0" wp14:editId="161663C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0C6467" w14:textId="77777777" w:rsidR="00F35BAF" w:rsidRPr="00272DCE" w:rsidRDefault="00F35BAF" w:rsidP="00C97039">
            <w:pPr>
              <w:spacing w:before="120" w:line="420" w:lineRule="exact"/>
              <w:rPr>
                <w:b/>
                <w:sz w:val="40"/>
                <w:szCs w:val="40"/>
              </w:rPr>
            </w:pPr>
            <w:r w:rsidRPr="00272DCE">
              <w:rPr>
                <w:b/>
                <w:sz w:val="40"/>
                <w:szCs w:val="40"/>
              </w:rPr>
              <w:t>Conseil économique et social</w:t>
            </w:r>
          </w:p>
        </w:tc>
        <w:tc>
          <w:tcPr>
            <w:tcW w:w="2835" w:type="dxa"/>
            <w:tcBorders>
              <w:top w:val="single" w:sz="4" w:space="0" w:color="auto"/>
              <w:bottom w:val="single" w:sz="12" w:space="0" w:color="auto"/>
            </w:tcBorders>
          </w:tcPr>
          <w:p w14:paraId="7F7492B0" w14:textId="77777777" w:rsidR="00F35BAF" w:rsidRPr="00272DCE" w:rsidRDefault="00B636A2" w:rsidP="00C97039">
            <w:pPr>
              <w:spacing w:before="240"/>
            </w:pPr>
            <w:proofErr w:type="spellStart"/>
            <w:r w:rsidRPr="00272DCE">
              <w:t>Distr</w:t>
            </w:r>
            <w:proofErr w:type="spellEnd"/>
            <w:r w:rsidRPr="00272DCE">
              <w:t xml:space="preserve">. </w:t>
            </w:r>
            <w:proofErr w:type="gramStart"/>
            <w:r w:rsidRPr="00272DCE">
              <w:t>générale</w:t>
            </w:r>
            <w:proofErr w:type="gramEnd"/>
          </w:p>
          <w:p w14:paraId="362C70E2" w14:textId="77777777" w:rsidR="00B636A2" w:rsidRPr="00272DCE" w:rsidRDefault="00B636A2" w:rsidP="00B636A2">
            <w:pPr>
              <w:spacing w:line="240" w:lineRule="exact"/>
            </w:pPr>
            <w:r w:rsidRPr="00272DCE">
              <w:t>8 février 2019</w:t>
            </w:r>
          </w:p>
          <w:p w14:paraId="61F36D2F" w14:textId="77777777" w:rsidR="00B636A2" w:rsidRPr="00272DCE" w:rsidRDefault="00B636A2" w:rsidP="00B636A2">
            <w:pPr>
              <w:spacing w:line="240" w:lineRule="exact"/>
            </w:pPr>
            <w:r w:rsidRPr="00272DCE">
              <w:t>Français</w:t>
            </w:r>
          </w:p>
          <w:p w14:paraId="52B0912B" w14:textId="77777777" w:rsidR="00B636A2" w:rsidRPr="00272DCE" w:rsidRDefault="00B636A2" w:rsidP="00B636A2">
            <w:pPr>
              <w:spacing w:line="240" w:lineRule="exact"/>
            </w:pPr>
            <w:r w:rsidRPr="00272DCE">
              <w:t>Original : anglais</w:t>
            </w:r>
          </w:p>
        </w:tc>
      </w:tr>
    </w:tbl>
    <w:p w14:paraId="47A37980" w14:textId="77777777" w:rsidR="007F20FA" w:rsidRPr="00272DCE" w:rsidRDefault="007F20FA" w:rsidP="007F20FA">
      <w:pPr>
        <w:spacing w:before="120"/>
        <w:rPr>
          <w:b/>
          <w:sz w:val="28"/>
          <w:szCs w:val="28"/>
        </w:rPr>
      </w:pPr>
      <w:r w:rsidRPr="00272DCE">
        <w:rPr>
          <w:b/>
          <w:sz w:val="28"/>
          <w:szCs w:val="28"/>
        </w:rPr>
        <w:t>Commission économique pour l</w:t>
      </w:r>
      <w:r w:rsidR="00681934" w:rsidRPr="00272DCE">
        <w:rPr>
          <w:b/>
          <w:sz w:val="28"/>
          <w:szCs w:val="28"/>
        </w:rPr>
        <w:t>’</w:t>
      </w:r>
      <w:r w:rsidRPr="00272DCE">
        <w:rPr>
          <w:b/>
          <w:sz w:val="28"/>
          <w:szCs w:val="28"/>
        </w:rPr>
        <w:t>Europe</w:t>
      </w:r>
    </w:p>
    <w:p w14:paraId="65790548" w14:textId="77777777" w:rsidR="007F20FA" w:rsidRPr="00272DCE" w:rsidRDefault="007F20FA" w:rsidP="007F20FA">
      <w:pPr>
        <w:spacing w:before="120"/>
        <w:rPr>
          <w:sz w:val="28"/>
          <w:szCs w:val="28"/>
        </w:rPr>
      </w:pPr>
      <w:r w:rsidRPr="00272DCE">
        <w:rPr>
          <w:sz w:val="28"/>
          <w:szCs w:val="28"/>
        </w:rPr>
        <w:t>Comité des transports intérieurs</w:t>
      </w:r>
    </w:p>
    <w:p w14:paraId="6ECC7691" w14:textId="77777777" w:rsidR="00281B50" w:rsidRPr="00272DCE" w:rsidRDefault="00281B50" w:rsidP="00AF0CB5">
      <w:pPr>
        <w:spacing w:before="120"/>
        <w:rPr>
          <w:b/>
          <w:sz w:val="24"/>
          <w:szCs w:val="24"/>
        </w:rPr>
      </w:pPr>
      <w:r w:rsidRPr="00272DCE">
        <w:rPr>
          <w:b/>
          <w:sz w:val="24"/>
          <w:szCs w:val="24"/>
        </w:rPr>
        <w:t>Groupe de travail des transports de marchandises dangereuses</w:t>
      </w:r>
    </w:p>
    <w:p w14:paraId="34ED8998" w14:textId="77777777" w:rsidR="00281B50" w:rsidRPr="00272DCE" w:rsidRDefault="00281B50" w:rsidP="00AF0CB5">
      <w:pPr>
        <w:spacing w:before="120"/>
        <w:rPr>
          <w:b/>
        </w:rPr>
      </w:pPr>
      <w:r w:rsidRPr="00272DCE">
        <w:rPr>
          <w:b/>
        </w:rPr>
        <w:t>Réunion commune d</w:t>
      </w:r>
      <w:r w:rsidR="00681934" w:rsidRPr="00272DCE">
        <w:rPr>
          <w:b/>
        </w:rPr>
        <w:t>’</w:t>
      </w:r>
      <w:r w:rsidRPr="00272DCE">
        <w:rPr>
          <w:b/>
        </w:rPr>
        <w:t>experts sur le Règlement annexé</w:t>
      </w:r>
      <w:r w:rsidRPr="00272DCE">
        <w:rPr>
          <w:b/>
        </w:rPr>
        <w:br/>
        <w:t>à l</w:t>
      </w:r>
      <w:r w:rsidR="00681934" w:rsidRPr="00272DCE">
        <w:rPr>
          <w:b/>
        </w:rPr>
        <w:t>’</w:t>
      </w:r>
      <w:r w:rsidRPr="00272DCE">
        <w:rPr>
          <w:b/>
        </w:rPr>
        <w:t>Accord européen relatif au transport international</w:t>
      </w:r>
      <w:r w:rsidRPr="00272DCE">
        <w:rPr>
          <w:b/>
        </w:rPr>
        <w:br/>
        <w:t xml:space="preserve">des marchandises </w:t>
      </w:r>
      <w:r w:rsidRPr="00272DCE">
        <w:rPr>
          <w:b/>
          <w:bCs/>
          <w:iCs/>
        </w:rPr>
        <w:t>dangereuses par voies de navigation</w:t>
      </w:r>
      <w:r w:rsidRPr="00272DCE">
        <w:rPr>
          <w:b/>
          <w:bCs/>
          <w:iCs/>
        </w:rPr>
        <w:br/>
        <w:t xml:space="preserve">intérieures (ADN) </w:t>
      </w:r>
      <w:r w:rsidRPr="00272DCE">
        <w:rPr>
          <w:b/>
          <w:bCs/>
        </w:rPr>
        <w:t>(Comité de sécurité de l</w:t>
      </w:r>
      <w:r w:rsidR="00681934" w:rsidRPr="00272DCE">
        <w:rPr>
          <w:b/>
          <w:bCs/>
        </w:rPr>
        <w:t>’</w:t>
      </w:r>
      <w:r w:rsidRPr="00272DCE">
        <w:rPr>
          <w:b/>
          <w:bCs/>
        </w:rPr>
        <w:t>ADN)</w:t>
      </w:r>
    </w:p>
    <w:p w14:paraId="17C45BDF" w14:textId="77777777" w:rsidR="00281B50" w:rsidRPr="00272DCE" w:rsidRDefault="003C248E" w:rsidP="00AF0CB5">
      <w:pPr>
        <w:spacing w:before="120"/>
        <w:rPr>
          <w:b/>
        </w:rPr>
      </w:pPr>
      <w:r w:rsidRPr="00272DCE">
        <w:rPr>
          <w:b/>
        </w:rPr>
        <w:t>Trente-quatrième</w:t>
      </w:r>
      <w:r w:rsidR="00281B50" w:rsidRPr="00272DCE">
        <w:rPr>
          <w:b/>
        </w:rPr>
        <w:t xml:space="preserve"> session</w:t>
      </w:r>
    </w:p>
    <w:p w14:paraId="630530B5" w14:textId="77777777" w:rsidR="00281B50" w:rsidRPr="00272DCE" w:rsidRDefault="00281B50" w:rsidP="00AF0CB5">
      <w:r w:rsidRPr="00272DCE">
        <w:t xml:space="preserve">Genève, </w:t>
      </w:r>
      <w:r w:rsidR="003C248E" w:rsidRPr="00272DCE">
        <w:t>21-25 janvier 2019</w:t>
      </w:r>
    </w:p>
    <w:p w14:paraId="592A8085" w14:textId="77777777" w:rsidR="00F9573C" w:rsidRPr="00272DCE" w:rsidRDefault="003C248E" w:rsidP="003C248E">
      <w:pPr>
        <w:pStyle w:val="HChG"/>
        <w:rPr>
          <w:b w:val="0"/>
          <w:sz w:val="20"/>
        </w:rPr>
      </w:pPr>
      <w:r w:rsidRPr="00272DCE">
        <w:tab/>
      </w:r>
      <w:r w:rsidRPr="00272DCE">
        <w:tab/>
        <w:t>Projet de rapport de la Réunion commune d</w:t>
      </w:r>
      <w:r w:rsidR="00681934" w:rsidRPr="00272DCE">
        <w:t>’</w:t>
      </w:r>
      <w:r w:rsidRPr="00272DCE">
        <w:t xml:space="preserve">experts </w:t>
      </w:r>
      <w:r w:rsidRPr="00272DCE">
        <w:br/>
        <w:t>sur le Règlement annexé à l</w:t>
      </w:r>
      <w:r w:rsidR="00681934" w:rsidRPr="00272DCE">
        <w:t>’</w:t>
      </w:r>
      <w:r w:rsidRPr="00272DCE">
        <w:t xml:space="preserve">Accord européen relatif </w:t>
      </w:r>
      <w:r w:rsidRPr="00272DCE">
        <w:br/>
        <w:t xml:space="preserve">au transport international des marchandises </w:t>
      </w:r>
      <w:r w:rsidRPr="00272DCE">
        <w:br/>
        <w:t xml:space="preserve">dangereuses par voies de navigation intérieures </w:t>
      </w:r>
      <w:r w:rsidRPr="00272DCE">
        <w:br/>
        <w:t>(ADN) (Comité de sécurité de l</w:t>
      </w:r>
      <w:r w:rsidR="00681934" w:rsidRPr="00272DCE">
        <w:t>’</w:t>
      </w:r>
      <w:r w:rsidRPr="00272DCE">
        <w:t xml:space="preserve">ADN) </w:t>
      </w:r>
      <w:r w:rsidRPr="00272DCE">
        <w:br/>
        <w:t>sur sa trente-quatrième session</w:t>
      </w:r>
      <w:r w:rsidRPr="00272DCE">
        <w:rPr>
          <w:rStyle w:val="FootnoteReference"/>
          <w:b w:val="0"/>
          <w:sz w:val="20"/>
          <w:vertAlign w:val="baseline"/>
        </w:rPr>
        <w:footnoteReference w:customMarkFollows="1" w:id="2"/>
        <w:sym w:font="Symbol" w:char="F02A"/>
      </w:r>
    </w:p>
    <w:p w14:paraId="4E915651" w14:textId="77777777" w:rsidR="0055194B" w:rsidRPr="00272DCE" w:rsidRDefault="00EF26E6" w:rsidP="00EF26E6">
      <w:pPr>
        <w:spacing w:after="120"/>
        <w:rPr>
          <w:sz w:val="28"/>
        </w:rPr>
      </w:pPr>
      <w:r w:rsidRPr="00272DCE">
        <w:rPr>
          <w:sz w:val="28"/>
        </w:rPr>
        <w:t>Table des matières</w:t>
      </w:r>
    </w:p>
    <w:p w14:paraId="38A93FC3" w14:textId="77777777" w:rsidR="00EF26E6" w:rsidRPr="00272DCE" w:rsidRDefault="00EF26E6" w:rsidP="00EF26E6">
      <w:pPr>
        <w:tabs>
          <w:tab w:val="right" w:pos="8929"/>
          <w:tab w:val="right" w:pos="9638"/>
        </w:tabs>
        <w:spacing w:after="120"/>
        <w:ind w:left="283"/>
        <w:rPr>
          <w:i/>
          <w:sz w:val="18"/>
        </w:rPr>
      </w:pPr>
      <w:r w:rsidRPr="00272DCE">
        <w:rPr>
          <w:i/>
          <w:sz w:val="18"/>
        </w:rPr>
        <w:tab/>
        <w:t>Paragraphes</w:t>
      </w:r>
      <w:r w:rsidRPr="00272DCE">
        <w:rPr>
          <w:i/>
          <w:sz w:val="18"/>
        </w:rPr>
        <w:tab/>
        <w:t>Page</w:t>
      </w:r>
    </w:p>
    <w:p w14:paraId="4FFFE99D" w14:textId="77777777" w:rsidR="00EF26E6" w:rsidRPr="00272DCE" w:rsidRDefault="00EF26E6" w:rsidP="00EF26E6">
      <w:pPr>
        <w:tabs>
          <w:tab w:val="right" w:pos="850"/>
          <w:tab w:val="right" w:leader="dot" w:pos="7654"/>
          <w:tab w:val="right" w:pos="8929"/>
          <w:tab w:val="right" w:pos="9638"/>
        </w:tabs>
        <w:spacing w:after="120"/>
        <w:ind w:left="1134" w:hanging="1134"/>
      </w:pPr>
      <w:r w:rsidRPr="00272DCE">
        <w:tab/>
        <w:t>I.</w:t>
      </w:r>
      <w:r w:rsidRPr="00272DCE">
        <w:tab/>
      </w:r>
      <w:r w:rsidR="007D65E9" w:rsidRPr="00272DCE">
        <w:t>Participation</w:t>
      </w:r>
      <w:r w:rsidRPr="00272DCE">
        <w:tab/>
      </w:r>
      <w:r w:rsidRPr="00272DCE">
        <w:tab/>
      </w:r>
      <w:r w:rsidR="007D65E9" w:rsidRPr="00272DCE">
        <w:t>1−4</w:t>
      </w:r>
      <w:r w:rsidRPr="00272DCE">
        <w:tab/>
      </w:r>
      <w:r w:rsidR="007D65E9" w:rsidRPr="00272DCE">
        <w:t>4</w:t>
      </w:r>
    </w:p>
    <w:p w14:paraId="27B21AB5" w14:textId="77777777" w:rsidR="00C55A3B" w:rsidRPr="00272DCE" w:rsidRDefault="00C55A3B" w:rsidP="00EF26E6">
      <w:pPr>
        <w:tabs>
          <w:tab w:val="right" w:pos="850"/>
          <w:tab w:val="right" w:leader="dot" w:pos="7654"/>
          <w:tab w:val="right" w:pos="8929"/>
          <w:tab w:val="right" w:pos="9638"/>
        </w:tabs>
        <w:spacing w:after="120"/>
        <w:ind w:left="1134" w:hanging="1134"/>
      </w:pPr>
      <w:r w:rsidRPr="00272DCE">
        <w:tab/>
        <w:t>II.</w:t>
      </w:r>
      <w:r w:rsidRPr="00272DCE">
        <w:tab/>
      </w:r>
      <w:r w:rsidR="007D65E9" w:rsidRPr="00272DCE">
        <w:t>Adoption de l’ordre du jour (point 1 de l’ordre du jour)</w:t>
      </w:r>
      <w:r w:rsidRPr="00272DCE">
        <w:tab/>
      </w:r>
      <w:r w:rsidRPr="00272DCE">
        <w:tab/>
      </w:r>
      <w:r w:rsidR="007D65E9" w:rsidRPr="00272DCE">
        <w:t>5</w:t>
      </w:r>
      <w:r w:rsidRPr="00272DCE">
        <w:tab/>
      </w:r>
      <w:r w:rsidR="007D65E9" w:rsidRPr="00272DCE">
        <w:t>4</w:t>
      </w:r>
    </w:p>
    <w:p w14:paraId="76B75017" w14:textId="77777777" w:rsidR="00C55A3B" w:rsidRPr="00272DCE" w:rsidRDefault="00C55A3B" w:rsidP="00EF26E6">
      <w:pPr>
        <w:tabs>
          <w:tab w:val="right" w:pos="850"/>
          <w:tab w:val="right" w:leader="dot" w:pos="7654"/>
          <w:tab w:val="right" w:pos="8929"/>
          <w:tab w:val="right" w:pos="9638"/>
        </w:tabs>
        <w:spacing w:after="120"/>
        <w:ind w:left="1134" w:hanging="1134"/>
      </w:pPr>
      <w:r w:rsidRPr="00272DCE">
        <w:tab/>
        <w:t>III.</w:t>
      </w:r>
      <w:r w:rsidRPr="00272DCE">
        <w:tab/>
      </w:r>
      <w:r w:rsidR="003E55AA" w:rsidRPr="00272DCE">
        <w:t>Élection du Bureau pour 2019 (point 2 de l’ordre du jour)</w:t>
      </w:r>
      <w:r w:rsidRPr="00272DCE">
        <w:tab/>
      </w:r>
      <w:r w:rsidRPr="00272DCE">
        <w:tab/>
      </w:r>
      <w:r w:rsidR="007D65E9" w:rsidRPr="00272DCE">
        <w:t>6</w:t>
      </w:r>
      <w:r w:rsidRPr="00272DCE">
        <w:tab/>
      </w:r>
      <w:r w:rsidR="007D65E9" w:rsidRPr="00272DCE">
        <w:t>4</w:t>
      </w:r>
    </w:p>
    <w:p w14:paraId="7188875A" w14:textId="77777777" w:rsidR="00C55A3B" w:rsidRPr="00272DCE" w:rsidRDefault="00C55A3B" w:rsidP="00C55A3B">
      <w:pPr>
        <w:tabs>
          <w:tab w:val="right" w:pos="850"/>
          <w:tab w:val="right" w:leader="dot" w:pos="7654"/>
          <w:tab w:val="right" w:pos="8929"/>
          <w:tab w:val="right" w:pos="9638"/>
        </w:tabs>
        <w:spacing w:after="120"/>
        <w:ind w:left="1134" w:hanging="1134"/>
      </w:pPr>
      <w:r w:rsidRPr="00272DCE">
        <w:tab/>
        <w:t>IV.</w:t>
      </w:r>
      <w:r w:rsidRPr="00272DCE">
        <w:tab/>
      </w:r>
      <w:r w:rsidR="007D65E9" w:rsidRPr="00272DCE">
        <w:t xml:space="preserve">Questions découlant des travaux d’organes des Nations Unies </w:t>
      </w:r>
      <w:r w:rsidR="007D65E9" w:rsidRPr="00272DCE">
        <w:br/>
        <w:t>ou d’autres organisations (point 3 de l’ordre du jour)</w:t>
      </w:r>
      <w:r w:rsidRPr="00272DCE">
        <w:tab/>
      </w:r>
      <w:r w:rsidRPr="00272DCE">
        <w:tab/>
      </w:r>
      <w:r w:rsidR="007D65E9" w:rsidRPr="00272DCE">
        <w:t>7−10</w:t>
      </w:r>
      <w:r w:rsidRPr="00272DCE">
        <w:tab/>
      </w:r>
      <w:r w:rsidR="007D65E9" w:rsidRPr="00272DCE">
        <w:t>4</w:t>
      </w:r>
    </w:p>
    <w:p w14:paraId="1DBD716C" w14:textId="77777777" w:rsidR="00EF26E6" w:rsidRPr="00272DCE" w:rsidRDefault="00EF26E6" w:rsidP="00EF26E6">
      <w:pPr>
        <w:tabs>
          <w:tab w:val="right" w:leader="dot" w:pos="7654"/>
          <w:tab w:val="right" w:pos="8929"/>
          <w:tab w:val="right" w:pos="9638"/>
        </w:tabs>
        <w:spacing w:after="120"/>
        <w:ind w:left="1559" w:hanging="425"/>
      </w:pPr>
      <w:r w:rsidRPr="00272DCE">
        <w:t>A.</w:t>
      </w:r>
      <w:r w:rsidRPr="00272DCE">
        <w:tab/>
      </w:r>
      <w:r w:rsidR="007D65E9" w:rsidRPr="00272DCE">
        <w:t xml:space="preserve">Stratégie de l’Union européenne pour la région du Danube (EUSDR) : </w:t>
      </w:r>
      <w:r w:rsidR="007D65E9" w:rsidRPr="00272DCE">
        <w:br/>
        <w:t>travaux dans les domaines prioritaires 1A et 11</w:t>
      </w:r>
      <w:r w:rsidRPr="00272DCE">
        <w:tab/>
      </w:r>
      <w:r w:rsidRPr="00272DCE">
        <w:tab/>
      </w:r>
      <w:r w:rsidR="007D65E9" w:rsidRPr="00272DCE">
        <w:t>7−9</w:t>
      </w:r>
      <w:r w:rsidRPr="00272DCE">
        <w:tab/>
      </w:r>
      <w:r w:rsidR="007D65E9" w:rsidRPr="00272DCE">
        <w:t>4</w:t>
      </w:r>
    </w:p>
    <w:p w14:paraId="07B4FB1A" w14:textId="77777777" w:rsidR="00C55A3B" w:rsidRPr="00272DCE" w:rsidRDefault="00C55A3B" w:rsidP="00EF26E6">
      <w:pPr>
        <w:tabs>
          <w:tab w:val="right" w:leader="dot" w:pos="7654"/>
          <w:tab w:val="right" w:pos="8929"/>
          <w:tab w:val="right" w:pos="9638"/>
        </w:tabs>
        <w:spacing w:after="120"/>
        <w:ind w:left="1559" w:hanging="425"/>
      </w:pPr>
      <w:r w:rsidRPr="00272DCE">
        <w:t>B.</w:t>
      </w:r>
      <w:r w:rsidRPr="00272DCE">
        <w:tab/>
      </w:r>
      <w:r w:rsidR="007D65E9" w:rsidRPr="00272DCE">
        <w:t>Travaux du Comité des transports intérieurs</w:t>
      </w:r>
      <w:r w:rsidRPr="00272DCE">
        <w:tab/>
      </w:r>
      <w:r w:rsidRPr="00272DCE">
        <w:tab/>
      </w:r>
      <w:r w:rsidR="007D65E9" w:rsidRPr="00272DCE">
        <w:t>10</w:t>
      </w:r>
      <w:r w:rsidRPr="00272DCE">
        <w:tab/>
      </w:r>
      <w:r w:rsidR="007D65E9" w:rsidRPr="00272DCE">
        <w:t>5</w:t>
      </w:r>
    </w:p>
    <w:p w14:paraId="4511D722" w14:textId="77777777" w:rsidR="00C55A3B" w:rsidRPr="00272DCE" w:rsidRDefault="00C55A3B" w:rsidP="00C55A3B">
      <w:pPr>
        <w:tabs>
          <w:tab w:val="right" w:pos="850"/>
          <w:tab w:val="right" w:leader="dot" w:pos="7654"/>
          <w:tab w:val="right" w:pos="8929"/>
          <w:tab w:val="right" w:pos="9638"/>
        </w:tabs>
        <w:spacing w:after="120"/>
        <w:ind w:left="1134" w:hanging="1134"/>
      </w:pPr>
      <w:r w:rsidRPr="00272DCE">
        <w:tab/>
        <w:t>V.</w:t>
      </w:r>
      <w:r w:rsidRPr="00272DCE">
        <w:tab/>
      </w:r>
      <w:r w:rsidR="007D65E9" w:rsidRPr="00272DCE">
        <w:t>Mise en œuvre de l’Accord européen relatif au transport international</w:t>
      </w:r>
      <w:r w:rsidR="007D65E9" w:rsidRPr="00272DCE">
        <w:br/>
        <w:t>des marchandises dangereuses par voies de navigation intérieures (ADN)</w:t>
      </w:r>
      <w:r w:rsidR="007D65E9" w:rsidRPr="00272DCE">
        <w:br/>
        <w:t>(point 4 de l’ordre du jour)</w:t>
      </w:r>
      <w:r w:rsidRPr="00272DCE">
        <w:tab/>
      </w:r>
      <w:r w:rsidRPr="00272DCE">
        <w:tab/>
      </w:r>
      <w:r w:rsidR="007D65E9" w:rsidRPr="00272DCE">
        <w:t>11−35</w:t>
      </w:r>
      <w:r w:rsidRPr="00272DCE">
        <w:tab/>
      </w:r>
      <w:r w:rsidR="007D65E9" w:rsidRPr="00272DCE">
        <w:t>5</w:t>
      </w:r>
    </w:p>
    <w:p w14:paraId="58770027" w14:textId="77777777" w:rsidR="00C55A3B" w:rsidRPr="00272DCE" w:rsidRDefault="00C55A3B" w:rsidP="00C55A3B">
      <w:pPr>
        <w:tabs>
          <w:tab w:val="right" w:leader="dot" w:pos="7654"/>
          <w:tab w:val="right" w:pos="8929"/>
          <w:tab w:val="right" w:pos="9638"/>
        </w:tabs>
        <w:spacing w:after="120"/>
        <w:ind w:left="1559" w:hanging="425"/>
      </w:pPr>
      <w:r w:rsidRPr="00272DCE">
        <w:t>A.</w:t>
      </w:r>
      <w:r w:rsidRPr="00272DCE">
        <w:tab/>
      </w:r>
      <w:r w:rsidR="007D65E9" w:rsidRPr="00272DCE">
        <w:rPr>
          <w:szCs w:val="24"/>
        </w:rPr>
        <w:t>État de l’ADN</w:t>
      </w:r>
      <w:r w:rsidRPr="00272DCE">
        <w:tab/>
      </w:r>
      <w:r w:rsidRPr="00272DCE">
        <w:tab/>
      </w:r>
      <w:r w:rsidR="007D65E9" w:rsidRPr="00272DCE">
        <w:t>11</w:t>
      </w:r>
      <w:r w:rsidRPr="00272DCE">
        <w:tab/>
      </w:r>
      <w:r w:rsidR="007D65E9" w:rsidRPr="00272DCE">
        <w:t>5</w:t>
      </w:r>
    </w:p>
    <w:p w14:paraId="684DB8F9" w14:textId="77777777" w:rsidR="00C55A3B" w:rsidRPr="00272DCE" w:rsidRDefault="00C55A3B" w:rsidP="00C55A3B">
      <w:pPr>
        <w:tabs>
          <w:tab w:val="right" w:leader="dot" w:pos="7654"/>
          <w:tab w:val="right" w:pos="8929"/>
          <w:tab w:val="right" w:pos="9638"/>
        </w:tabs>
        <w:spacing w:after="120"/>
        <w:ind w:left="1559" w:hanging="425"/>
      </w:pPr>
      <w:r w:rsidRPr="00272DCE">
        <w:t>B.</w:t>
      </w:r>
      <w:r w:rsidRPr="00272DCE">
        <w:tab/>
      </w:r>
      <w:r w:rsidR="00CD67CE" w:rsidRPr="00272DCE">
        <w:t>Autorisations spéciales, dérogations et équivalences</w:t>
      </w:r>
      <w:r w:rsidRPr="00272DCE">
        <w:tab/>
      </w:r>
      <w:r w:rsidRPr="00272DCE">
        <w:tab/>
      </w:r>
      <w:r w:rsidR="007D65E9" w:rsidRPr="00272DCE">
        <w:t>12</w:t>
      </w:r>
      <w:r w:rsidRPr="00272DCE">
        <w:tab/>
      </w:r>
      <w:r w:rsidR="00CD67CE" w:rsidRPr="00272DCE">
        <w:t>5</w:t>
      </w:r>
    </w:p>
    <w:p w14:paraId="08BE1C60" w14:textId="77777777" w:rsidR="00C55A3B" w:rsidRPr="00272DCE" w:rsidRDefault="00C55A3B" w:rsidP="00C55A3B">
      <w:pPr>
        <w:tabs>
          <w:tab w:val="right" w:leader="dot" w:pos="7654"/>
          <w:tab w:val="right" w:pos="8929"/>
          <w:tab w:val="right" w:pos="9638"/>
        </w:tabs>
        <w:spacing w:after="120"/>
        <w:ind w:left="1559" w:hanging="425"/>
      </w:pPr>
      <w:r w:rsidRPr="00272DCE">
        <w:lastRenderedPageBreak/>
        <w:t>C.</w:t>
      </w:r>
      <w:r w:rsidRPr="00272DCE">
        <w:tab/>
      </w:r>
      <w:r w:rsidR="00CD67CE" w:rsidRPr="00272DCE">
        <w:t>Interprétation du Règlement annexé à l’ADN</w:t>
      </w:r>
      <w:r w:rsidRPr="00272DCE">
        <w:tab/>
      </w:r>
      <w:r w:rsidRPr="00272DCE">
        <w:tab/>
      </w:r>
      <w:r w:rsidR="00CD67CE" w:rsidRPr="00272DCE">
        <w:t>13−20</w:t>
      </w:r>
      <w:r w:rsidRPr="00272DCE">
        <w:tab/>
      </w:r>
      <w:r w:rsidR="00CD67CE" w:rsidRPr="00272DCE">
        <w:t>6</w:t>
      </w:r>
    </w:p>
    <w:p w14:paraId="00534248" w14:textId="77777777" w:rsidR="00EF26E6" w:rsidRPr="00272DCE" w:rsidRDefault="00EF26E6" w:rsidP="00EF26E6">
      <w:pPr>
        <w:tabs>
          <w:tab w:val="right" w:leader="dot" w:pos="7654"/>
          <w:tab w:val="right" w:pos="8929"/>
          <w:tab w:val="right" w:pos="9638"/>
        </w:tabs>
        <w:spacing w:after="120"/>
        <w:ind w:left="1984" w:hanging="425"/>
      </w:pPr>
      <w:r w:rsidRPr="00272DCE">
        <w:t>1.</w:t>
      </w:r>
      <w:r w:rsidRPr="00272DCE">
        <w:tab/>
      </w:r>
      <w:r w:rsidR="00CD67CE" w:rsidRPr="00272DCE">
        <w:t xml:space="preserve">Huile de chauffe lourde </w:t>
      </w:r>
      <w:proofErr w:type="gramStart"/>
      <w:r w:rsidR="00CD67CE" w:rsidRPr="00272DCE">
        <w:t>( No</w:t>
      </w:r>
      <w:proofErr w:type="gramEnd"/>
      <w:r w:rsidR="00CD67CE" w:rsidRPr="00272DCE">
        <w:t xml:space="preserve"> ONU 3082 ou No ONU 1202)</w:t>
      </w:r>
      <w:r w:rsidRPr="00272DCE">
        <w:tab/>
      </w:r>
      <w:r w:rsidRPr="00272DCE">
        <w:tab/>
      </w:r>
      <w:r w:rsidR="003F6D79" w:rsidRPr="00272DCE">
        <w:t>13−15</w:t>
      </w:r>
      <w:r w:rsidRPr="00272DCE">
        <w:tab/>
      </w:r>
      <w:r w:rsidR="00CD67CE" w:rsidRPr="00272DCE">
        <w:t>6</w:t>
      </w:r>
    </w:p>
    <w:p w14:paraId="15226880" w14:textId="77777777" w:rsidR="00C55A3B" w:rsidRPr="00272DCE" w:rsidRDefault="00C55A3B" w:rsidP="00EF26E6">
      <w:pPr>
        <w:tabs>
          <w:tab w:val="right" w:leader="dot" w:pos="7654"/>
          <w:tab w:val="right" w:pos="8929"/>
          <w:tab w:val="right" w:pos="9638"/>
        </w:tabs>
        <w:spacing w:after="120"/>
        <w:ind w:left="1984" w:hanging="425"/>
      </w:pPr>
      <w:r w:rsidRPr="00272DCE">
        <w:t>2.</w:t>
      </w:r>
      <w:r w:rsidRPr="00272DCE">
        <w:tab/>
      </w:r>
      <w:r w:rsidR="003F6D79" w:rsidRPr="00272DCE">
        <w:t>Débits de chargement et de déchargement</w:t>
      </w:r>
      <w:r w:rsidRPr="00272DCE">
        <w:tab/>
      </w:r>
      <w:r w:rsidRPr="00272DCE">
        <w:tab/>
      </w:r>
      <w:r w:rsidR="003F6D79" w:rsidRPr="00272DCE">
        <w:t>16−17</w:t>
      </w:r>
      <w:r w:rsidRPr="00272DCE">
        <w:tab/>
      </w:r>
      <w:r w:rsidR="003F6D79" w:rsidRPr="00272DCE">
        <w:t>6</w:t>
      </w:r>
    </w:p>
    <w:p w14:paraId="640FADA6" w14:textId="77777777" w:rsidR="00C55A3B" w:rsidRPr="00272DCE" w:rsidRDefault="00C55A3B" w:rsidP="00EF26E6">
      <w:pPr>
        <w:tabs>
          <w:tab w:val="right" w:leader="dot" w:pos="7654"/>
          <w:tab w:val="right" w:pos="8929"/>
          <w:tab w:val="right" w:pos="9638"/>
        </w:tabs>
        <w:spacing w:after="120"/>
        <w:ind w:left="1984" w:hanging="425"/>
      </w:pPr>
      <w:r w:rsidRPr="00272DCE">
        <w:t>3.</w:t>
      </w:r>
      <w:r w:rsidRPr="00272DCE">
        <w:tab/>
      </w:r>
      <w:r w:rsidR="003F6D79" w:rsidRPr="00272DCE">
        <w:t>Questions diverses d’interprétation et précisions</w:t>
      </w:r>
      <w:r w:rsidRPr="00272DCE">
        <w:tab/>
      </w:r>
      <w:r w:rsidRPr="00272DCE">
        <w:tab/>
      </w:r>
      <w:r w:rsidR="003F6D79" w:rsidRPr="00272DCE">
        <w:t>18−19</w:t>
      </w:r>
      <w:r w:rsidRPr="00272DCE">
        <w:tab/>
      </w:r>
      <w:r w:rsidR="003F6D79" w:rsidRPr="00272DCE">
        <w:t>6</w:t>
      </w:r>
    </w:p>
    <w:p w14:paraId="48859586" w14:textId="77777777" w:rsidR="00C55A3B" w:rsidRPr="00272DCE" w:rsidRDefault="00C55A3B" w:rsidP="00EF26E6">
      <w:pPr>
        <w:tabs>
          <w:tab w:val="right" w:leader="dot" w:pos="7654"/>
          <w:tab w:val="right" w:pos="8929"/>
          <w:tab w:val="right" w:pos="9638"/>
        </w:tabs>
        <w:spacing w:after="120"/>
        <w:ind w:left="1984" w:hanging="425"/>
      </w:pPr>
      <w:r w:rsidRPr="00272DCE">
        <w:t>4.</w:t>
      </w:r>
      <w:r w:rsidRPr="00272DCE">
        <w:tab/>
      </w:r>
      <w:r w:rsidR="003F6D79" w:rsidRPr="00272DCE">
        <w:t>Travaux à bord (sect. 8.3.5)</w:t>
      </w:r>
      <w:r w:rsidRPr="00272DCE">
        <w:tab/>
      </w:r>
      <w:r w:rsidRPr="00272DCE">
        <w:tab/>
      </w:r>
      <w:r w:rsidR="003F6D79" w:rsidRPr="00272DCE">
        <w:t>20</w:t>
      </w:r>
      <w:r w:rsidRPr="00272DCE">
        <w:tab/>
      </w:r>
      <w:r w:rsidR="003F6D79" w:rsidRPr="00272DCE">
        <w:t>6</w:t>
      </w:r>
    </w:p>
    <w:p w14:paraId="47C60807" w14:textId="77777777" w:rsidR="00C55A3B" w:rsidRPr="00272DCE" w:rsidRDefault="00C55A3B" w:rsidP="00C55A3B">
      <w:pPr>
        <w:tabs>
          <w:tab w:val="right" w:leader="dot" w:pos="7654"/>
          <w:tab w:val="right" w:pos="8929"/>
          <w:tab w:val="right" w:pos="9638"/>
        </w:tabs>
        <w:spacing w:after="120"/>
        <w:ind w:left="1559" w:hanging="425"/>
      </w:pPr>
      <w:r w:rsidRPr="00272DCE">
        <w:t>D.</w:t>
      </w:r>
      <w:r w:rsidRPr="00272DCE">
        <w:tab/>
      </w:r>
      <w:r w:rsidR="003F6D79" w:rsidRPr="00272DCE">
        <w:t>Formation des experts</w:t>
      </w:r>
      <w:r w:rsidRPr="00272DCE">
        <w:tab/>
      </w:r>
      <w:r w:rsidRPr="00272DCE">
        <w:tab/>
      </w:r>
      <w:r w:rsidR="003F6D79" w:rsidRPr="00272DCE">
        <w:t>21−28</w:t>
      </w:r>
      <w:r w:rsidRPr="00272DCE">
        <w:tab/>
      </w:r>
      <w:r w:rsidR="003F6D79" w:rsidRPr="00272DCE">
        <w:t>7</w:t>
      </w:r>
    </w:p>
    <w:p w14:paraId="132EBFED" w14:textId="77777777" w:rsidR="0050327E" w:rsidRPr="00272DCE" w:rsidRDefault="0050327E" w:rsidP="0050327E">
      <w:pPr>
        <w:tabs>
          <w:tab w:val="right" w:leader="dot" w:pos="7654"/>
          <w:tab w:val="right" w:pos="8929"/>
          <w:tab w:val="right" w:pos="9638"/>
        </w:tabs>
        <w:spacing w:after="120"/>
        <w:ind w:left="1984" w:hanging="425"/>
      </w:pPr>
      <w:r w:rsidRPr="00272DCE">
        <w:t>1.</w:t>
      </w:r>
      <w:r w:rsidRPr="00272DCE">
        <w:tab/>
      </w:r>
      <w:r w:rsidR="003F6D79" w:rsidRPr="00272DCE">
        <w:t xml:space="preserve">Compte rendu de la dix-neuvième réunion du groupe de travail </w:t>
      </w:r>
      <w:r w:rsidR="003F6D79" w:rsidRPr="00272DCE">
        <w:br/>
        <w:t xml:space="preserve">informel </w:t>
      </w:r>
      <w:r w:rsidR="00347D95" w:rsidRPr="00272DCE">
        <w:t>sur</w:t>
      </w:r>
      <w:r w:rsidR="003F6D79" w:rsidRPr="00272DCE">
        <w:t xml:space="preserve"> la formation des experts</w:t>
      </w:r>
      <w:r w:rsidRPr="00272DCE">
        <w:tab/>
      </w:r>
      <w:r w:rsidRPr="00272DCE">
        <w:tab/>
      </w:r>
      <w:r w:rsidR="003F6D79" w:rsidRPr="00272DCE">
        <w:t>21−22</w:t>
      </w:r>
      <w:r w:rsidRPr="00272DCE">
        <w:tab/>
      </w:r>
      <w:r w:rsidR="003F6D79" w:rsidRPr="00272DCE">
        <w:t>7</w:t>
      </w:r>
    </w:p>
    <w:p w14:paraId="0385903D" w14:textId="77777777" w:rsidR="0050327E" w:rsidRPr="00272DCE" w:rsidRDefault="0050327E" w:rsidP="0050327E">
      <w:pPr>
        <w:tabs>
          <w:tab w:val="right" w:leader="dot" w:pos="7654"/>
          <w:tab w:val="right" w:pos="8929"/>
          <w:tab w:val="right" w:pos="9638"/>
        </w:tabs>
        <w:spacing w:after="120"/>
        <w:ind w:left="1984" w:hanging="425"/>
      </w:pPr>
      <w:r w:rsidRPr="00272DCE">
        <w:t>2.</w:t>
      </w:r>
      <w:r w:rsidRPr="00272DCE">
        <w:tab/>
      </w:r>
      <w:r w:rsidR="003F6D79" w:rsidRPr="00272DCE">
        <w:t xml:space="preserve">Directive du Comité d’administration pour l’utilisation du catalogue </w:t>
      </w:r>
      <w:r w:rsidR="003F6D79" w:rsidRPr="00272DCE">
        <w:br/>
        <w:t>de questions pour l’examen d’expert ADN (chap. 8.2)</w:t>
      </w:r>
      <w:r w:rsidRPr="00272DCE">
        <w:tab/>
      </w:r>
      <w:r w:rsidRPr="00272DCE">
        <w:tab/>
      </w:r>
      <w:r w:rsidR="003F6D79" w:rsidRPr="00272DCE">
        <w:t>23−24</w:t>
      </w:r>
      <w:r w:rsidRPr="00272DCE">
        <w:tab/>
      </w:r>
      <w:r w:rsidR="003F6D79" w:rsidRPr="00272DCE">
        <w:t>7</w:t>
      </w:r>
    </w:p>
    <w:p w14:paraId="35FB1CEC" w14:textId="77777777" w:rsidR="0050327E" w:rsidRPr="00272DCE" w:rsidRDefault="0050327E" w:rsidP="0050327E">
      <w:pPr>
        <w:tabs>
          <w:tab w:val="right" w:leader="dot" w:pos="7654"/>
          <w:tab w:val="right" w:pos="8929"/>
          <w:tab w:val="right" w:pos="9638"/>
        </w:tabs>
        <w:spacing w:after="120"/>
        <w:ind w:left="1984" w:hanging="425"/>
      </w:pPr>
      <w:r w:rsidRPr="00272DCE">
        <w:t>3.</w:t>
      </w:r>
      <w:r w:rsidRPr="00272DCE">
        <w:tab/>
      </w:r>
      <w:r w:rsidR="003F6D79" w:rsidRPr="00272DCE">
        <w:t>Catalogue de questions 2019</w:t>
      </w:r>
      <w:r w:rsidRPr="00272DCE">
        <w:tab/>
      </w:r>
      <w:r w:rsidRPr="00272DCE">
        <w:tab/>
      </w:r>
      <w:r w:rsidR="003F6D79" w:rsidRPr="00272DCE">
        <w:t>25−26</w:t>
      </w:r>
      <w:r w:rsidRPr="00272DCE">
        <w:tab/>
      </w:r>
      <w:r w:rsidR="003F6D79" w:rsidRPr="00272DCE">
        <w:t>8</w:t>
      </w:r>
    </w:p>
    <w:p w14:paraId="7D915C60" w14:textId="77777777" w:rsidR="0050327E" w:rsidRPr="00272DCE" w:rsidRDefault="0050327E" w:rsidP="0050327E">
      <w:pPr>
        <w:tabs>
          <w:tab w:val="right" w:leader="dot" w:pos="7654"/>
          <w:tab w:val="right" w:pos="8929"/>
          <w:tab w:val="right" w:pos="9638"/>
        </w:tabs>
        <w:spacing w:after="120"/>
        <w:ind w:left="1984" w:hanging="425"/>
      </w:pPr>
      <w:r w:rsidRPr="00272DCE">
        <w:t>4.</w:t>
      </w:r>
      <w:r w:rsidRPr="00272DCE">
        <w:tab/>
      </w:r>
      <w:r w:rsidR="004943E5" w:rsidRPr="00272DCE">
        <w:t xml:space="preserve">Suivi de la proposition d’allongement de la durée de l’examen visé </w:t>
      </w:r>
      <w:r w:rsidR="004943E5" w:rsidRPr="00272DCE">
        <w:br/>
        <w:t xml:space="preserve">au 8.2.2.7.1.5 (cours de formation de base) </w:t>
      </w:r>
      <w:r w:rsidR="004943E5" w:rsidRPr="00272DCE">
        <w:br/>
        <w:t>et au 8.2.2.7.3.2 (cours de recyclage)</w:t>
      </w:r>
      <w:r w:rsidRPr="00272DCE">
        <w:tab/>
      </w:r>
      <w:r w:rsidRPr="00272DCE">
        <w:tab/>
      </w:r>
      <w:r w:rsidR="003F6D79" w:rsidRPr="00272DCE">
        <w:t>27−2</w:t>
      </w:r>
      <w:r w:rsidR="00D84EE7" w:rsidRPr="00272DCE">
        <w:t>8</w:t>
      </w:r>
      <w:r w:rsidRPr="00272DCE">
        <w:tab/>
      </w:r>
      <w:r w:rsidR="004943E5" w:rsidRPr="00272DCE">
        <w:t>8</w:t>
      </w:r>
    </w:p>
    <w:p w14:paraId="4C91DC7D" w14:textId="77777777" w:rsidR="0050327E" w:rsidRPr="00272DCE" w:rsidRDefault="0050327E" w:rsidP="0050327E">
      <w:pPr>
        <w:tabs>
          <w:tab w:val="right" w:leader="dot" w:pos="7654"/>
          <w:tab w:val="right" w:pos="8929"/>
          <w:tab w:val="right" w:pos="9638"/>
        </w:tabs>
        <w:spacing w:after="120"/>
        <w:ind w:left="1559" w:hanging="425"/>
      </w:pPr>
      <w:r w:rsidRPr="00272DCE">
        <w:t>E.</w:t>
      </w:r>
      <w:r w:rsidRPr="00272DCE">
        <w:tab/>
      </w:r>
      <w:r w:rsidR="004943E5" w:rsidRPr="00272DCE">
        <w:t>Questions relatives aux sociétés de classification</w:t>
      </w:r>
      <w:r w:rsidRPr="00272DCE">
        <w:tab/>
      </w:r>
      <w:r w:rsidRPr="00272DCE">
        <w:tab/>
      </w:r>
      <w:r w:rsidR="004943E5" w:rsidRPr="00272DCE">
        <w:t>29−35</w:t>
      </w:r>
      <w:r w:rsidRPr="00272DCE">
        <w:tab/>
      </w:r>
      <w:r w:rsidR="004943E5" w:rsidRPr="00272DCE">
        <w:t>8</w:t>
      </w:r>
    </w:p>
    <w:p w14:paraId="12C48CF1" w14:textId="77777777" w:rsidR="0050327E" w:rsidRPr="00272DCE" w:rsidRDefault="0050327E" w:rsidP="0050327E">
      <w:pPr>
        <w:tabs>
          <w:tab w:val="right" w:leader="dot" w:pos="7654"/>
          <w:tab w:val="right" w:pos="8929"/>
          <w:tab w:val="right" w:pos="9638"/>
        </w:tabs>
        <w:spacing w:after="120"/>
        <w:ind w:left="1984" w:hanging="425"/>
      </w:pPr>
      <w:r w:rsidRPr="00272DCE">
        <w:t>1.</w:t>
      </w:r>
      <w:r w:rsidRPr="00272DCE">
        <w:tab/>
      </w:r>
      <w:r w:rsidR="004943E5" w:rsidRPr="00272DCE">
        <w:t xml:space="preserve">Rapport de la seizième réunion du groupe de travail informel </w:t>
      </w:r>
      <w:r w:rsidR="004943E5" w:rsidRPr="00272DCE">
        <w:br/>
        <w:t>des sociétés de classification recommandées ADN</w:t>
      </w:r>
      <w:r w:rsidRPr="00272DCE">
        <w:tab/>
      </w:r>
      <w:r w:rsidRPr="00272DCE">
        <w:tab/>
      </w:r>
      <w:r w:rsidR="00605276" w:rsidRPr="00272DCE">
        <w:t>29</w:t>
      </w:r>
      <w:r w:rsidRPr="00272DCE">
        <w:tab/>
      </w:r>
      <w:r w:rsidR="00605276" w:rsidRPr="00272DCE">
        <w:t>8</w:t>
      </w:r>
    </w:p>
    <w:p w14:paraId="195FB1C0" w14:textId="77777777" w:rsidR="0050327E" w:rsidRPr="00272DCE" w:rsidRDefault="0050327E" w:rsidP="0050327E">
      <w:pPr>
        <w:tabs>
          <w:tab w:val="right" w:leader="dot" w:pos="7654"/>
          <w:tab w:val="right" w:pos="8929"/>
          <w:tab w:val="right" w:pos="9638"/>
        </w:tabs>
        <w:spacing w:after="120"/>
        <w:ind w:left="1984" w:hanging="425"/>
      </w:pPr>
      <w:r w:rsidRPr="00272DCE">
        <w:t>2.</w:t>
      </w:r>
      <w:r w:rsidRPr="00272DCE">
        <w:tab/>
      </w:r>
      <w:r w:rsidR="00605276" w:rsidRPr="00272DCE">
        <w:t>Agrément des sociétés de classification</w:t>
      </w:r>
      <w:r w:rsidRPr="00272DCE">
        <w:tab/>
      </w:r>
      <w:r w:rsidRPr="00272DCE">
        <w:tab/>
      </w:r>
      <w:r w:rsidR="00605276" w:rsidRPr="00272DCE">
        <w:t>30</w:t>
      </w:r>
      <w:r w:rsidRPr="00272DCE">
        <w:tab/>
      </w:r>
      <w:r w:rsidR="00605276" w:rsidRPr="00272DCE">
        <w:t>9</w:t>
      </w:r>
    </w:p>
    <w:p w14:paraId="0732CF12" w14:textId="77777777" w:rsidR="0050327E" w:rsidRPr="00272DCE" w:rsidRDefault="0050327E" w:rsidP="0050327E">
      <w:pPr>
        <w:tabs>
          <w:tab w:val="right" w:leader="dot" w:pos="7654"/>
          <w:tab w:val="right" w:pos="8929"/>
          <w:tab w:val="right" w:pos="9638"/>
        </w:tabs>
        <w:spacing w:after="120"/>
        <w:ind w:left="1984" w:hanging="425"/>
      </w:pPr>
      <w:r w:rsidRPr="00272DCE">
        <w:t>3.</w:t>
      </w:r>
      <w:r w:rsidRPr="00272DCE">
        <w:tab/>
      </w:r>
      <w:r w:rsidR="00605276" w:rsidRPr="00272DCE">
        <w:t>État d’avancement de l’agrément des instruments de chargement</w:t>
      </w:r>
      <w:r w:rsidRPr="00272DCE">
        <w:tab/>
      </w:r>
      <w:r w:rsidRPr="00272DCE">
        <w:tab/>
      </w:r>
      <w:r w:rsidR="00605276" w:rsidRPr="00272DCE">
        <w:t>31−35</w:t>
      </w:r>
      <w:r w:rsidRPr="00272DCE">
        <w:tab/>
      </w:r>
      <w:r w:rsidR="00605276" w:rsidRPr="00272DCE">
        <w:t>9</w:t>
      </w:r>
    </w:p>
    <w:p w14:paraId="433EA17B" w14:textId="77777777" w:rsidR="0050327E" w:rsidRPr="00272DCE" w:rsidRDefault="0050327E" w:rsidP="0050327E">
      <w:pPr>
        <w:tabs>
          <w:tab w:val="right" w:pos="850"/>
          <w:tab w:val="right" w:leader="dot" w:pos="7654"/>
          <w:tab w:val="right" w:pos="8929"/>
          <w:tab w:val="right" w:pos="9638"/>
        </w:tabs>
        <w:spacing w:after="120"/>
        <w:ind w:left="1134" w:hanging="1134"/>
      </w:pPr>
      <w:r w:rsidRPr="00272DCE">
        <w:tab/>
        <w:t>VI.</w:t>
      </w:r>
      <w:r w:rsidRPr="00272DCE">
        <w:tab/>
      </w:r>
      <w:r w:rsidR="00605276" w:rsidRPr="00272DCE">
        <w:t xml:space="preserve">Propositions d’amendements au Règlement annexé à l’ADN </w:t>
      </w:r>
      <w:r w:rsidR="00605276" w:rsidRPr="00272DCE">
        <w:br/>
        <w:t>(</w:t>
      </w:r>
      <w:proofErr w:type="gramStart"/>
      <w:r w:rsidR="00605276" w:rsidRPr="00272DCE">
        <w:t>point</w:t>
      </w:r>
      <w:proofErr w:type="gramEnd"/>
      <w:r w:rsidR="00605276" w:rsidRPr="00272DCE">
        <w:t> 5 de l’ordre du jour)</w:t>
      </w:r>
      <w:r w:rsidRPr="00272DCE">
        <w:tab/>
      </w:r>
      <w:r w:rsidRPr="00272DCE">
        <w:tab/>
      </w:r>
      <w:r w:rsidR="00605276" w:rsidRPr="00272DCE">
        <w:t>36−71</w:t>
      </w:r>
      <w:r w:rsidRPr="00272DCE">
        <w:tab/>
      </w:r>
      <w:r w:rsidR="00605276" w:rsidRPr="00272DCE">
        <w:t>10</w:t>
      </w:r>
    </w:p>
    <w:p w14:paraId="54C5D183" w14:textId="77777777" w:rsidR="0050327E" w:rsidRPr="00272DCE" w:rsidRDefault="0050327E" w:rsidP="0050327E">
      <w:pPr>
        <w:tabs>
          <w:tab w:val="right" w:leader="dot" w:pos="7654"/>
          <w:tab w:val="right" w:pos="8929"/>
          <w:tab w:val="right" w:pos="9638"/>
        </w:tabs>
        <w:spacing w:after="120"/>
        <w:ind w:left="1559" w:hanging="425"/>
      </w:pPr>
      <w:r w:rsidRPr="00272DCE">
        <w:t>A.</w:t>
      </w:r>
      <w:r w:rsidRPr="00272DCE">
        <w:tab/>
      </w:r>
      <w:r w:rsidR="00605276" w:rsidRPr="00272DCE">
        <w:t>Travaux de la Réunion commune RID/ADR/ADN</w:t>
      </w:r>
      <w:r w:rsidRPr="00272DCE">
        <w:tab/>
      </w:r>
      <w:r w:rsidRPr="00272DCE">
        <w:tab/>
      </w:r>
      <w:r w:rsidR="00605276" w:rsidRPr="00272DCE">
        <w:t>36−38</w:t>
      </w:r>
      <w:r w:rsidRPr="00272DCE">
        <w:tab/>
      </w:r>
      <w:r w:rsidR="00605276" w:rsidRPr="00272DCE">
        <w:t>10</w:t>
      </w:r>
    </w:p>
    <w:p w14:paraId="440362A9" w14:textId="77777777" w:rsidR="0050327E" w:rsidRPr="00272DCE" w:rsidRDefault="0050327E" w:rsidP="0050327E">
      <w:pPr>
        <w:tabs>
          <w:tab w:val="right" w:leader="dot" w:pos="7654"/>
          <w:tab w:val="right" w:pos="8929"/>
          <w:tab w:val="right" w:pos="9638"/>
        </w:tabs>
        <w:spacing w:after="120"/>
        <w:ind w:left="1559" w:hanging="425"/>
      </w:pPr>
      <w:r w:rsidRPr="00272DCE">
        <w:t>B.</w:t>
      </w:r>
      <w:r w:rsidRPr="00272DCE">
        <w:tab/>
      </w:r>
      <w:r w:rsidR="00605276" w:rsidRPr="00272DCE">
        <w:t>Autres propositions d’amendements</w:t>
      </w:r>
      <w:r w:rsidRPr="00272DCE">
        <w:tab/>
      </w:r>
      <w:r w:rsidRPr="00272DCE">
        <w:tab/>
      </w:r>
      <w:r w:rsidR="00605276" w:rsidRPr="00272DCE">
        <w:t>39−71</w:t>
      </w:r>
      <w:r w:rsidRPr="00272DCE">
        <w:tab/>
      </w:r>
      <w:r w:rsidR="00605276" w:rsidRPr="00272DCE">
        <w:t>10</w:t>
      </w:r>
    </w:p>
    <w:p w14:paraId="50ECBF97" w14:textId="77777777" w:rsidR="0050327E" w:rsidRPr="00272DCE" w:rsidRDefault="0050327E" w:rsidP="0050327E">
      <w:pPr>
        <w:tabs>
          <w:tab w:val="right" w:leader="dot" w:pos="7654"/>
          <w:tab w:val="right" w:pos="8929"/>
          <w:tab w:val="right" w:pos="9638"/>
        </w:tabs>
        <w:spacing w:after="120"/>
        <w:ind w:left="1984" w:hanging="425"/>
      </w:pPr>
      <w:r w:rsidRPr="00272DCE">
        <w:t>1.</w:t>
      </w:r>
      <w:r w:rsidRPr="00272DCE">
        <w:tab/>
      </w:r>
      <w:r w:rsidR="00605276" w:rsidRPr="00272DCE">
        <w:t xml:space="preserve">Dispositions particulières applicables au transport des matières </w:t>
      </w:r>
      <w:r w:rsidR="00605276" w:rsidRPr="00272DCE">
        <w:br/>
      </w:r>
      <w:proofErr w:type="spellStart"/>
      <w:r w:rsidR="00605276" w:rsidRPr="00272DCE">
        <w:t>autoréactives</w:t>
      </w:r>
      <w:proofErr w:type="spellEnd"/>
      <w:r w:rsidR="00605276" w:rsidRPr="00272DCE">
        <w:t xml:space="preserve"> de la classe 4.1, des peroxydes organiques de la classe 5.2</w:t>
      </w:r>
      <w:r w:rsidR="00605276" w:rsidRPr="00272DCE">
        <w:br/>
        <w:t xml:space="preserve">et des matières stabilisées par régulation de température (autres que </w:t>
      </w:r>
      <w:r w:rsidR="00605276" w:rsidRPr="00272DCE">
        <w:br/>
        <w:t xml:space="preserve">les matières </w:t>
      </w:r>
      <w:proofErr w:type="spellStart"/>
      <w:r w:rsidR="00605276" w:rsidRPr="00272DCE">
        <w:t>autoréactives</w:t>
      </w:r>
      <w:proofErr w:type="spellEnd"/>
      <w:r w:rsidR="00605276" w:rsidRPr="00272DCE">
        <w:t xml:space="preserve"> ou les peroxydes organiques) : section 7.1.7</w:t>
      </w:r>
      <w:r w:rsidRPr="00272DCE">
        <w:tab/>
      </w:r>
      <w:r w:rsidRPr="00272DCE">
        <w:tab/>
      </w:r>
      <w:r w:rsidR="00605276" w:rsidRPr="00272DCE">
        <w:t>39−41</w:t>
      </w:r>
      <w:r w:rsidRPr="00272DCE">
        <w:tab/>
      </w:r>
      <w:r w:rsidR="00605276" w:rsidRPr="00272DCE">
        <w:t>10</w:t>
      </w:r>
    </w:p>
    <w:p w14:paraId="257EE7A9" w14:textId="77777777" w:rsidR="0050327E" w:rsidRPr="00272DCE" w:rsidRDefault="0050327E" w:rsidP="0050327E">
      <w:pPr>
        <w:tabs>
          <w:tab w:val="right" w:leader="dot" w:pos="7654"/>
          <w:tab w:val="right" w:pos="8929"/>
          <w:tab w:val="right" w:pos="9638"/>
        </w:tabs>
        <w:spacing w:after="120"/>
        <w:ind w:left="1984" w:hanging="425"/>
      </w:pPr>
      <w:r w:rsidRPr="00272DCE">
        <w:t>2.</w:t>
      </w:r>
      <w:r w:rsidRPr="00272DCE">
        <w:tab/>
      </w:r>
      <w:r w:rsidR="00605276" w:rsidRPr="00272DCE">
        <w:t>Clarification du 1.1.3.6.1</w:t>
      </w:r>
      <w:r w:rsidRPr="00272DCE">
        <w:tab/>
      </w:r>
      <w:r w:rsidRPr="00272DCE">
        <w:tab/>
      </w:r>
      <w:r w:rsidR="00605276" w:rsidRPr="00272DCE">
        <w:t>42</w:t>
      </w:r>
      <w:r w:rsidRPr="00272DCE">
        <w:tab/>
      </w:r>
      <w:r w:rsidR="00605276" w:rsidRPr="00272DCE">
        <w:t>11</w:t>
      </w:r>
    </w:p>
    <w:p w14:paraId="108A1624" w14:textId="77777777" w:rsidR="0050327E" w:rsidRPr="00272DCE" w:rsidRDefault="0050327E" w:rsidP="0050327E">
      <w:pPr>
        <w:tabs>
          <w:tab w:val="right" w:leader="dot" w:pos="7654"/>
          <w:tab w:val="right" w:pos="8929"/>
          <w:tab w:val="right" w:pos="9638"/>
        </w:tabs>
        <w:spacing w:after="120"/>
        <w:ind w:left="1984" w:hanging="425"/>
      </w:pPr>
      <w:r w:rsidRPr="00272DCE">
        <w:t>3.</w:t>
      </w:r>
      <w:r w:rsidRPr="00272DCE">
        <w:tab/>
      </w:r>
      <w:r w:rsidR="00605276" w:rsidRPr="00272DCE">
        <w:t>Dispositifs d’extinction d’incendie (9.1.0.40.1)</w:t>
      </w:r>
      <w:r w:rsidRPr="00272DCE">
        <w:tab/>
      </w:r>
      <w:r w:rsidRPr="00272DCE">
        <w:tab/>
      </w:r>
      <w:r w:rsidR="003C3B6C" w:rsidRPr="00272DCE">
        <w:t>43</w:t>
      </w:r>
      <w:r w:rsidRPr="00272DCE">
        <w:tab/>
      </w:r>
      <w:r w:rsidR="00605276" w:rsidRPr="00272DCE">
        <w:t>11</w:t>
      </w:r>
    </w:p>
    <w:p w14:paraId="1C800B18" w14:textId="77777777" w:rsidR="0050327E" w:rsidRPr="00272DCE" w:rsidRDefault="0050327E" w:rsidP="0050327E">
      <w:pPr>
        <w:tabs>
          <w:tab w:val="right" w:leader="dot" w:pos="7654"/>
          <w:tab w:val="right" w:pos="8929"/>
          <w:tab w:val="right" w:pos="9638"/>
        </w:tabs>
        <w:spacing w:after="120"/>
        <w:ind w:left="1984" w:hanging="425"/>
      </w:pPr>
      <w:r w:rsidRPr="00272DCE">
        <w:t>4.</w:t>
      </w:r>
      <w:r w:rsidRPr="00272DCE">
        <w:tab/>
      </w:r>
      <w:r w:rsidR="003C3B6C" w:rsidRPr="00272DCE">
        <w:t>Matériaux de construction (9.1.0.0)</w:t>
      </w:r>
      <w:r w:rsidRPr="00272DCE">
        <w:tab/>
      </w:r>
      <w:r w:rsidRPr="00272DCE">
        <w:tab/>
      </w:r>
      <w:r w:rsidR="003C3B6C" w:rsidRPr="00272DCE">
        <w:t>44</w:t>
      </w:r>
      <w:r w:rsidRPr="00272DCE">
        <w:tab/>
      </w:r>
      <w:r w:rsidR="003C3B6C" w:rsidRPr="00272DCE">
        <w:t>11</w:t>
      </w:r>
    </w:p>
    <w:p w14:paraId="77364B0B" w14:textId="77777777" w:rsidR="0050327E" w:rsidRPr="00272DCE" w:rsidRDefault="0050327E" w:rsidP="0050327E">
      <w:pPr>
        <w:tabs>
          <w:tab w:val="right" w:leader="dot" w:pos="7654"/>
          <w:tab w:val="right" w:pos="8929"/>
          <w:tab w:val="right" w:pos="9638"/>
        </w:tabs>
        <w:spacing w:after="120"/>
        <w:ind w:left="1984" w:hanging="425"/>
      </w:pPr>
      <w:r w:rsidRPr="00272DCE">
        <w:t>5.</w:t>
      </w:r>
      <w:r w:rsidRPr="00272DCE">
        <w:tab/>
      </w:r>
      <w:r w:rsidR="00425F44" w:rsidRPr="00272DCE">
        <w:t>Avitaillement en gaz naturel liquéfié (GNL)</w:t>
      </w:r>
      <w:r w:rsidRPr="00272DCE">
        <w:tab/>
      </w:r>
      <w:r w:rsidRPr="00272DCE">
        <w:tab/>
      </w:r>
      <w:r w:rsidR="003C3B6C" w:rsidRPr="00272DCE">
        <w:t>45−47</w:t>
      </w:r>
      <w:r w:rsidRPr="00272DCE">
        <w:tab/>
      </w:r>
      <w:r w:rsidR="00425F44" w:rsidRPr="00272DCE">
        <w:t>11</w:t>
      </w:r>
    </w:p>
    <w:p w14:paraId="78E9CF17" w14:textId="77777777" w:rsidR="0050327E" w:rsidRPr="00272DCE" w:rsidRDefault="0050327E" w:rsidP="0050327E">
      <w:pPr>
        <w:tabs>
          <w:tab w:val="right" w:leader="dot" w:pos="7654"/>
          <w:tab w:val="right" w:pos="8929"/>
          <w:tab w:val="right" w:pos="9638"/>
        </w:tabs>
        <w:spacing w:after="120"/>
        <w:ind w:left="1984" w:hanging="425"/>
      </w:pPr>
      <w:r w:rsidRPr="00272DCE">
        <w:t>6.</w:t>
      </w:r>
      <w:r w:rsidRPr="00272DCE">
        <w:tab/>
      </w:r>
      <w:r w:rsidR="00425F44" w:rsidRPr="00272DCE">
        <w:t>Amendements et corrections au Règlement annexé à l’ADN</w:t>
      </w:r>
      <w:r w:rsidRPr="00272DCE">
        <w:tab/>
      </w:r>
      <w:r w:rsidRPr="00272DCE">
        <w:tab/>
      </w:r>
      <w:r w:rsidR="003C3B6C" w:rsidRPr="00272DCE">
        <w:t>48−50</w:t>
      </w:r>
      <w:r w:rsidRPr="00272DCE">
        <w:tab/>
      </w:r>
      <w:r w:rsidR="00425F44" w:rsidRPr="00272DCE">
        <w:t>11</w:t>
      </w:r>
    </w:p>
    <w:p w14:paraId="3CBAAD5A" w14:textId="77777777" w:rsidR="0050327E" w:rsidRPr="00272DCE" w:rsidRDefault="0050327E" w:rsidP="0050327E">
      <w:pPr>
        <w:tabs>
          <w:tab w:val="right" w:leader="dot" w:pos="7654"/>
          <w:tab w:val="right" w:pos="8929"/>
          <w:tab w:val="right" w:pos="9638"/>
        </w:tabs>
        <w:spacing w:after="120"/>
        <w:ind w:left="1984" w:hanging="425"/>
      </w:pPr>
      <w:r w:rsidRPr="00272DCE">
        <w:t>7.</w:t>
      </w:r>
      <w:r w:rsidRPr="00272DCE">
        <w:tab/>
      </w:r>
      <w:r w:rsidR="00425F44" w:rsidRPr="00272DCE">
        <w:t xml:space="preserve">Tableau C : </w:t>
      </w:r>
      <w:r w:rsidR="00425F44" w:rsidRPr="00272DCE">
        <w:rPr>
          <w:rFonts w:eastAsia="MS Mincho"/>
        </w:rPr>
        <w:t xml:space="preserve">numéro </w:t>
      </w:r>
      <w:r w:rsidR="00425F44" w:rsidRPr="00272DCE">
        <w:t>ONU 3295</w:t>
      </w:r>
      <w:r w:rsidRPr="00272DCE">
        <w:tab/>
      </w:r>
      <w:r w:rsidRPr="00272DCE">
        <w:tab/>
      </w:r>
      <w:r w:rsidR="00425F44" w:rsidRPr="00272DCE">
        <w:t>51</w:t>
      </w:r>
      <w:r w:rsidRPr="00272DCE">
        <w:tab/>
      </w:r>
      <w:r w:rsidR="00425F44" w:rsidRPr="00272DCE">
        <w:t>12</w:t>
      </w:r>
    </w:p>
    <w:p w14:paraId="6099233F" w14:textId="77777777" w:rsidR="0050327E" w:rsidRPr="00272DCE" w:rsidRDefault="0050327E" w:rsidP="0050327E">
      <w:pPr>
        <w:tabs>
          <w:tab w:val="right" w:leader="dot" w:pos="7654"/>
          <w:tab w:val="right" w:pos="8929"/>
          <w:tab w:val="right" w:pos="9638"/>
        </w:tabs>
        <w:spacing w:after="120"/>
        <w:ind w:left="1984" w:hanging="425"/>
      </w:pPr>
      <w:r w:rsidRPr="00272DCE">
        <w:t>8.</w:t>
      </w:r>
      <w:r w:rsidRPr="00272DCE">
        <w:tab/>
      </w:r>
      <w:r w:rsidR="00425F44" w:rsidRPr="00272DCE">
        <w:t>Propositions de modification des renvois au CEVNI dans l’ADN</w:t>
      </w:r>
      <w:r w:rsidRPr="00272DCE">
        <w:tab/>
      </w:r>
      <w:r w:rsidRPr="00272DCE">
        <w:tab/>
      </w:r>
      <w:r w:rsidR="00425F44" w:rsidRPr="00272DCE">
        <w:t>52</w:t>
      </w:r>
      <w:r w:rsidRPr="00272DCE">
        <w:tab/>
      </w:r>
      <w:r w:rsidR="00425F44" w:rsidRPr="00272DCE">
        <w:t>12</w:t>
      </w:r>
    </w:p>
    <w:p w14:paraId="6DEA01A6" w14:textId="77777777" w:rsidR="0050327E" w:rsidRPr="00272DCE" w:rsidRDefault="0050327E" w:rsidP="0050327E">
      <w:pPr>
        <w:tabs>
          <w:tab w:val="right" w:leader="dot" w:pos="7654"/>
          <w:tab w:val="right" w:pos="8929"/>
          <w:tab w:val="right" w:pos="9638"/>
        </w:tabs>
        <w:spacing w:after="120"/>
        <w:ind w:left="1984" w:hanging="425"/>
      </w:pPr>
      <w:r w:rsidRPr="00272DCE">
        <w:t>9.</w:t>
      </w:r>
      <w:r w:rsidRPr="00272DCE">
        <w:tab/>
      </w:r>
      <w:r w:rsidR="00425F44" w:rsidRPr="00272DCE">
        <w:t>Correction relative aux exemples de types de bateaux au 1.2.1</w:t>
      </w:r>
      <w:r w:rsidRPr="00272DCE">
        <w:tab/>
      </w:r>
      <w:r w:rsidRPr="00272DCE">
        <w:tab/>
      </w:r>
      <w:r w:rsidR="00425F44" w:rsidRPr="00272DCE">
        <w:t>53</w:t>
      </w:r>
      <w:r w:rsidRPr="00272DCE">
        <w:tab/>
      </w:r>
      <w:r w:rsidR="00425F44" w:rsidRPr="00272DCE">
        <w:t>12</w:t>
      </w:r>
    </w:p>
    <w:p w14:paraId="454E2E5F" w14:textId="77777777" w:rsidR="0050327E" w:rsidRPr="00272DCE" w:rsidRDefault="0050327E" w:rsidP="0050327E">
      <w:pPr>
        <w:tabs>
          <w:tab w:val="right" w:leader="dot" w:pos="7654"/>
          <w:tab w:val="right" w:pos="8929"/>
          <w:tab w:val="right" w:pos="9638"/>
        </w:tabs>
        <w:spacing w:after="120"/>
        <w:ind w:left="1984" w:hanging="425"/>
      </w:pPr>
      <w:r w:rsidRPr="00272DCE">
        <w:t>10</w:t>
      </w:r>
      <w:r w:rsidRPr="00272DCE">
        <w:tab/>
      </w:r>
      <w:r w:rsidR="00425F44" w:rsidRPr="00272DCE">
        <w:t>Mise à jour de la liste de contrôle conformément au 1.8.1.2.1</w:t>
      </w:r>
      <w:r w:rsidRPr="00272DCE">
        <w:tab/>
      </w:r>
      <w:r w:rsidRPr="00272DCE">
        <w:tab/>
      </w:r>
      <w:r w:rsidR="00425F44" w:rsidRPr="00272DCE">
        <w:t>54</w:t>
      </w:r>
      <w:r w:rsidRPr="00272DCE">
        <w:tab/>
      </w:r>
      <w:r w:rsidR="00425F44" w:rsidRPr="00272DCE">
        <w:t>12</w:t>
      </w:r>
    </w:p>
    <w:p w14:paraId="6355D018" w14:textId="77777777" w:rsidR="0050327E" w:rsidRPr="00272DCE" w:rsidRDefault="0050327E" w:rsidP="0050327E">
      <w:pPr>
        <w:tabs>
          <w:tab w:val="right" w:leader="dot" w:pos="7654"/>
          <w:tab w:val="right" w:pos="8929"/>
          <w:tab w:val="right" w:pos="9638"/>
        </w:tabs>
        <w:spacing w:after="120"/>
        <w:ind w:left="1984" w:hanging="425"/>
      </w:pPr>
      <w:r w:rsidRPr="00272DCE">
        <w:t>11.</w:t>
      </w:r>
      <w:r w:rsidRPr="00272DCE">
        <w:tab/>
      </w:r>
      <w:r w:rsidR="00425F44" w:rsidRPr="00272DCE">
        <w:t>Section 3.2.3.3, schéma A : Critères pour l’équipement des citernes</w:t>
      </w:r>
      <w:r w:rsidR="00425F44" w:rsidRPr="00272DCE">
        <w:br/>
        <w:t>à cargaison des bateaux du type C</w:t>
      </w:r>
      <w:r w:rsidRPr="00272DCE">
        <w:tab/>
      </w:r>
      <w:r w:rsidRPr="00272DCE">
        <w:tab/>
      </w:r>
      <w:r w:rsidR="00425F44" w:rsidRPr="00272DCE">
        <w:t>55−56</w:t>
      </w:r>
      <w:r w:rsidRPr="00272DCE">
        <w:tab/>
      </w:r>
      <w:r w:rsidR="00425F44" w:rsidRPr="00272DCE">
        <w:t>12</w:t>
      </w:r>
    </w:p>
    <w:p w14:paraId="6E1D23E6" w14:textId="77777777" w:rsidR="0050327E" w:rsidRPr="00272DCE" w:rsidRDefault="0050327E" w:rsidP="0050327E">
      <w:pPr>
        <w:tabs>
          <w:tab w:val="right" w:leader="dot" w:pos="7654"/>
          <w:tab w:val="right" w:pos="8929"/>
          <w:tab w:val="right" w:pos="9638"/>
        </w:tabs>
        <w:spacing w:after="120"/>
        <w:ind w:left="1984" w:hanging="425"/>
      </w:pPr>
      <w:r w:rsidRPr="00272DCE">
        <w:t>12.</w:t>
      </w:r>
      <w:r w:rsidRPr="00272DCE">
        <w:tab/>
      </w:r>
      <w:r w:rsidR="00425F44" w:rsidRPr="00272DCE">
        <w:t>Définition de « Conduite de retour de gaz (à terre) » au 1.2.1</w:t>
      </w:r>
      <w:r w:rsidRPr="00272DCE">
        <w:tab/>
      </w:r>
      <w:r w:rsidRPr="00272DCE">
        <w:tab/>
      </w:r>
      <w:r w:rsidR="00425F44" w:rsidRPr="00272DCE">
        <w:t>57</w:t>
      </w:r>
      <w:r w:rsidRPr="00272DCE">
        <w:tab/>
      </w:r>
      <w:r w:rsidR="00425F44" w:rsidRPr="00272DCE">
        <w:t>12</w:t>
      </w:r>
    </w:p>
    <w:p w14:paraId="6EF72012" w14:textId="77777777" w:rsidR="0050327E" w:rsidRPr="00272DCE" w:rsidRDefault="0050327E" w:rsidP="0050327E">
      <w:pPr>
        <w:tabs>
          <w:tab w:val="right" w:leader="dot" w:pos="7654"/>
          <w:tab w:val="right" w:pos="8929"/>
          <w:tab w:val="right" w:pos="9638"/>
        </w:tabs>
        <w:spacing w:after="120"/>
        <w:ind w:left="1984" w:hanging="425"/>
      </w:pPr>
      <w:r w:rsidRPr="00272DCE">
        <w:t>13.</w:t>
      </w:r>
      <w:r w:rsidRPr="00272DCE">
        <w:tab/>
      </w:r>
      <w:r w:rsidR="00425F44" w:rsidRPr="00272DCE">
        <w:t>En-tête du tableau C</w:t>
      </w:r>
      <w:r w:rsidRPr="00272DCE">
        <w:tab/>
      </w:r>
      <w:r w:rsidRPr="00272DCE">
        <w:tab/>
      </w:r>
      <w:r w:rsidR="00425F44" w:rsidRPr="00272DCE">
        <w:t>58</w:t>
      </w:r>
      <w:r w:rsidRPr="00272DCE">
        <w:tab/>
      </w:r>
      <w:r w:rsidR="00425F44" w:rsidRPr="00272DCE">
        <w:t>13</w:t>
      </w:r>
    </w:p>
    <w:p w14:paraId="19963393" w14:textId="77777777" w:rsidR="0050327E" w:rsidRPr="00272DCE" w:rsidRDefault="0050327E" w:rsidP="0050327E">
      <w:pPr>
        <w:tabs>
          <w:tab w:val="right" w:leader="dot" w:pos="7654"/>
          <w:tab w:val="right" w:pos="8929"/>
          <w:tab w:val="right" w:pos="9638"/>
        </w:tabs>
        <w:spacing w:after="120"/>
        <w:ind w:left="1984" w:hanging="425"/>
      </w:pPr>
      <w:r w:rsidRPr="00272DCE">
        <w:t>14.</w:t>
      </w:r>
      <w:r w:rsidRPr="00272DCE">
        <w:tab/>
      </w:r>
      <w:r w:rsidR="00425F44" w:rsidRPr="00272DCE">
        <w:t xml:space="preserve">Mise en œuvre du concept modifié pour la protection contre </w:t>
      </w:r>
      <w:r w:rsidR="00425F44" w:rsidRPr="00272DCE">
        <w:br/>
        <w:t>les explosions à bord des bateaux de navigation intérieure −</w:t>
      </w:r>
      <w:r w:rsidR="00425F44" w:rsidRPr="00272DCE">
        <w:br/>
        <w:t>Questions d’interprétation</w:t>
      </w:r>
      <w:r w:rsidRPr="00272DCE">
        <w:tab/>
      </w:r>
      <w:r w:rsidRPr="00272DCE">
        <w:tab/>
      </w:r>
      <w:r w:rsidR="00425F44" w:rsidRPr="00272DCE">
        <w:t>59−66</w:t>
      </w:r>
      <w:r w:rsidRPr="00272DCE">
        <w:tab/>
      </w:r>
      <w:r w:rsidR="00425F44" w:rsidRPr="00272DCE">
        <w:t>13</w:t>
      </w:r>
    </w:p>
    <w:p w14:paraId="32454A92" w14:textId="77777777" w:rsidR="0050327E" w:rsidRPr="00272DCE" w:rsidRDefault="0050327E" w:rsidP="0050327E">
      <w:pPr>
        <w:tabs>
          <w:tab w:val="right" w:leader="dot" w:pos="7654"/>
          <w:tab w:val="right" w:pos="8929"/>
          <w:tab w:val="right" w:pos="9638"/>
        </w:tabs>
        <w:spacing w:after="120"/>
        <w:ind w:left="1984" w:hanging="425"/>
      </w:pPr>
      <w:r w:rsidRPr="00272DCE">
        <w:t>15.</w:t>
      </w:r>
      <w:r w:rsidRPr="00272DCE">
        <w:tab/>
      </w:r>
      <w:r w:rsidR="00425F44" w:rsidRPr="00272DCE">
        <w:t>Paragraphe 9.</w:t>
      </w:r>
      <w:proofErr w:type="gramStart"/>
      <w:r w:rsidR="00425F44" w:rsidRPr="00272DCE">
        <w:t>3.x.</w:t>
      </w:r>
      <w:proofErr w:type="gramEnd"/>
      <w:r w:rsidR="00425F44" w:rsidRPr="00272DCE">
        <w:t>8.4</w:t>
      </w:r>
      <w:r w:rsidRPr="00272DCE">
        <w:tab/>
      </w:r>
      <w:r w:rsidRPr="00272DCE">
        <w:tab/>
      </w:r>
      <w:r w:rsidR="00F36A9F" w:rsidRPr="00272DCE">
        <w:t>67−68</w:t>
      </w:r>
      <w:r w:rsidRPr="00272DCE">
        <w:tab/>
      </w:r>
      <w:r w:rsidR="00425F44" w:rsidRPr="00272DCE">
        <w:t>14</w:t>
      </w:r>
    </w:p>
    <w:p w14:paraId="274A9769" w14:textId="77777777" w:rsidR="0050327E" w:rsidRPr="00272DCE" w:rsidRDefault="0050327E" w:rsidP="0050327E">
      <w:pPr>
        <w:tabs>
          <w:tab w:val="right" w:leader="dot" w:pos="7654"/>
          <w:tab w:val="right" w:pos="8929"/>
          <w:tab w:val="right" w:pos="9638"/>
        </w:tabs>
        <w:spacing w:after="120"/>
        <w:ind w:left="1984" w:hanging="425"/>
      </w:pPr>
      <w:r w:rsidRPr="00272DCE">
        <w:lastRenderedPageBreak/>
        <w:t>16.</w:t>
      </w:r>
      <w:r w:rsidRPr="00272DCE">
        <w:tab/>
      </w:r>
      <w:r w:rsidR="00F36A9F" w:rsidRPr="00272DCE">
        <w:t>Exemples d’entreposage et de séparation des conteneurs</w:t>
      </w:r>
      <w:r w:rsidRPr="00272DCE">
        <w:tab/>
      </w:r>
      <w:r w:rsidRPr="00272DCE">
        <w:tab/>
      </w:r>
      <w:r w:rsidR="00F36A9F" w:rsidRPr="00272DCE">
        <w:t>6</w:t>
      </w:r>
      <w:r w:rsidR="00DF0E3D" w:rsidRPr="00272DCE">
        <w:t>9−70</w:t>
      </w:r>
      <w:r w:rsidR="00DF0E3D" w:rsidRPr="00272DCE">
        <w:tab/>
        <w:t>14</w:t>
      </w:r>
    </w:p>
    <w:p w14:paraId="739F5ED9" w14:textId="77777777" w:rsidR="0050327E" w:rsidRPr="00272DCE" w:rsidRDefault="0050327E" w:rsidP="0050327E">
      <w:pPr>
        <w:tabs>
          <w:tab w:val="right" w:leader="dot" w:pos="7654"/>
          <w:tab w:val="right" w:pos="8929"/>
          <w:tab w:val="right" w:pos="9638"/>
        </w:tabs>
        <w:spacing w:after="120"/>
        <w:ind w:left="1984" w:hanging="425"/>
      </w:pPr>
      <w:r w:rsidRPr="00272DCE">
        <w:t>17.</w:t>
      </w:r>
      <w:r w:rsidRPr="00272DCE">
        <w:tab/>
      </w:r>
      <w:r w:rsidR="00DF0E3D" w:rsidRPr="00272DCE">
        <w:t xml:space="preserve">No ONU 2057 − </w:t>
      </w:r>
      <w:proofErr w:type="spellStart"/>
      <w:r w:rsidR="00DF0E3D" w:rsidRPr="00272DCE">
        <w:t>Tripropylène</w:t>
      </w:r>
      <w:proofErr w:type="spellEnd"/>
      <w:r w:rsidRPr="00272DCE">
        <w:tab/>
      </w:r>
      <w:r w:rsidRPr="00272DCE">
        <w:tab/>
      </w:r>
      <w:r w:rsidR="00DF0E3D" w:rsidRPr="00272DCE">
        <w:t>71</w:t>
      </w:r>
      <w:r w:rsidRPr="00272DCE">
        <w:tab/>
      </w:r>
      <w:r w:rsidR="00DF0E3D" w:rsidRPr="00272DCE">
        <w:t>14</w:t>
      </w:r>
    </w:p>
    <w:p w14:paraId="4406A484" w14:textId="77777777" w:rsidR="0050327E" w:rsidRPr="00272DCE" w:rsidRDefault="0050327E" w:rsidP="0050327E">
      <w:pPr>
        <w:tabs>
          <w:tab w:val="right" w:pos="850"/>
          <w:tab w:val="right" w:leader="dot" w:pos="7654"/>
          <w:tab w:val="right" w:pos="8929"/>
          <w:tab w:val="right" w:pos="9638"/>
        </w:tabs>
        <w:spacing w:after="120"/>
        <w:ind w:left="1134" w:hanging="1134"/>
      </w:pPr>
      <w:r w:rsidRPr="00272DCE">
        <w:tab/>
        <w:t>VII.</w:t>
      </w:r>
      <w:r w:rsidRPr="00272DCE">
        <w:tab/>
      </w:r>
      <w:r w:rsidR="00605E94" w:rsidRPr="00272DCE">
        <w:t>Rapports des groupes de travail informels (point 6 de l’ordre du jour)</w:t>
      </w:r>
      <w:r w:rsidRPr="00272DCE">
        <w:tab/>
      </w:r>
      <w:r w:rsidRPr="00272DCE">
        <w:tab/>
      </w:r>
      <w:r w:rsidR="00DF0E3D" w:rsidRPr="00272DCE">
        <w:t>72−79</w:t>
      </w:r>
      <w:r w:rsidRPr="00272DCE">
        <w:tab/>
      </w:r>
      <w:r w:rsidR="00605E94" w:rsidRPr="00272DCE">
        <w:t>15</w:t>
      </w:r>
    </w:p>
    <w:p w14:paraId="4DE23531" w14:textId="77777777" w:rsidR="0050327E" w:rsidRPr="00272DCE" w:rsidRDefault="0050327E" w:rsidP="0050327E">
      <w:pPr>
        <w:tabs>
          <w:tab w:val="right" w:leader="dot" w:pos="7654"/>
          <w:tab w:val="right" w:pos="8929"/>
          <w:tab w:val="right" w:pos="9638"/>
        </w:tabs>
        <w:spacing w:after="120"/>
        <w:ind w:left="1559" w:hanging="425"/>
      </w:pPr>
      <w:r w:rsidRPr="00272DCE">
        <w:t>A.</w:t>
      </w:r>
      <w:r w:rsidRPr="00272DCE">
        <w:tab/>
      </w:r>
      <w:r w:rsidR="00605E94" w:rsidRPr="00272DCE">
        <w:t>Rapport du groupe de travail informel des cuves à membrane</w:t>
      </w:r>
      <w:r w:rsidRPr="00272DCE">
        <w:tab/>
      </w:r>
      <w:r w:rsidRPr="00272DCE">
        <w:tab/>
      </w:r>
      <w:r w:rsidR="00DF0E3D" w:rsidRPr="00272DCE">
        <w:t>72−74</w:t>
      </w:r>
      <w:r w:rsidRPr="00272DCE">
        <w:tab/>
      </w:r>
      <w:r w:rsidR="00605E94" w:rsidRPr="00272DCE">
        <w:t>15</w:t>
      </w:r>
    </w:p>
    <w:p w14:paraId="7A1F7F73" w14:textId="77777777" w:rsidR="0050327E" w:rsidRPr="00272DCE" w:rsidRDefault="0050327E" w:rsidP="0050327E">
      <w:pPr>
        <w:tabs>
          <w:tab w:val="right" w:leader="dot" w:pos="7654"/>
          <w:tab w:val="right" w:pos="8929"/>
          <w:tab w:val="right" w:pos="9638"/>
        </w:tabs>
        <w:spacing w:after="120"/>
        <w:ind w:left="1559" w:hanging="425"/>
      </w:pPr>
      <w:r w:rsidRPr="00272DCE">
        <w:t>B.</w:t>
      </w:r>
      <w:r w:rsidRPr="00272DCE">
        <w:tab/>
      </w:r>
      <w:r w:rsidR="00605E94" w:rsidRPr="00272DCE">
        <w:t xml:space="preserve">Plan d’action relatif aux mélanges de cargaisons effectués à bord </w:t>
      </w:r>
      <w:r w:rsidR="00605E94" w:rsidRPr="00272DCE">
        <w:br/>
        <w:t>des bateaux-citernes</w:t>
      </w:r>
      <w:r w:rsidRPr="00272DCE">
        <w:tab/>
      </w:r>
      <w:r w:rsidRPr="00272DCE">
        <w:tab/>
      </w:r>
      <w:r w:rsidR="00605E94" w:rsidRPr="00272DCE">
        <w:t>75−79</w:t>
      </w:r>
      <w:r w:rsidRPr="00272DCE">
        <w:tab/>
      </w:r>
      <w:r w:rsidR="00605E94" w:rsidRPr="00272DCE">
        <w:t>15</w:t>
      </w:r>
    </w:p>
    <w:p w14:paraId="25695923" w14:textId="77777777" w:rsidR="005B7F1A" w:rsidRPr="00272DCE" w:rsidRDefault="005B7F1A" w:rsidP="005B7F1A">
      <w:pPr>
        <w:tabs>
          <w:tab w:val="right" w:pos="850"/>
          <w:tab w:val="right" w:leader="dot" w:pos="7654"/>
          <w:tab w:val="right" w:pos="8929"/>
          <w:tab w:val="right" w:pos="9638"/>
        </w:tabs>
        <w:spacing w:after="120"/>
        <w:ind w:left="1134" w:hanging="1134"/>
      </w:pPr>
      <w:r w:rsidRPr="00272DCE">
        <w:tab/>
        <w:t>VIII.</w:t>
      </w:r>
      <w:r w:rsidRPr="00272DCE">
        <w:tab/>
      </w:r>
      <w:r w:rsidR="00605E94" w:rsidRPr="00272DCE">
        <w:t>Programme de travail et calendrier des réunions (point 7 de l’ordre de jour)</w:t>
      </w:r>
      <w:r w:rsidRPr="00272DCE">
        <w:tab/>
      </w:r>
      <w:r w:rsidRPr="00272DCE">
        <w:tab/>
      </w:r>
      <w:r w:rsidR="00637635" w:rsidRPr="00272DCE">
        <w:t>80−82</w:t>
      </w:r>
      <w:r w:rsidRPr="00272DCE">
        <w:tab/>
      </w:r>
      <w:r w:rsidR="00605E94" w:rsidRPr="00272DCE">
        <w:t>16</w:t>
      </w:r>
    </w:p>
    <w:p w14:paraId="558D5F04" w14:textId="77777777" w:rsidR="005B7F1A" w:rsidRPr="00272DCE" w:rsidRDefault="005B7F1A" w:rsidP="005B7F1A">
      <w:pPr>
        <w:tabs>
          <w:tab w:val="right" w:leader="dot" w:pos="7654"/>
          <w:tab w:val="right" w:pos="8929"/>
          <w:tab w:val="right" w:pos="9638"/>
        </w:tabs>
        <w:spacing w:after="120"/>
        <w:ind w:left="1559" w:hanging="425"/>
      </w:pPr>
      <w:r w:rsidRPr="00272DCE">
        <w:t>A.</w:t>
      </w:r>
      <w:r w:rsidRPr="00272DCE">
        <w:tab/>
      </w:r>
      <w:r w:rsidR="00605E94" w:rsidRPr="00272DCE">
        <w:t>Calendrier des réunions</w:t>
      </w:r>
      <w:r w:rsidRPr="00272DCE">
        <w:tab/>
      </w:r>
      <w:r w:rsidRPr="00272DCE">
        <w:tab/>
      </w:r>
      <w:r w:rsidR="00637635" w:rsidRPr="00272DCE">
        <w:t>80</w:t>
      </w:r>
      <w:r w:rsidRPr="00272DCE">
        <w:tab/>
      </w:r>
      <w:r w:rsidR="00637635" w:rsidRPr="00272DCE">
        <w:t>16</w:t>
      </w:r>
    </w:p>
    <w:p w14:paraId="2B830B59" w14:textId="77777777" w:rsidR="005B7F1A" w:rsidRPr="00272DCE" w:rsidRDefault="005B7F1A" w:rsidP="005B7F1A">
      <w:pPr>
        <w:tabs>
          <w:tab w:val="right" w:leader="dot" w:pos="7654"/>
          <w:tab w:val="right" w:pos="8929"/>
          <w:tab w:val="right" w:pos="9638"/>
        </w:tabs>
        <w:spacing w:after="120"/>
        <w:ind w:left="1559" w:hanging="425"/>
      </w:pPr>
      <w:r w:rsidRPr="00272DCE">
        <w:t>B.</w:t>
      </w:r>
      <w:r w:rsidRPr="00272DCE">
        <w:tab/>
      </w:r>
      <w:r w:rsidR="00605E94" w:rsidRPr="00272DCE">
        <w:rPr>
          <w:szCs w:val="24"/>
        </w:rPr>
        <w:t>Groupe de travail informel des normes</w:t>
      </w:r>
      <w:r w:rsidRPr="00272DCE">
        <w:tab/>
      </w:r>
      <w:r w:rsidRPr="00272DCE">
        <w:tab/>
      </w:r>
      <w:r w:rsidR="00637635" w:rsidRPr="00272DCE">
        <w:t>81−82</w:t>
      </w:r>
      <w:r w:rsidRPr="00272DCE">
        <w:tab/>
      </w:r>
      <w:r w:rsidR="00637635" w:rsidRPr="00272DCE">
        <w:t>16</w:t>
      </w:r>
    </w:p>
    <w:p w14:paraId="5D572893" w14:textId="77777777" w:rsidR="005B7F1A" w:rsidRPr="00272DCE" w:rsidRDefault="005B7F1A" w:rsidP="005B7F1A">
      <w:pPr>
        <w:tabs>
          <w:tab w:val="right" w:pos="850"/>
          <w:tab w:val="right" w:leader="dot" w:pos="7654"/>
          <w:tab w:val="right" w:pos="8929"/>
          <w:tab w:val="right" w:pos="9638"/>
        </w:tabs>
        <w:spacing w:after="120"/>
        <w:ind w:left="1134" w:hanging="1134"/>
      </w:pPr>
      <w:r w:rsidRPr="00272DCE">
        <w:tab/>
        <w:t>IX.</w:t>
      </w:r>
      <w:r w:rsidRPr="00272DCE">
        <w:tab/>
      </w:r>
      <w:r w:rsidR="00605E94" w:rsidRPr="00272DCE">
        <w:t>Questions diverses (point 8 de l’ordre du jour)</w:t>
      </w:r>
      <w:r w:rsidRPr="00272DCE">
        <w:tab/>
      </w:r>
      <w:r w:rsidRPr="00272DCE">
        <w:tab/>
      </w:r>
      <w:r w:rsidR="00637635" w:rsidRPr="00272DCE">
        <w:t>83−85</w:t>
      </w:r>
      <w:r w:rsidRPr="00272DCE">
        <w:tab/>
      </w:r>
      <w:r w:rsidR="00637635" w:rsidRPr="00272DCE">
        <w:t>16</w:t>
      </w:r>
    </w:p>
    <w:p w14:paraId="73BC8809" w14:textId="77777777" w:rsidR="005B7F1A" w:rsidRPr="00272DCE" w:rsidRDefault="005B7F1A" w:rsidP="005B7F1A">
      <w:pPr>
        <w:tabs>
          <w:tab w:val="right" w:leader="dot" w:pos="7654"/>
          <w:tab w:val="right" w:pos="8929"/>
          <w:tab w:val="right" w:pos="9638"/>
        </w:tabs>
        <w:spacing w:after="120"/>
        <w:ind w:left="1984" w:hanging="425"/>
      </w:pPr>
      <w:r w:rsidRPr="00272DCE">
        <w:t>1.</w:t>
      </w:r>
      <w:r w:rsidRPr="00272DCE">
        <w:tab/>
      </w:r>
      <w:r w:rsidR="00605E94" w:rsidRPr="00272DCE">
        <w:t>Plateforme européenne du transport par voies navigables intérieures</w:t>
      </w:r>
      <w:r w:rsidRPr="00272DCE">
        <w:tab/>
      </w:r>
      <w:r w:rsidRPr="00272DCE">
        <w:tab/>
      </w:r>
      <w:r w:rsidR="00637635" w:rsidRPr="00272DCE">
        <w:t>83</w:t>
      </w:r>
      <w:r w:rsidRPr="00272DCE">
        <w:tab/>
      </w:r>
      <w:r w:rsidR="00637635" w:rsidRPr="00272DCE">
        <w:t>16</w:t>
      </w:r>
    </w:p>
    <w:p w14:paraId="22BBAC0B" w14:textId="77777777" w:rsidR="005B7F1A" w:rsidRPr="00272DCE" w:rsidRDefault="005B7F1A" w:rsidP="005B7F1A">
      <w:pPr>
        <w:tabs>
          <w:tab w:val="right" w:leader="dot" w:pos="7654"/>
          <w:tab w:val="right" w:pos="8929"/>
          <w:tab w:val="right" w:pos="9638"/>
        </w:tabs>
        <w:spacing w:after="120"/>
        <w:ind w:left="1984" w:hanging="425"/>
      </w:pPr>
      <w:r w:rsidRPr="00272DCE">
        <w:t>2.</w:t>
      </w:r>
      <w:r w:rsidRPr="00272DCE">
        <w:tab/>
      </w:r>
      <w:r w:rsidR="00605E94" w:rsidRPr="00272DCE">
        <w:t>Hommage à M. </w:t>
      </w:r>
      <w:proofErr w:type="spellStart"/>
      <w:r w:rsidR="00605E94" w:rsidRPr="00272DCE">
        <w:t>Roggeman</w:t>
      </w:r>
      <w:proofErr w:type="spellEnd"/>
      <w:r w:rsidR="00605E94" w:rsidRPr="00272DCE">
        <w:t xml:space="preserve"> (Belgique)</w:t>
      </w:r>
      <w:r w:rsidRPr="00272DCE">
        <w:tab/>
      </w:r>
      <w:r w:rsidRPr="00272DCE">
        <w:tab/>
      </w:r>
      <w:r w:rsidR="00637635" w:rsidRPr="00272DCE">
        <w:t>84</w:t>
      </w:r>
      <w:r w:rsidRPr="00272DCE">
        <w:tab/>
      </w:r>
      <w:r w:rsidR="00637635" w:rsidRPr="00272DCE">
        <w:t>16</w:t>
      </w:r>
    </w:p>
    <w:p w14:paraId="14C3F5B2" w14:textId="77777777" w:rsidR="005B7F1A" w:rsidRPr="00272DCE" w:rsidRDefault="005B7F1A" w:rsidP="005B7F1A">
      <w:pPr>
        <w:tabs>
          <w:tab w:val="right" w:leader="dot" w:pos="7654"/>
          <w:tab w:val="right" w:pos="8929"/>
          <w:tab w:val="right" w:pos="9638"/>
        </w:tabs>
        <w:spacing w:after="120"/>
        <w:ind w:left="1984" w:hanging="425"/>
      </w:pPr>
      <w:r w:rsidRPr="00272DCE">
        <w:t>3.</w:t>
      </w:r>
      <w:r w:rsidRPr="00272DCE">
        <w:tab/>
      </w:r>
      <w:r w:rsidR="00605E94" w:rsidRPr="00272DCE">
        <w:t>Accord multilatéral M024</w:t>
      </w:r>
      <w:r w:rsidRPr="00272DCE">
        <w:tab/>
      </w:r>
      <w:r w:rsidRPr="00272DCE">
        <w:tab/>
      </w:r>
      <w:r w:rsidR="00637635" w:rsidRPr="00272DCE">
        <w:t>85</w:t>
      </w:r>
      <w:r w:rsidRPr="00272DCE">
        <w:tab/>
      </w:r>
      <w:r w:rsidR="00637635" w:rsidRPr="00272DCE">
        <w:t>16</w:t>
      </w:r>
    </w:p>
    <w:p w14:paraId="3CB55D05" w14:textId="77777777" w:rsidR="005B7F1A" w:rsidRPr="00272DCE" w:rsidRDefault="005B7F1A" w:rsidP="005B7F1A">
      <w:pPr>
        <w:tabs>
          <w:tab w:val="right" w:pos="850"/>
          <w:tab w:val="right" w:leader="dot" w:pos="7654"/>
          <w:tab w:val="right" w:pos="8929"/>
          <w:tab w:val="right" w:pos="9638"/>
        </w:tabs>
        <w:spacing w:after="120"/>
        <w:ind w:left="1134" w:hanging="1134"/>
      </w:pPr>
      <w:r w:rsidRPr="00272DCE">
        <w:tab/>
        <w:t>X.</w:t>
      </w:r>
      <w:r w:rsidRPr="00272DCE">
        <w:tab/>
      </w:r>
      <w:r w:rsidR="00605E94" w:rsidRPr="00272DCE">
        <w:t>Adoption du rapport (point 9 de l’ordre du jour)</w:t>
      </w:r>
      <w:r w:rsidRPr="00272DCE">
        <w:tab/>
      </w:r>
      <w:r w:rsidRPr="00272DCE">
        <w:tab/>
      </w:r>
      <w:r w:rsidR="00637635" w:rsidRPr="00272DCE">
        <w:t>86</w:t>
      </w:r>
      <w:r w:rsidRPr="00272DCE">
        <w:tab/>
      </w:r>
      <w:r w:rsidR="00637635" w:rsidRPr="00272DCE">
        <w:t>17</w:t>
      </w:r>
    </w:p>
    <w:p w14:paraId="14BE5ADE" w14:textId="77777777" w:rsidR="00EF26E6" w:rsidRPr="00272DCE" w:rsidRDefault="00EF26E6" w:rsidP="00EF26E6">
      <w:pPr>
        <w:tabs>
          <w:tab w:val="right" w:pos="850"/>
        </w:tabs>
        <w:spacing w:after="120"/>
      </w:pPr>
      <w:r w:rsidRPr="00272DCE">
        <w:tab/>
        <w:t>Annexes</w:t>
      </w:r>
    </w:p>
    <w:p w14:paraId="65B0A627" w14:textId="77777777" w:rsidR="00EF26E6" w:rsidRPr="00272DCE" w:rsidRDefault="00EF26E6" w:rsidP="00EF26E6">
      <w:pPr>
        <w:tabs>
          <w:tab w:val="right" w:pos="850"/>
          <w:tab w:val="right" w:leader="dot" w:pos="8929"/>
          <w:tab w:val="right" w:pos="9638"/>
        </w:tabs>
        <w:spacing w:after="120"/>
        <w:ind w:left="1134" w:hanging="1134"/>
      </w:pPr>
      <w:r w:rsidRPr="00272DCE">
        <w:tab/>
        <w:t>I.</w:t>
      </w:r>
      <w:r w:rsidRPr="00272DCE">
        <w:tab/>
      </w:r>
      <w:r w:rsidR="00605E94" w:rsidRPr="00272DCE">
        <w:t xml:space="preserve">Propositions d’amendements au Règlement annexé à l’ADN pour </w:t>
      </w:r>
      <w:proofErr w:type="spellStart"/>
      <w:r w:rsidR="00605E94" w:rsidRPr="00272DCE">
        <w:t>entrée</w:t>
      </w:r>
      <w:proofErr w:type="spellEnd"/>
      <w:r w:rsidR="00605E94" w:rsidRPr="00272DCE">
        <w:t xml:space="preserve"> en vigueur </w:t>
      </w:r>
      <w:r w:rsidR="008D1787" w:rsidRPr="00272DCE">
        <w:br/>
      </w:r>
      <w:r w:rsidR="00605E94" w:rsidRPr="00272DCE">
        <w:t>le 1</w:t>
      </w:r>
      <w:r w:rsidR="00605E94" w:rsidRPr="00272DCE">
        <w:rPr>
          <w:vertAlign w:val="superscript"/>
        </w:rPr>
        <w:t>er</w:t>
      </w:r>
      <w:r w:rsidR="00605E94" w:rsidRPr="00272DCE">
        <w:t xml:space="preserve"> janvier 2021</w:t>
      </w:r>
      <w:r w:rsidRPr="00272DCE">
        <w:tab/>
      </w:r>
      <w:r w:rsidRPr="00272DCE">
        <w:tab/>
      </w:r>
      <w:r w:rsidR="00637635" w:rsidRPr="00272DCE">
        <w:t>1</w:t>
      </w:r>
      <w:r w:rsidR="005D3C7F" w:rsidRPr="00272DCE">
        <w:t>8</w:t>
      </w:r>
    </w:p>
    <w:p w14:paraId="44E30627" w14:textId="77777777" w:rsidR="00EF26E6" w:rsidRPr="00272DCE" w:rsidRDefault="00EF26E6" w:rsidP="00EF26E6">
      <w:pPr>
        <w:tabs>
          <w:tab w:val="right" w:pos="850"/>
          <w:tab w:val="right" w:leader="dot" w:pos="8929"/>
          <w:tab w:val="right" w:pos="9638"/>
        </w:tabs>
        <w:spacing w:after="120"/>
        <w:ind w:left="1134" w:hanging="1134"/>
      </w:pPr>
      <w:r w:rsidRPr="00272DCE">
        <w:tab/>
        <w:t>II.</w:t>
      </w:r>
      <w:r w:rsidRPr="00272DCE">
        <w:tab/>
      </w:r>
      <w:r w:rsidR="008D1787" w:rsidRPr="00272DCE">
        <w:t>Corrections au document ECE/TRANS/276 (publication ADN 2019)</w:t>
      </w:r>
      <w:r w:rsidRPr="00272DCE">
        <w:tab/>
      </w:r>
      <w:r w:rsidRPr="00272DCE">
        <w:tab/>
      </w:r>
      <w:r w:rsidR="008D1787" w:rsidRPr="00272DCE">
        <w:t>22</w:t>
      </w:r>
    </w:p>
    <w:p w14:paraId="546FD3CB" w14:textId="77777777" w:rsidR="00EF26E6" w:rsidRPr="00272DCE" w:rsidRDefault="00EF26E6" w:rsidP="00EF26E6">
      <w:pPr>
        <w:tabs>
          <w:tab w:val="right" w:pos="850"/>
          <w:tab w:val="right" w:leader="dot" w:pos="8929"/>
          <w:tab w:val="right" w:pos="9638"/>
        </w:tabs>
        <w:spacing w:after="120"/>
        <w:ind w:left="1134" w:hanging="1134"/>
      </w:pPr>
      <w:r w:rsidRPr="00272DCE">
        <w:tab/>
        <w:t>III.</w:t>
      </w:r>
      <w:r w:rsidRPr="00272DCE">
        <w:tab/>
      </w:r>
      <w:r w:rsidR="008D1787" w:rsidRPr="00272DCE">
        <w:t>Propositions de corrections au Règlement annexé à l’ADN</w:t>
      </w:r>
      <w:r w:rsidR="005B7F1A" w:rsidRPr="00272DCE">
        <w:tab/>
      </w:r>
      <w:r w:rsidR="005B7F1A" w:rsidRPr="00272DCE">
        <w:tab/>
      </w:r>
      <w:r w:rsidR="008D1787" w:rsidRPr="00272DCE">
        <w:t>24</w:t>
      </w:r>
      <w:r w:rsidR="005B7F1A" w:rsidRPr="00272DCE">
        <w:tab/>
      </w:r>
    </w:p>
    <w:p w14:paraId="611CF37A" w14:textId="77777777" w:rsidR="005B7F1A" w:rsidRPr="00272DCE" w:rsidRDefault="005B7F1A" w:rsidP="0067287D">
      <w:pPr>
        <w:pStyle w:val="HChG"/>
      </w:pPr>
      <w:r w:rsidRPr="00272DCE">
        <w:br w:type="page"/>
      </w:r>
      <w:r w:rsidR="007D65E9" w:rsidRPr="00272DCE">
        <w:lastRenderedPageBreak/>
        <w:tab/>
      </w:r>
      <w:r w:rsidRPr="00272DCE">
        <w:t>I.</w:t>
      </w:r>
      <w:r w:rsidRPr="00272DCE">
        <w:tab/>
        <w:t>Participation</w:t>
      </w:r>
    </w:p>
    <w:p w14:paraId="2EB57C44" w14:textId="77777777" w:rsidR="005B7F1A" w:rsidRPr="00272DCE" w:rsidRDefault="005B7F1A" w:rsidP="0067287D">
      <w:pPr>
        <w:pStyle w:val="SingleTxtG"/>
      </w:pPr>
      <w:r w:rsidRPr="00272DCE">
        <w:t>1.</w:t>
      </w:r>
      <w:r w:rsidRPr="00272DCE">
        <w:tab/>
        <w:t>La Réunion commune d</w:t>
      </w:r>
      <w:r w:rsidR="00681934" w:rsidRPr="00272DCE">
        <w:t>’</w:t>
      </w:r>
      <w:r w:rsidRPr="00272DCE">
        <w:t>experts sur le Règlement annexé à l</w:t>
      </w:r>
      <w:r w:rsidR="00681934" w:rsidRPr="00272DCE">
        <w:t>’</w:t>
      </w:r>
      <w:r w:rsidRPr="00272DCE">
        <w:t>Accord européen relatif au transport international des marchandises dangereuses par voies de navigation intérieures (ADN) (Comité de sécurité de l</w:t>
      </w:r>
      <w:r w:rsidR="00681934" w:rsidRPr="00272DCE">
        <w:t>’</w:t>
      </w:r>
      <w:r w:rsidRPr="00272DCE">
        <w:t>ADN) a tenu sa trente-quatrième session à Genève du 21 au 25</w:t>
      </w:r>
      <w:r w:rsidR="0067287D" w:rsidRPr="00272DCE">
        <w:t> </w:t>
      </w:r>
      <w:r w:rsidRPr="00272DCE">
        <w:t>janvier 2019.</w:t>
      </w:r>
    </w:p>
    <w:p w14:paraId="036D1A98" w14:textId="77777777" w:rsidR="005B7F1A" w:rsidRPr="00272DCE" w:rsidRDefault="005B7F1A" w:rsidP="0067287D">
      <w:pPr>
        <w:pStyle w:val="SingleTxtG"/>
      </w:pPr>
      <w:r w:rsidRPr="00272DCE">
        <w:t>2.</w:t>
      </w:r>
      <w:r w:rsidRPr="00272DCE">
        <w:tab/>
        <w:t>Des représentants des pays suivants ont pris part aux travaux de cette session : Allemagne, Autriche, Belgique, Croatie, Fédération de Russie, France, Luxembourg, Pays</w:t>
      </w:r>
      <w:r w:rsidR="0067287D" w:rsidRPr="00272DCE">
        <w:noBreakHyphen/>
      </w:r>
      <w:r w:rsidRPr="00272DCE">
        <w:t>Bas, République tchèque, Roumanie, Slovaquie et Suisse.</w:t>
      </w:r>
    </w:p>
    <w:p w14:paraId="0BA1DD30" w14:textId="77777777" w:rsidR="005B7F1A" w:rsidRPr="00272DCE" w:rsidRDefault="005B7F1A" w:rsidP="0067287D">
      <w:pPr>
        <w:pStyle w:val="SingleTxtG"/>
      </w:pPr>
      <w:r w:rsidRPr="00272DCE">
        <w:t>3.</w:t>
      </w:r>
      <w:r w:rsidRPr="00272DCE">
        <w:tab/>
        <w:t>Étaient représentées les organisations intergouvernementales suivantes : la Commission centrale pour la navigation du Rhin (CCNR), la Commission du Danube (CD) et l</w:t>
      </w:r>
      <w:r w:rsidR="00681934" w:rsidRPr="00272DCE">
        <w:t>’</w:t>
      </w:r>
      <w:r w:rsidRPr="00272DCE">
        <w:t>Union européenne.</w:t>
      </w:r>
    </w:p>
    <w:p w14:paraId="5BAF351B" w14:textId="77777777" w:rsidR="005B7F1A" w:rsidRPr="00272DCE" w:rsidRDefault="005B7F1A" w:rsidP="00E8423E">
      <w:pPr>
        <w:pStyle w:val="SingleTxtG"/>
      </w:pPr>
      <w:r w:rsidRPr="00272DCE">
        <w:t>4.</w:t>
      </w:r>
      <w:r w:rsidRPr="00272DCE">
        <w:tab/>
        <w:t>Les organisations non gouvernementales ci-après étaient également représentées : Comité international de prévention des accidents du travail de la navigation intérieure (CIPA), Conseil européen de l</w:t>
      </w:r>
      <w:r w:rsidR="00681934" w:rsidRPr="00272DCE">
        <w:t>’</w:t>
      </w:r>
      <w:r w:rsidRPr="00272DCE">
        <w:t xml:space="preserve">industrie chimique (CEFIC), </w:t>
      </w:r>
      <w:proofErr w:type="spellStart"/>
      <w:r w:rsidRPr="00272DCE">
        <w:t>European</w:t>
      </w:r>
      <w:proofErr w:type="spellEnd"/>
      <w:r w:rsidRPr="00272DCE">
        <w:t xml:space="preserve"> Bulk </w:t>
      </w:r>
      <w:proofErr w:type="spellStart"/>
      <w:r w:rsidRPr="00272DCE">
        <w:t>Oil</w:t>
      </w:r>
      <w:proofErr w:type="spellEnd"/>
      <w:r w:rsidRPr="00272DCE">
        <w:t xml:space="preserve"> Traders</w:t>
      </w:r>
      <w:r w:rsidR="00681934" w:rsidRPr="00272DCE">
        <w:t>’</w:t>
      </w:r>
      <w:r w:rsidRPr="00272DCE">
        <w:t xml:space="preserve"> Association (EBOTA), </w:t>
      </w:r>
      <w:proofErr w:type="spellStart"/>
      <w:r w:rsidRPr="00272DCE">
        <w:t>Federation</w:t>
      </w:r>
      <w:proofErr w:type="spellEnd"/>
      <w:r w:rsidRPr="00272DCE">
        <w:t xml:space="preserve"> of </w:t>
      </w:r>
      <w:proofErr w:type="spellStart"/>
      <w:r w:rsidRPr="00272DCE">
        <w:t>European</w:t>
      </w:r>
      <w:proofErr w:type="spellEnd"/>
      <w:r w:rsidRPr="00272DCE">
        <w:t xml:space="preserve"> Tank Storage Associations (FETSA), </w:t>
      </w:r>
      <w:proofErr w:type="spellStart"/>
      <w:r w:rsidRPr="00272DCE">
        <w:t>FuelsEurope</w:t>
      </w:r>
      <w:proofErr w:type="spellEnd"/>
      <w:r w:rsidRPr="00272DCE">
        <w:t>, Organisation européenne des bateliers (OEB), sociétés de classification recommandées ADN et Union européenne de la navigation fluviale (UENF).</w:t>
      </w:r>
    </w:p>
    <w:p w14:paraId="6B952F43" w14:textId="77777777" w:rsidR="005B7F1A" w:rsidRPr="00272DCE" w:rsidRDefault="00F2579A" w:rsidP="00F2579A">
      <w:pPr>
        <w:pStyle w:val="HChG"/>
      </w:pPr>
      <w:r w:rsidRPr="00272DCE">
        <w:tab/>
      </w:r>
      <w:r w:rsidR="005B7F1A" w:rsidRPr="00272DCE">
        <w:t>II.</w:t>
      </w:r>
      <w:r w:rsidR="005B7F1A" w:rsidRPr="00272DCE">
        <w:tab/>
        <w:t>Adoption de l</w:t>
      </w:r>
      <w:r w:rsidR="00681934" w:rsidRPr="00272DCE">
        <w:t>’</w:t>
      </w:r>
      <w:r w:rsidR="005B7F1A" w:rsidRPr="00272DCE">
        <w:t>ordre du jour (point 1 de l</w:t>
      </w:r>
      <w:r w:rsidR="00681934" w:rsidRPr="00272DCE">
        <w:t>’</w:t>
      </w:r>
      <w:r w:rsidR="005B7F1A" w:rsidRPr="00272DCE">
        <w:t>ordre du jour)</w:t>
      </w:r>
    </w:p>
    <w:p w14:paraId="5543111A" w14:textId="77777777" w:rsidR="005B7F1A" w:rsidRPr="00272DCE" w:rsidRDefault="005B7F1A" w:rsidP="009256EF">
      <w:pPr>
        <w:pStyle w:val="SingleTxtG"/>
        <w:tabs>
          <w:tab w:val="left" w:pos="3402"/>
        </w:tabs>
        <w:spacing w:line="240" w:lineRule="auto"/>
        <w:ind w:left="3402" w:hanging="2268"/>
        <w:jc w:val="left"/>
        <w:rPr>
          <w:i/>
        </w:rPr>
      </w:pPr>
      <w:r w:rsidRPr="00272DCE">
        <w:rPr>
          <w:i/>
        </w:rPr>
        <w:t>Documents officiels </w:t>
      </w:r>
      <w:r w:rsidRPr="00272DCE">
        <w:t>:</w:t>
      </w:r>
      <w:r w:rsidRPr="00272DCE">
        <w:tab/>
        <w:t>ECE/TRANS/WP.15/AC.2/69 (secrétariat)</w:t>
      </w:r>
      <w:r w:rsidR="00DF5147" w:rsidRPr="00272DCE">
        <w:br/>
      </w:r>
      <w:r w:rsidR="006316C9" w:rsidRPr="00272DCE">
        <w:tab/>
      </w:r>
      <w:r w:rsidRPr="00272DCE">
        <w:t>ECE/TRANS/WP.15/AC.2/69/Add.1 (secrétariat)</w:t>
      </w:r>
    </w:p>
    <w:p w14:paraId="08F404B7" w14:textId="77777777" w:rsidR="005B7F1A" w:rsidRPr="00272DCE" w:rsidRDefault="005B7F1A" w:rsidP="00E8423E">
      <w:pPr>
        <w:pStyle w:val="SingleTxtG"/>
        <w:tabs>
          <w:tab w:val="left" w:pos="3402"/>
        </w:tabs>
        <w:spacing w:line="240" w:lineRule="auto"/>
        <w:ind w:left="3402" w:hanging="2268"/>
        <w:jc w:val="left"/>
      </w:pPr>
      <w:r w:rsidRPr="00272DCE">
        <w:rPr>
          <w:i/>
        </w:rPr>
        <w:t>Documents informels </w:t>
      </w:r>
      <w:r w:rsidRPr="00272DCE">
        <w:t>:</w:t>
      </w:r>
      <w:r w:rsidRPr="00272DCE">
        <w:tab/>
        <w:t>INF.1 et INF.17 (secrétariat)</w:t>
      </w:r>
    </w:p>
    <w:p w14:paraId="14659409" w14:textId="75E62053" w:rsidR="005B7F1A" w:rsidRPr="00272DCE" w:rsidRDefault="005B7F1A" w:rsidP="00E8423E">
      <w:pPr>
        <w:pStyle w:val="SingleTxtG"/>
      </w:pPr>
      <w:r w:rsidRPr="00272DCE">
        <w:t>5.</w:t>
      </w:r>
      <w:r w:rsidRPr="00272DCE">
        <w:tab/>
        <w:t>Le Comité de sécurité a adopté l</w:t>
      </w:r>
      <w:r w:rsidR="00681934" w:rsidRPr="00272DCE">
        <w:t>’</w:t>
      </w:r>
      <w:r w:rsidRPr="00272DCE">
        <w:t>ordre du jour établi par le secrétariat, tel que modifié par le document INF.1 pour tenir compte des documents INF.1 à INF.20.</w:t>
      </w:r>
    </w:p>
    <w:p w14:paraId="17ECCF8D" w14:textId="77777777" w:rsidR="005B7F1A" w:rsidRPr="00272DCE" w:rsidRDefault="007D65E9" w:rsidP="007D65E9">
      <w:pPr>
        <w:pStyle w:val="HChG"/>
      </w:pPr>
      <w:r w:rsidRPr="00272DCE">
        <w:tab/>
      </w:r>
      <w:r w:rsidR="005B7F1A" w:rsidRPr="00272DCE">
        <w:t>III.</w:t>
      </w:r>
      <w:r w:rsidR="005B7F1A" w:rsidRPr="00272DCE">
        <w:tab/>
        <w:t>Élection du Bureau pour 2019 (point 2 de l</w:t>
      </w:r>
      <w:r w:rsidR="00681934" w:rsidRPr="00272DCE">
        <w:t>’</w:t>
      </w:r>
      <w:r w:rsidR="005B7F1A" w:rsidRPr="00272DCE">
        <w:t>ordre du jour)</w:t>
      </w:r>
    </w:p>
    <w:p w14:paraId="72E30320" w14:textId="77777777" w:rsidR="005B7F1A" w:rsidRPr="00272DCE" w:rsidRDefault="005B7F1A" w:rsidP="00E8423E">
      <w:pPr>
        <w:pStyle w:val="SingleTxtG"/>
      </w:pPr>
      <w:r w:rsidRPr="00272DCE">
        <w:t>6.</w:t>
      </w:r>
      <w:r w:rsidRPr="00272DCE">
        <w:tab/>
        <w:t>Sur proposition des représentants de la Suisse et du Luxembourg, le Comité de</w:t>
      </w:r>
      <w:r w:rsidR="00096AB5" w:rsidRPr="00272DCE">
        <w:t xml:space="preserve"> </w:t>
      </w:r>
      <w:r w:rsidRPr="00272DCE">
        <w:t>sécurité a élu M. H. </w:t>
      </w:r>
      <w:proofErr w:type="spellStart"/>
      <w:r w:rsidRPr="00272DCE">
        <w:t>Langenberg</w:t>
      </w:r>
      <w:proofErr w:type="spellEnd"/>
      <w:r w:rsidRPr="00272DCE">
        <w:t xml:space="preserve"> (Pays-Bas) Président et a réélu M. B. </w:t>
      </w:r>
      <w:proofErr w:type="spellStart"/>
      <w:r w:rsidRPr="00272DCE">
        <w:t>Birklhuber</w:t>
      </w:r>
      <w:proofErr w:type="spellEnd"/>
      <w:r w:rsidRPr="00272DCE">
        <w:t xml:space="preserve"> (Autriche) Vice-Président pour ses sessions de 2019.</w:t>
      </w:r>
    </w:p>
    <w:p w14:paraId="09FBD797" w14:textId="77777777" w:rsidR="005B7F1A" w:rsidRPr="00272DCE" w:rsidRDefault="007D65E9" w:rsidP="00E8423E">
      <w:pPr>
        <w:pStyle w:val="HChG"/>
      </w:pPr>
      <w:r w:rsidRPr="00272DCE">
        <w:tab/>
      </w:r>
      <w:r w:rsidR="005B7F1A" w:rsidRPr="00272DCE">
        <w:t>IV.</w:t>
      </w:r>
      <w:r w:rsidR="005B7F1A" w:rsidRPr="00272DCE">
        <w:tab/>
        <w:t>Questions découlant des travaux d</w:t>
      </w:r>
      <w:r w:rsidR="00681934" w:rsidRPr="00272DCE">
        <w:t>’</w:t>
      </w:r>
      <w:r w:rsidR="005B7F1A" w:rsidRPr="00272DCE">
        <w:t>organes des Nations Unies ou d</w:t>
      </w:r>
      <w:r w:rsidR="00681934" w:rsidRPr="00272DCE">
        <w:t>’</w:t>
      </w:r>
      <w:r w:rsidR="005B7F1A" w:rsidRPr="00272DCE">
        <w:t>autres organisations (point 3 de l</w:t>
      </w:r>
      <w:r w:rsidR="00681934" w:rsidRPr="00272DCE">
        <w:t>’</w:t>
      </w:r>
      <w:r w:rsidR="005B7F1A" w:rsidRPr="00272DCE">
        <w:t>ordre du jour)</w:t>
      </w:r>
    </w:p>
    <w:p w14:paraId="1D8A842A" w14:textId="77777777" w:rsidR="005B7F1A" w:rsidRPr="00272DCE" w:rsidRDefault="005B7F1A" w:rsidP="00E8423E">
      <w:pPr>
        <w:pStyle w:val="H1G"/>
      </w:pPr>
      <w:r w:rsidRPr="00272DCE">
        <w:tab/>
        <w:t>A.</w:t>
      </w:r>
      <w:r w:rsidRPr="00272DCE">
        <w:tab/>
        <w:t>Stratégie de l</w:t>
      </w:r>
      <w:r w:rsidR="00681934" w:rsidRPr="00272DCE">
        <w:t>’</w:t>
      </w:r>
      <w:r w:rsidRPr="00272DCE">
        <w:t>Union européenne pour la région du Danube (EUSDR) : travaux dans les domaines prioritaires 1A et 11</w:t>
      </w:r>
    </w:p>
    <w:p w14:paraId="65FCFD99" w14:textId="1329E035" w:rsidR="005B7F1A" w:rsidRPr="00272DCE" w:rsidRDefault="005B7F1A" w:rsidP="00E8423E">
      <w:pPr>
        <w:pStyle w:val="SingleTxtG"/>
        <w:tabs>
          <w:tab w:val="left" w:pos="3402"/>
        </w:tabs>
        <w:spacing w:line="240" w:lineRule="auto"/>
        <w:ind w:left="3402" w:hanging="2268"/>
        <w:jc w:val="left"/>
      </w:pPr>
      <w:r w:rsidRPr="00272DCE">
        <w:rPr>
          <w:i/>
        </w:rPr>
        <w:t>Document informel </w:t>
      </w:r>
      <w:r w:rsidRPr="00272DCE">
        <w:t>:</w:t>
      </w:r>
      <w:r w:rsidRPr="00272DCE">
        <w:tab/>
        <w:t>INF.8 (Commission du Danube)</w:t>
      </w:r>
    </w:p>
    <w:p w14:paraId="3599B538" w14:textId="77777777" w:rsidR="005B7F1A" w:rsidRPr="00272DCE" w:rsidRDefault="005B7F1A" w:rsidP="00E8423E">
      <w:pPr>
        <w:pStyle w:val="SingleTxtG"/>
      </w:pPr>
      <w:r w:rsidRPr="00272DCE">
        <w:t>7.</w:t>
      </w:r>
      <w:r w:rsidRPr="00272DCE">
        <w:tab/>
        <w:t>Le Comité de sécurité a pris note des informations contenues dans l</w:t>
      </w:r>
      <w:r w:rsidR="00681934" w:rsidRPr="00272DCE">
        <w:t>’</w:t>
      </w:r>
      <w:r w:rsidRPr="00272DCE">
        <w:t xml:space="preserve">appendice 1 du document INF.8 concernant un atelier transnational sur la mise en pratique de la mesure M04, qui se tiendra à </w:t>
      </w:r>
      <w:proofErr w:type="spellStart"/>
      <w:r w:rsidRPr="00272DCE">
        <w:t>Tegernsee</w:t>
      </w:r>
      <w:proofErr w:type="spellEnd"/>
      <w:r w:rsidRPr="00272DCE">
        <w:t xml:space="preserve"> (Allemagne) le 27</w:t>
      </w:r>
      <w:r w:rsidR="00E8423E" w:rsidRPr="00272DCE">
        <w:t> </w:t>
      </w:r>
      <w:r w:rsidRPr="00272DCE">
        <w:t>mars 2019. Il a été noté que cet atelier serait consacré à des questions en rapport avec les domaines prioritaires 1A (mobilité par les voies navigables) et 11 (sécurité) de la Stratégie de l</w:t>
      </w:r>
      <w:r w:rsidR="00681934" w:rsidRPr="00272DCE">
        <w:t>’</w:t>
      </w:r>
      <w:r w:rsidRPr="00272DCE">
        <w:t>Union européenne pour la région du Danube (EUSDR).</w:t>
      </w:r>
    </w:p>
    <w:p w14:paraId="64C9E8A1" w14:textId="77777777" w:rsidR="005B7F1A" w:rsidRPr="00272DCE" w:rsidRDefault="005B7F1A" w:rsidP="00E8423E">
      <w:pPr>
        <w:pStyle w:val="SingleTxtG"/>
      </w:pPr>
      <w:r w:rsidRPr="00272DCE">
        <w:t>8.</w:t>
      </w:r>
      <w:r w:rsidRPr="00272DCE">
        <w:tab/>
        <w:t>Le représentant de l</w:t>
      </w:r>
      <w:r w:rsidR="00681934" w:rsidRPr="00272DCE">
        <w:t>’</w:t>
      </w:r>
      <w:r w:rsidRPr="00272DCE">
        <w:t>Allemagne a indiqué que l</w:t>
      </w:r>
      <w:r w:rsidR="00681934" w:rsidRPr="00272DCE">
        <w:t>’</w:t>
      </w:r>
      <w:r w:rsidRPr="00272DCE">
        <w:t>atelier n</w:t>
      </w:r>
      <w:r w:rsidR="00681934" w:rsidRPr="00272DCE">
        <w:t>’</w:t>
      </w:r>
      <w:r w:rsidRPr="00272DCE">
        <w:t>avait pas pour objet d</w:t>
      </w:r>
      <w:r w:rsidR="00681934" w:rsidRPr="00272DCE">
        <w:t>’</w:t>
      </w:r>
      <w:r w:rsidRPr="00272DCE">
        <w:t>examiner les dispositions techniques régissant le transport des marchandises dangereuses par voies navigables intérieures qui figurent dans l</w:t>
      </w:r>
      <w:r w:rsidR="00681934" w:rsidRPr="00272DCE">
        <w:t>’</w:t>
      </w:r>
      <w:r w:rsidRPr="00272DCE">
        <w:t>ADN, mais d</w:t>
      </w:r>
      <w:r w:rsidR="00681934" w:rsidRPr="00272DCE">
        <w:t>’</w:t>
      </w:r>
      <w:r w:rsidRPr="00272DCE">
        <w:t>étudier les moyens d</w:t>
      </w:r>
      <w:r w:rsidR="00681934" w:rsidRPr="00272DCE">
        <w:t>’</w:t>
      </w:r>
      <w:r w:rsidRPr="00272DCE">
        <w:t>améliorer le contrôle des bateaux conformément aux 1.8.1 et 1.8.2 de l</w:t>
      </w:r>
      <w:r w:rsidR="00681934" w:rsidRPr="00272DCE">
        <w:t>’</w:t>
      </w:r>
      <w:r w:rsidRPr="00272DCE">
        <w:t>ADN.</w:t>
      </w:r>
    </w:p>
    <w:p w14:paraId="30EE46AD" w14:textId="77777777" w:rsidR="005B7F1A" w:rsidRPr="00272DCE" w:rsidRDefault="005B7F1A" w:rsidP="005739A3">
      <w:pPr>
        <w:pStyle w:val="SingleTxtG"/>
      </w:pPr>
      <w:r w:rsidRPr="00272DCE">
        <w:t>9.</w:t>
      </w:r>
      <w:r w:rsidRPr="00272DCE">
        <w:tab/>
        <w:t>Le Comité de sécurité a invité le représentant de la Commission du Danube à le tenir informé des résultats de l</w:t>
      </w:r>
      <w:r w:rsidR="00681934" w:rsidRPr="00272DCE">
        <w:t>’</w:t>
      </w:r>
      <w:r w:rsidRPr="00272DCE">
        <w:t>atelier.</w:t>
      </w:r>
    </w:p>
    <w:p w14:paraId="401A1AB0" w14:textId="77777777" w:rsidR="005B7F1A" w:rsidRPr="00272DCE" w:rsidRDefault="005B7F1A" w:rsidP="007E4A21">
      <w:pPr>
        <w:pStyle w:val="H1G"/>
      </w:pPr>
      <w:r w:rsidRPr="00272DCE">
        <w:lastRenderedPageBreak/>
        <w:tab/>
        <w:t>B.</w:t>
      </w:r>
      <w:r w:rsidRPr="00272DCE">
        <w:tab/>
        <w:t>Travaux du Comité des transports intérieurs</w:t>
      </w:r>
    </w:p>
    <w:p w14:paraId="447EA27C" w14:textId="77777777" w:rsidR="005B7F1A" w:rsidRPr="00272DCE" w:rsidRDefault="005B7F1A" w:rsidP="005739A3">
      <w:pPr>
        <w:pStyle w:val="SingleTxtG"/>
      </w:pPr>
      <w:bookmarkStart w:id="1" w:name="_Hlk535760431"/>
      <w:r w:rsidRPr="00272DCE">
        <w:t>10.</w:t>
      </w:r>
      <w:r w:rsidRPr="00272DCE">
        <w:tab/>
        <w:t>Le Comité de sécurité a été informé que la quatre-vingt-unième session du Comité des transports intérieurs se tiendrait à Genève du 19 au 22</w:t>
      </w:r>
      <w:r w:rsidR="00B15EE4" w:rsidRPr="00272DCE">
        <w:t> </w:t>
      </w:r>
      <w:r w:rsidRPr="00272DCE">
        <w:t>février 2019. Il a été noté qu</w:t>
      </w:r>
      <w:r w:rsidR="00681934" w:rsidRPr="00272DCE">
        <w:t>’</w:t>
      </w:r>
      <w:r w:rsidRPr="00272DCE">
        <w:t>en plus des questions se rapportant à ses travaux et à ceux de ses organes subsidiaires, le Comité des transports intérieurs pourrait examiner et adopter sa stratégie et son plan d</w:t>
      </w:r>
      <w:r w:rsidR="00681934" w:rsidRPr="00272DCE">
        <w:t>’</w:t>
      </w:r>
      <w:r w:rsidRPr="00272DCE">
        <w:t>action jusqu</w:t>
      </w:r>
      <w:r w:rsidR="00681934" w:rsidRPr="00272DCE">
        <w:t>’</w:t>
      </w:r>
      <w:r w:rsidRPr="00272DCE">
        <w:t>en 2030 et revoir son mandat. L</w:t>
      </w:r>
      <w:r w:rsidR="00681934" w:rsidRPr="00272DCE">
        <w:t>’</w:t>
      </w:r>
      <w:r w:rsidRPr="00272DCE">
        <w:t>ordre du jour annoté de la session ci-dessus (ECE/TRANS/287/Add.1) et les documents de la session peuvent être consultés sur le site Web du secrétariat de la CEE</w:t>
      </w:r>
      <w:r w:rsidRPr="00272DCE">
        <w:rPr>
          <w:rStyle w:val="FootnoteReference"/>
        </w:rPr>
        <w:footnoteReference w:id="3"/>
      </w:r>
      <w:r w:rsidRPr="00272DCE">
        <w:t>.</w:t>
      </w:r>
      <w:bookmarkEnd w:id="1"/>
    </w:p>
    <w:p w14:paraId="492C5300" w14:textId="77777777" w:rsidR="005B7F1A" w:rsidRPr="00272DCE" w:rsidRDefault="007E4A21" w:rsidP="007E4A21">
      <w:pPr>
        <w:pStyle w:val="HChG"/>
      </w:pPr>
      <w:r w:rsidRPr="00272DCE">
        <w:tab/>
      </w:r>
      <w:r w:rsidR="005B7F1A" w:rsidRPr="00272DCE">
        <w:t>V.</w:t>
      </w:r>
      <w:r w:rsidR="005B7F1A" w:rsidRPr="00272DCE">
        <w:tab/>
        <w:t>Mise en œuvre de l</w:t>
      </w:r>
      <w:r w:rsidR="00681934" w:rsidRPr="00272DCE">
        <w:t>’</w:t>
      </w:r>
      <w:r w:rsidR="005B7F1A" w:rsidRPr="00272DCE">
        <w:t xml:space="preserve">Accord européen relatif au transport international des marchandises dangereuses par voies </w:t>
      </w:r>
      <w:r w:rsidR="005B7F1A" w:rsidRPr="00272DCE">
        <w:br/>
        <w:t>de navigation intérieures (ADN) (point 4 de l</w:t>
      </w:r>
      <w:r w:rsidR="00681934" w:rsidRPr="00272DCE">
        <w:t>’</w:t>
      </w:r>
      <w:r w:rsidR="005B7F1A" w:rsidRPr="00272DCE">
        <w:t>ordre du jour)</w:t>
      </w:r>
    </w:p>
    <w:p w14:paraId="44790CAE" w14:textId="77777777" w:rsidR="005B7F1A" w:rsidRPr="00272DCE" w:rsidRDefault="005B7F1A" w:rsidP="005B7F1A">
      <w:pPr>
        <w:pStyle w:val="H1G"/>
        <w:spacing w:line="240" w:lineRule="auto"/>
        <w:rPr>
          <w:szCs w:val="24"/>
        </w:rPr>
      </w:pPr>
      <w:r w:rsidRPr="00272DCE">
        <w:rPr>
          <w:szCs w:val="24"/>
        </w:rPr>
        <w:tab/>
        <w:t>A.</w:t>
      </w:r>
      <w:r w:rsidRPr="00272DCE">
        <w:rPr>
          <w:szCs w:val="24"/>
        </w:rPr>
        <w:tab/>
        <w:t>État de l</w:t>
      </w:r>
      <w:r w:rsidR="00681934" w:rsidRPr="00272DCE">
        <w:rPr>
          <w:szCs w:val="24"/>
        </w:rPr>
        <w:t>’</w:t>
      </w:r>
      <w:r w:rsidRPr="00272DCE">
        <w:rPr>
          <w:szCs w:val="24"/>
        </w:rPr>
        <w:t>ADN</w:t>
      </w:r>
    </w:p>
    <w:p w14:paraId="72E83557" w14:textId="77777777" w:rsidR="005B7F1A" w:rsidRPr="00272DCE" w:rsidRDefault="005B7F1A" w:rsidP="005739A3">
      <w:pPr>
        <w:pStyle w:val="SingleTxtG"/>
      </w:pPr>
      <w:r w:rsidRPr="00272DCE">
        <w:t>11.</w:t>
      </w:r>
      <w:r w:rsidRPr="00272DCE">
        <w:tab/>
        <w:t>Le Comité de sécurité a noté que les propositions d</w:t>
      </w:r>
      <w:r w:rsidR="00681934" w:rsidRPr="00272DCE">
        <w:t>’</w:t>
      </w:r>
      <w:r w:rsidRPr="00272DCE">
        <w:t>amendements et de rectificatifs adoptées par le Comité d</w:t>
      </w:r>
      <w:r w:rsidR="00681934" w:rsidRPr="00272DCE">
        <w:t>’</w:t>
      </w:r>
      <w:r w:rsidRPr="00272DCE">
        <w:t>administration à ses deux sessions précédentes avaient été tenues pour acceptées comme suit :</w:t>
      </w:r>
    </w:p>
    <w:p w14:paraId="51534B68" w14:textId="77777777" w:rsidR="005B7F1A" w:rsidRPr="00272DCE" w:rsidRDefault="005B7F1A" w:rsidP="005739A3">
      <w:pPr>
        <w:pStyle w:val="SingleTxtG"/>
        <w:ind w:firstLine="567"/>
      </w:pPr>
      <w:r w:rsidRPr="00272DCE">
        <w:t>a)</w:t>
      </w:r>
      <w:r w:rsidRPr="00272DCE">
        <w:tab/>
        <w:t>Les amendements énoncés dans le document ECE/ADN/45 qui avaient été communiqués le 1</w:t>
      </w:r>
      <w:r w:rsidRPr="00272DCE">
        <w:rPr>
          <w:vertAlign w:val="superscript"/>
        </w:rPr>
        <w:t>er</w:t>
      </w:r>
      <w:r w:rsidRPr="00272DCE">
        <w:t> juillet 2018 aux Parties contractantes pour acceptation (C.N.</w:t>
      </w:r>
      <w:proofErr w:type="gramStart"/>
      <w:r w:rsidRPr="00272DCE">
        <w:t>297.2018.TREATIES</w:t>
      </w:r>
      <w:proofErr w:type="gramEnd"/>
      <w:r w:rsidRPr="00272DCE">
        <w:t>-XI-D-6) avaient été considérés comme acceptés le 1</w:t>
      </w:r>
      <w:r w:rsidRPr="00272DCE">
        <w:rPr>
          <w:vertAlign w:val="superscript"/>
        </w:rPr>
        <w:t>er</w:t>
      </w:r>
      <w:r w:rsidRPr="00272DCE">
        <w:t xml:space="preserve"> octobre 2018 (C.N.489.2018.TREATIES-XI-D-6) pour </w:t>
      </w:r>
      <w:proofErr w:type="spellStart"/>
      <w:r w:rsidRPr="00272DCE">
        <w:t>entrée</w:t>
      </w:r>
      <w:proofErr w:type="spellEnd"/>
      <w:r w:rsidRPr="00272DCE">
        <w:t xml:space="preserve"> en vigueur le 1</w:t>
      </w:r>
      <w:r w:rsidRPr="00272DCE">
        <w:rPr>
          <w:vertAlign w:val="superscript"/>
        </w:rPr>
        <w:t>er</w:t>
      </w:r>
      <w:r w:rsidRPr="00272DCE">
        <w:t> janvier 2019 ;</w:t>
      </w:r>
    </w:p>
    <w:p w14:paraId="0380B7EA" w14:textId="77777777" w:rsidR="005B7F1A" w:rsidRPr="00272DCE" w:rsidRDefault="005B7F1A" w:rsidP="00C0024E">
      <w:pPr>
        <w:pStyle w:val="SingleTxtG"/>
        <w:ind w:firstLine="567"/>
      </w:pPr>
      <w:r w:rsidRPr="00272DCE">
        <w:t>b)</w:t>
      </w:r>
      <w:r w:rsidRPr="00272DCE">
        <w:tab/>
        <w:t>Les amendements énoncés dans le document ECE/ADN/45/Add.1 qui avaient été communiqués le 1</w:t>
      </w:r>
      <w:r w:rsidRPr="00272DCE">
        <w:rPr>
          <w:vertAlign w:val="superscript"/>
        </w:rPr>
        <w:t>er</w:t>
      </w:r>
      <w:r w:rsidRPr="00272DCE">
        <w:t> septembre 2018 aux Parties contractantes pour acceptation (C.N.</w:t>
      </w:r>
      <w:proofErr w:type="gramStart"/>
      <w:r w:rsidRPr="00272DCE">
        <w:t>396.2018.TREATIES</w:t>
      </w:r>
      <w:proofErr w:type="gramEnd"/>
      <w:r w:rsidRPr="00272DCE">
        <w:t>-XI-D-6) avaient été considérés comme acceptés le 1</w:t>
      </w:r>
      <w:r w:rsidRPr="00272DCE">
        <w:rPr>
          <w:vertAlign w:val="superscript"/>
        </w:rPr>
        <w:t>er</w:t>
      </w:r>
      <w:r w:rsidRPr="00272DCE">
        <w:t xml:space="preserve"> décembre 2018 (C.N.583.2018.TREATIES-XI-D-6) pour </w:t>
      </w:r>
      <w:proofErr w:type="spellStart"/>
      <w:r w:rsidRPr="00272DCE">
        <w:t>entrée</w:t>
      </w:r>
      <w:proofErr w:type="spellEnd"/>
      <w:r w:rsidRPr="00272DCE">
        <w:t xml:space="preserve"> en vigueur le 1</w:t>
      </w:r>
      <w:r w:rsidRPr="00272DCE">
        <w:rPr>
          <w:vertAlign w:val="superscript"/>
        </w:rPr>
        <w:t>er</w:t>
      </w:r>
      <w:r w:rsidRPr="00272DCE">
        <w:t> janvier 2019 ;</w:t>
      </w:r>
    </w:p>
    <w:p w14:paraId="7C1C4B65" w14:textId="77777777" w:rsidR="005B7F1A" w:rsidRPr="00272DCE" w:rsidRDefault="005B7F1A" w:rsidP="00C0024E">
      <w:pPr>
        <w:pStyle w:val="SingleTxtG"/>
        <w:ind w:firstLine="567"/>
      </w:pPr>
      <w:r w:rsidRPr="00272DCE">
        <w:t>c)</w:t>
      </w:r>
      <w:r w:rsidRPr="00272DCE">
        <w:tab/>
        <w:t>Les corrections énoncées dans le document ECE/ADN/45/Corr.1 qui avaient été communiquées le 1</w:t>
      </w:r>
      <w:r w:rsidRPr="00272DCE">
        <w:rPr>
          <w:vertAlign w:val="superscript"/>
        </w:rPr>
        <w:t>er</w:t>
      </w:r>
      <w:r w:rsidRPr="00272DCE">
        <w:t> octobre 2018 aux Parties contractantes pour acceptation (C.N.</w:t>
      </w:r>
      <w:proofErr w:type="gramStart"/>
      <w:r w:rsidRPr="00272DCE">
        <w:t>471.2018.TREATIES</w:t>
      </w:r>
      <w:proofErr w:type="gramEnd"/>
      <w:r w:rsidRPr="00272DCE">
        <w:t>-XI-D-6) avaient été considérées comme acceptées le 30 décembre 2018 (C.N.637.2018.TREATIES-XI-D-6) ;</w:t>
      </w:r>
    </w:p>
    <w:p w14:paraId="64855527" w14:textId="77777777" w:rsidR="005B7F1A" w:rsidRPr="00272DCE" w:rsidRDefault="005B7F1A" w:rsidP="00C0024E">
      <w:pPr>
        <w:pStyle w:val="SingleTxtG"/>
        <w:ind w:firstLine="567"/>
      </w:pPr>
      <w:r w:rsidRPr="00272DCE">
        <w:t>d)</w:t>
      </w:r>
      <w:r w:rsidRPr="00272DCE">
        <w:tab/>
        <w:t>Les corrections énoncées dans les documents ECE/TRANS/WP.15/</w:t>
      </w:r>
      <w:r w:rsidR="00C0024E" w:rsidRPr="00272DCE">
        <w:t xml:space="preserve"> </w:t>
      </w:r>
      <w:r w:rsidRPr="00272DCE">
        <w:t>AC.2/64/Add.1 (annexe II) et ECE/TRANS/WP.15/AC.2/68 (annexe IV) qui avaient été communiquées le 1</w:t>
      </w:r>
      <w:r w:rsidRPr="00272DCE">
        <w:rPr>
          <w:vertAlign w:val="superscript"/>
        </w:rPr>
        <w:t>er</w:t>
      </w:r>
      <w:r w:rsidRPr="00272DCE">
        <w:t> octobre 2018 aux Parties contractantes pour acceptation (C.N.</w:t>
      </w:r>
      <w:proofErr w:type="gramStart"/>
      <w:r w:rsidRPr="00272DCE">
        <w:t>472.2018.TREATIES</w:t>
      </w:r>
      <w:proofErr w:type="gramEnd"/>
      <w:r w:rsidRPr="00272DCE">
        <w:t>-XI-D-6) avaient été considérées comme acceptées le 30 décembre 2018 (C.N.636.2018.TREATIES-XI-D-6).</w:t>
      </w:r>
    </w:p>
    <w:p w14:paraId="6A20B5EC" w14:textId="77777777" w:rsidR="005B7F1A" w:rsidRPr="00272DCE" w:rsidRDefault="005B7F1A" w:rsidP="00C0024E">
      <w:pPr>
        <w:pStyle w:val="H1G"/>
      </w:pPr>
      <w:r w:rsidRPr="00272DCE">
        <w:tab/>
        <w:t>B.</w:t>
      </w:r>
      <w:r w:rsidRPr="00272DCE">
        <w:tab/>
        <w:t>Autorisations spéciales, dérogations et équivalences</w:t>
      </w:r>
    </w:p>
    <w:p w14:paraId="03F00923" w14:textId="77777777" w:rsidR="005B7F1A" w:rsidRPr="00272DCE" w:rsidRDefault="005B7F1A" w:rsidP="00C0024E">
      <w:pPr>
        <w:pStyle w:val="SingleTxtG"/>
      </w:pPr>
      <w:r w:rsidRPr="00272DCE">
        <w:t>12.</w:t>
      </w:r>
      <w:r w:rsidRPr="00272DCE">
        <w:tab/>
        <w:t>Aucun document n</w:t>
      </w:r>
      <w:r w:rsidR="00681934" w:rsidRPr="00272DCE">
        <w:t>’</w:t>
      </w:r>
      <w:r w:rsidRPr="00272DCE">
        <w:t>ayant été soumis au titre de ce point de l</w:t>
      </w:r>
      <w:r w:rsidR="00681934" w:rsidRPr="00272DCE">
        <w:t>’</w:t>
      </w:r>
      <w:r w:rsidRPr="00272DCE">
        <w:t>ordre du jour, cette question n</w:t>
      </w:r>
      <w:r w:rsidR="00681934" w:rsidRPr="00272DCE">
        <w:t>’</w:t>
      </w:r>
      <w:r w:rsidRPr="00272DCE">
        <w:t>a pas été abordée.</w:t>
      </w:r>
    </w:p>
    <w:p w14:paraId="2A9B347F" w14:textId="77777777" w:rsidR="005B7F1A" w:rsidRPr="00272DCE" w:rsidRDefault="005B7F1A" w:rsidP="00DE5D1C">
      <w:pPr>
        <w:pStyle w:val="H1G"/>
      </w:pPr>
      <w:r w:rsidRPr="00272DCE">
        <w:tab/>
        <w:t>C.</w:t>
      </w:r>
      <w:r w:rsidRPr="00272DCE">
        <w:tab/>
        <w:t>Interprétation du Règlement annexé à l</w:t>
      </w:r>
      <w:r w:rsidR="00681934" w:rsidRPr="00272DCE">
        <w:t>’</w:t>
      </w:r>
      <w:r w:rsidRPr="00272DCE">
        <w:t>ADN</w:t>
      </w:r>
    </w:p>
    <w:p w14:paraId="1F39A921" w14:textId="77777777" w:rsidR="005B7F1A" w:rsidRPr="00272DCE" w:rsidRDefault="005B7F1A" w:rsidP="00DE5D1C">
      <w:pPr>
        <w:pStyle w:val="H23G"/>
      </w:pPr>
      <w:r w:rsidRPr="00272DCE">
        <w:tab/>
        <w:t>1.</w:t>
      </w:r>
      <w:r w:rsidRPr="00272DCE">
        <w:tab/>
        <w:t xml:space="preserve">Huile de chauffe lourde </w:t>
      </w:r>
      <w:proofErr w:type="gramStart"/>
      <w:r w:rsidRPr="00272DCE">
        <w:t>( No</w:t>
      </w:r>
      <w:proofErr w:type="gramEnd"/>
      <w:r w:rsidRPr="00272DCE">
        <w:t xml:space="preserve"> ONU 3082 ou No ONU 1202)</w:t>
      </w:r>
    </w:p>
    <w:p w14:paraId="021A2B49" w14:textId="77777777" w:rsidR="005B7F1A" w:rsidRPr="00272DCE" w:rsidRDefault="005B7F1A" w:rsidP="00DE5D1C">
      <w:pPr>
        <w:pStyle w:val="SingleTxtG"/>
        <w:keepNext/>
        <w:tabs>
          <w:tab w:val="left" w:pos="3402"/>
        </w:tabs>
        <w:spacing w:line="240" w:lineRule="auto"/>
        <w:ind w:left="3402" w:hanging="2268"/>
        <w:jc w:val="left"/>
      </w:pPr>
      <w:r w:rsidRPr="00272DCE">
        <w:rPr>
          <w:i/>
        </w:rPr>
        <w:t>Document informel </w:t>
      </w:r>
      <w:r w:rsidRPr="00272DCE">
        <w:t>:</w:t>
      </w:r>
      <w:r w:rsidRPr="00272DCE">
        <w:tab/>
        <w:t>INF.11 (</w:t>
      </w:r>
      <w:proofErr w:type="spellStart"/>
      <w:r w:rsidRPr="00272DCE">
        <w:t>FuelsEurope</w:t>
      </w:r>
      <w:proofErr w:type="spellEnd"/>
      <w:r w:rsidRPr="00272DCE">
        <w:t>)</w:t>
      </w:r>
    </w:p>
    <w:p w14:paraId="40FB5042" w14:textId="77777777" w:rsidR="005B7F1A" w:rsidRPr="00272DCE" w:rsidRDefault="005B7F1A" w:rsidP="00DE5D1C">
      <w:pPr>
        <w:pStyle w:val="SingleTxtG"/>
      </w:pPr>
      <w:r w:rsidRPr="00272DCE">
        <w:t>13.</w:t>
      </w:r>
      <w:r w:rsidRPr="00272DCE">
        <w:tab/>
        <w:t>Le Comité de sécurité a noté qu</w:t>
      </w:r>
      <w:r w:rsidR="00681934" w:rsidRPr="00272DCE">
        <w:t>’</w:t>
      </w:r>
      <w:r w:rsidRPr="00272DCE">
        <w:t>il incombait à l</w:t>
      </w:r>
      <w:r w:rsidR="00681934" w:rsidRPr="00272DCE">
        <w:t>’</w:t>
      </w:r>
      <w:r w:rsidRPr="00272DCE">
        <w:t>expéditeur de classer correctement les marchandises dangereuses présentées au transport, en fonction de leurs propriétés et des critères définis dans le règlement applicable.</w:t>
      </w:r>
    </w:p>
    <w:p w14:paraId="0442CB6D" w14:textId="77777777" w:rsidR="005B7F1A" w:rsidRPr="00272DCE" w:rsidRDefault="005B7F1A" w:rsidP="00DE5D1C">
      <w:pPr>
        <w:pStyle w:val="SingleTxtG"/>
      </w:pPr>
      <w:r w:rsidRPr="00272DCE">
        <w:lastRenderedPageBreak/>
        <w:t>14.</w:t>
      </w:r>
      <w:r w:rsidRPr="00272DCE">
        <w:tab/>
        <w:t>Plusieurs délégations ont estimé que les critères actuels étaient clairs. De leur point de vue, le NOTA 2 se rapportant au 2.2.3.1.1 ne s</w:t>
      </w:r>
      <w:r w:rsidR="00681934" w:rsidRPr="00272DCE">
        <w:t>’</w:t>
      </w:r>
      <w:r w:rsidRPr="00272DCE">
        <w:t>appliquait qu</w:t>
      </w:r>
      <w:r w:rsidR="00681934" w:rsidRPr="00272DCE">
        <w:t>’</w:t>
      </w:r>
      <w:r w:rsidRPr="00272DCE">
        <w:t>aux matières relevant du No ONU 1202, ayant</w:t>
      </w:r>
      <w:r w:rsidR="004F6471" w:rsidRPr="00272DCE">
        <w:t xml:space="preserve"> </w:t>
      </w:r>
      <w:r w:rsidRPr="00272DCE">
        <w:t>un</w:t>
      </w:r>
      <w:r w:rsidR="004F6471" w:rsidRPr="00272DCE">
        <w:t xml:space="preserve"> </w:t>
      </w:r>
      <w:r w:rsidRPr="00272DCE">
        <w:t>point</w:t>
      </w:r>
      <w:r w:rsidR="004F6471" w:rsidRPr="00272DCE">
        <w:t xml:space="preserve"> </w:t>
      </w:r>
      <w:r w:rsidRPr="00272DCE">
        <w:t>d</w:t>
      </w:r>
      <w:r w:rsidR="00681934" w:rsidRPr="00272DCE">
        <w:t>’</w:t>
      </w:r>
      <w:r w:rsidRPr="00272DCE">
        <w:t>éclair supérieur à 60 °C mais ne dépassant pas 100 °C. Elles ont fait valoir en outre que les huiles de chauffe lourdes étaient classées en fonction des risques qu</w:t>
      </w:r>
      <w:r w:rsidR="00681934" w:rsidRPr="00272DCE">
        <w:t>’</w:t>
      </w:r>
      <w:r w:rsidRPr="00272DCE">
        <w:t>elles présentaient pour l</w:t>
      </w:r>
      <w:r w:rsidR="00681934" w:rsidRPr="00272DCE">
        <w:t>’</w:t>
      </w:r>
      <w:r w:rsidRPr="00272DCE">
        <w:t>environnement aquatique, et non de leur inflammabilité, et ont jugé par conséquent que le transport sous une rubrique de la classe 9 (No ONU 3082) se justifiait.</w:t>
      </w:r>
    </w:p>
    <w:p w14:paraId="1182B7BE" w14:textId="77777777" w:rsidR="005B7F1A" w:rsidRPr="00272DCE" w:rsidRDefault="005B7F1A" w:rsidP="00DE5D1C">
      <w:pPr>
        <w:pStyle w:val="SingleTxtG"/>
      </w:pPr>
      <w:r w:rsidRPr="00272DCE">
        <w:t>15.</w:t>
      </w:r>
      <w:r w:rsidRPr="00272DCE">
        <w:tab/>
        <w:t>Le Comité de sécurité a pris note des opinions exprimées durant l</w:t>
      </w:r>
      <w:r w:rsidR="00681934" w:rsidRPr="00272DCE">
        <w:t>’</w:t>
      </w:r>
      <w:r w:rsidRPr="00272DCE">
        <w:t>échange de vues et, constatant que les critères énoncés dans la NOTA 2 du 2.2.3.1.1 étaient applicables à tous les modes de transport intérieurs, a conclu que toute proposition de clarification du texte, le cas échéant, devait être examinée par la Réunion commune RID/ADR/ADN.</w:t>
      </w:r>
    </w:p>
    <w:p w14:paraId="5ECFAEC4" w14:textId="77777777" w:rsidR="005B7F1A" w:rsidRPr="00272DCE" w:rsidRDefault="005B7F1A" w:rsidP="00DE5D1C">
      <w:pPr>
        <w:pStyle w:val="H23G"/>
      </w:pPr>
      <w:r w:rsidRPr="00272DCE">
        <w:tab/>
        <w:t>2.</w:t>
      </w:r>
      <w:r w:rsidRPr="00272DCE">
        <w:tab/>
        <w:t>Débits de chargement et de déchargement</w:t>
      </w:r>
    </w:p>
    <w:p w14:paraId="60707EA0" w14:textId="77777777" w:rsidR="005B7F1A" w:rsidRPr="00272DCE" w:rsidRDefault="005B7F1A" w:rsidP="00DE5D1C">
      <w:pPr>
        <w:pStyle w:val="SingleTxtG"/>
        <w:keepNext/>
        <w:tabs>
          <w:tab w:val="left" w:pos="3402"/>
        </w:tabs>
        <w:spacing w:line="240" w:lineRule="auto"/>
        <w:ind w:left="3402" w:hanging="2268"/>
        <w:jc w:val="left"/>
      </w:pPr>
      <w:r w:rsidRPr="00272DCE">
        <w:rPr>
          <w:i/>
        </w:rPr>
        <w:t>Document informel </w:t>
      </w:r>
      <w:r w:rsidRPr="00272DCE">
        <w:t>:</w:t>
      </w:r>
      <w:r w:rsidRPr="00272DCE">
        <w:tab/>
        <w:t>INF.12 (Pays-Bas)</w:t>
      </w:r>
    </w:p>
    <w:p w14:paraId="56B6AFC4" w14:textId="77777777" w:rsidR="005B7F1A" w:rsidRPr="00272DCE" w:rsidRDefault="005B7F1A" w:rsidP="00DE5D1C">
      <w:pPr>
        <w:pStyle w:val="SingleTxtG"/>
      </w:pPr>
      <w:r w:rsidRPr="00272DCE">
        <w:t>16.</w:t>
      </w:r>
      <w:r w:rsidRPr="00272DCE">
        <w:tab/>
        <w:t>Certaines délégations ont exprimé des réserves quant à l</w:t>
      </w:r>
      <w:r w:rsidR="00681934" w:rsidRPr="00272DCE">
        <w:t>’</w:t>
      </w:r>
      <w:r w:rsidRPr="00272DCE">
        <w:t>introduction dans l</w:t>
      </w:r>
      <w:r w:rsidR="00681934" w:rsidRPr="00272DCE">
        <w:t>’</w:t>
      </w:r>
      <w:r w:rsidRPr="00272DCE">
        <w:t>ADN de dispositions harmonisées des débits de chargement et de déchargement et ont fait remarquer que, si l</w:t>
      </w:r>
      <w:r w:rsidR="00681934" w:rsidRPr="00272DCE">
        <w:t>’</w:t>
      </w:r>
      <w:r w:rsidRPr="00272DCE">
        <w:t>on allait dans ce sens, il</w:t>
      </w:r>
      <w:r w:rsidR="004F6471" w:rsidRPr="00272DCE">
        <w:t xml:space="preserve"> </w:t>
      </w:r>
      <w:r w:rsidRPr="00272DCE">
        <w:t>faudrait envisager des dispositions transitoires en vue de leur mise en œuvre. Le</w:t>
      </w:r>
      <w:r w:rsidR="004F6471" w:rsidRPr="00272DCE">
        <w:t xml:space="preserve"> </w:t>
      </w:r>
      <w:r w:rsidRPr="00272DCE">
        <w:t>représentant de l</w:t>
      </w:r>
      <w:r w:rsidR="00681934" w:rsidRPr="00272DCE">
        <w:t>’</w:t>
      </w:r>
      <w:r w:rsidRPr="00272DCE">
        <w:t>OEB a souligné que l</w:t>
      </w:r>
      <w:r w:rsidR="00681934" w:rsidRPr="00272DCE">
        <w:t>’</w:t>
      </w:r>
      <w:r w:rsidRPr="00272DCE">
        <w:t>harmonisation des dispositions avait de l</w:t>
      </w:r>
      <w:r w:rsidR="00681934" w:rsidRPr="00272DCE">
        <w:t>’</w:t>
      </w:r>
      <w:r w:rsidRPr="00272DCE">
        <w:t>importance pour les professionnels du transport.</w:t>
      </w:r>
    </w:p>
    <w:p w14:paraId="3981E4C5" w14:textId="77777777" w:rsidR="005B7F1A" w:rsidRPr="00272DCE" w:rsidRDefault="005B7F1A" w:rsidP="00DE5D1C">
      <w:pPr>
        <w:pStyle w:val="SingleTxtG"/>
      </w:pPr>
      <w:r w:rsidRPr="00272DCE">
        <w:t>17.</w:t>
      </w:r>
      <w:r w:rsidRPr="00272DCE">
        <w:tab/>
        <w:t>Le représentant des Pays-Bas a proposé de faire un exposé sur les pratiques de référence dans son pays, en faisant état des avantages pour la sécurité, au cours de la prochaine session du Comité de sécurité. Celui-ci a volontiers accepté son offre et a conclu que, sur la base des résultats des débats, il déciderait s</w:t>
      </w:r>
      <w:r w:rsidR="00681934" w:rsidRPr="00272DCE">
        <w:t>’</w:t>
      </w:r>
      <w:r w:rsidRPr="00272DCE">
        <w:t>il était nécessaire de considérer la question d</w:t>
      </w:r>
      <w:r w:rsidR="00681934" w:rsidRPr="00272DCE">
        <w:t>’</w:t>
      </w:r>
      <w:r w:rsidRPr="00272DCE">
        <w:t>un point de vue réglementaire dans l</w:t>
      </w:r>
      <w:r w:rsidR="00681934" w:rsidRPr="00272DCE">
        <w:t>’</w:t>
      </w:r>
      <w:r w:rsidRPr="00272DCE">
        <w:t>ADN, ou bien dans le cadre d</w:t>
      </w:r>
      <w:r w:rsidR="00681934" w:rsidRPr="00272DCE">
        <w:t>’</w:t>
      </w:r>
      <w:r w:rsidRPr="00272DCE">
        <w:t>une approche non contraignante.</w:t>
      </w:r>
    </w:p>
    <w:p w14:paraId="473228FE" w14:textId="77777777" w:rsidR="005B7F1A" w:rsidRPr="00272DCE" w:rsidRDefault="005B7F1A" w:rsidP="00DE5D1C">
      <w:pPr>
        <w:pStyle w:val="H23G"/>
      </w:pPr>
      <w:r w:rsidRPr="00272DCE">
        <w:tab/>
        <w:t>3.</w:t>
      </w:r>
      <w:r w:rsidRPr="00272DCE">
        <w:tab/>
        <w:t>Questions diverses d</w:t>
      </w:r>
      <w:r w:rsidR="00681934" w:rsidRPr="00272DCE">
        <w:t>’</w:t>
      </w:r>
      <w:r w:rsidRPr="00272DCE">
        <w:t>interprétation et précisions</w:t>
      </w:r>
    </w:p>
    <w:p w14:paraId="6A5B606D" w14:textId="77777777" w:rsidR="005B7F1A" w:rsidRPr="00272DCE" w:rsidRDefault="005B7F1A" w:rsidP="00DE5D1C">
      <w:pPr>
        <w:pStyle w:val="SingleTxtG"/>
        <w:keepNext/>
        <w:tabs>
          <w:tab w:val="left" w:pos="3402"/>
        </w:tabs>
        <w:spacing w:line="240" w:lineRule="auto"/>
        <w:ind w:left="3402" w:hanging="2268"/>
        <w:jc w:val="left"/>
      </w:pPr>
      <w:r w:rsidRPr="00272DCE">
        <w:rPr>
          <w:i/>
        </w:rPr>
        <w:t>Document informel </w:t>
      </w:r>
      <w:r w:rsidRPr="00272DCE">
        <w:t>:</w:t>
      </w:r>
      <w:r w:rsidRPr="00272DCE">
        <w:tab/>
        <w:t>INF.19 (France)</w:t>
      </w:r>
    </w:p>
    <w:p w14:paraId="4E8F32BA" w14:textId="77777777" w:rsidR="005B7F1A" w:rsidRPr="00272DCE" w:rsidRDefault="005B7F1A" w:rsidP="00DE5D1C">
      <w:pPr>
        <w:pStyle w:val="SingleTxtG"/>
      </w:pPr>
      <w:r w:rsidRPr="00272DCE">
        <w:t>18.</w:t>
      </w:r>
      <w:r w:rsidRPr="00272DCE">
        <w:tab/>
        <w:t>Le Comité de sécurité a décidé que les dispositions de l</w:t>
      </w:r>
      <w:r w:rsidR="00681934" w:rsidRPr="00272DCE">
        <w:t>’</w:t>
      </w:r>
      <w:r w:rsidRPr="00272DCE">
        <w:t xml:space="preserve">ADN sur la formation à la sécurité applicables aux colis exceptés </w:t>
      </w:r>
      <w:proofErr w:type="spellStart"/>
      <w:r w:rsidRPr="00272DCE">
        <w:t>des</w:t>
      </w:r>
      <w:proofErr w:type="spellEnd"/>
      <w:r w:rsidRPr="00272DCE">
        <w:t xml:space="preserve"> Nos ONU 2908 et 2909 ainsi qu</w:t>
      </w:r>
      <w:r w:rsidR="00681934" w:rsidRPr="00272DCE">
        <w:t>’</w:t>
      </w:r>
      <w:r w:rsidRPr="00272DCE">
        <w:t xml:space="preserve">aux colis exceptés </w:t>
      </w:r>
      <w:proofErr w:type="spellStart"/>
      <w:r w:rsidRPr="00272DCE">
        <w:t>des</w:t>
      </w:r>
      <w:proofErr w:type="spellEnd"/>
      <w:r w:rsidRPr="00272DCE">
        <w:t xml:space="preserve"> Nos ONU 2910 et 2911 ayant un niveau d</w:t>
      </w:r>
      <w:r w:rsidR="00681934" w:rsidRPr="00272DCE">
        <w:t>’</w:t>
      </w:r>
      <w:r w:rsidRPr="00272DCE">
        <w:t>activité ne dépassant pas la valeur A2 devraient être harmonisées avec les dispositions correspondantes pour les autres modes. Le représentant de l</w:t>
      </w:r>
      <w:r w:rsidR="00681934" w:rsidRPr="00272DCE">
        <w:t>’</w:t>
      </w:r>
      <w:r w:rsidRPr="00272DCE">
        <w:t>Allemagne a signalé une contradiction entre les dispositions des 1.1.3.6 et 1.10.4 de l</w:t>
      </w:r>
      <w:r w:rsidR="00681934" w:rsidRPr="00272DCE">
        <w:t>’</w:t>
      </w:r>
      <w:r w:rsidRPr="00272DCE">
        <w:t>ADN à propos des quantités exceptées transportées à bord des bateaux. Les représentants de l</w:t>
      </w:r>
      <w:r w:rsidR="00681934" w:rsidRPr="00272DCE">
        <w:t>’</w:t>
      </w:r>
      <w:r w:rsidRPr="00272DCE">
        <w:t>Allemagne et de la France ont proposé de soumettre une proposition à cette fin en vue de la prochaine session.</w:t>
      </w:r>
    </w:p>
    <w:p w14:paraId="6699F072" w14:textId="77777777" w:rsidR="005B7F1A" w:rsidRPr="00272DCE" w:rsidRDefault="005B7F1A" w:rsidP="00DE5D1C">
      <w:pPr>
        <w:pStyle w:val="SingleTxtG"/>
      </w:pPr>
      <w:r w:rsidRPr="00272DCE">
        <w:t>19.</w:t>
      </w:r>
      <w:r w:rsidRPr="00272DCE">
        <w:tab/>
        <w:t>Ayant noté que les questions soulevées par le représentant de la France aux paragraphes 4 à 6 du document INF.19 concernaient également d</w:t>
      </w:r>
      <w:r w:rsidR="00681934" w:rsidRPr="00272DCE">
        <w:t>’</w:t>
      </w:r>
      <w:r w:rsidRPr="00272DCE">
        <w:t>autres modes de transport intérieurs, le Comité de sécurité l</w:t>
      </w:r>
      <w:r w:rsidR="00681934" w:rsidRPr="00272DCE">
        <w:t>’</w:t>
      </w:r>
      <w:r w:rsidRPr="00272DCE">
        <w:t>a invité à les soumettre à la Réunion commune RID/ADR/ADN.</w:t>
      </w:r>
    </w:p>
    <w:p w14:paraId="3AAA2E50" w14:textId="77777777" w:rsidR="005B7F1A" w:rsidRPr="00272DCE" w:rsidRDefault="005B7F1A" w:rsidP="00DE5D1C">
      <w:pPr>
        <w:pStyle w:val="H23G"/>
      </w:pPr>
      <w:r w:rsidRPr="00272DCE">
        <w:tab/>
        <w:t>4.</w:t>
      </w:r>
      <w:r w:rsidRPr="00272DCE">
        <w:tab/>
        <w:t>Travaux à bord (sect. 8.3.5)</w:t>
      </w:r>
    </w:p>
    <w:p w14:paraId="2DBF984B" w14:textId="77777777" w:rsidR="005B7F1A" w:rsidRPr="00272DCE" w:rsidRDefault="005B7F1A" w:rsidP="00DE5D1C">
      <w:pPr>
        <w:pStyle w:val="SingleTxtG"/>
        <w:keepNext/>
        <w:tabs>
          <w:tab w:val="left" w:pos="3402"/>
        </w:tabs>
        <w:spacing w:line="240" w:lineRule="auto"/>
        <w:ind w:left="3402" w:hanging="2268"/>
        <w:jc w:val="left"/>
      </w:pPr>
      <w:r w:rsidRPr="00272DCE">
        <w:rPr>
          <w:i/>
        </w:rPr>
        <w:t>Document informel</w:t>
      </w:r>
      <w:r w:rsidRPr="00272DCE">
        <w:t> :</w:t>
      </w:r>
      <w:r w:rsidRPr="00272DCE">
        <w:tab/>
        <w:t>INF.15 (UENF et OEB)</w:t>
      </w:r>
    </w:p>
    <w:p w14:paraId="2A4237EF" w14:textId="77777777" w:rsidR="005B7F1A" w:rsidRPr="00272DCE" w:rsidRDefault="005B7F1A" w:rsidP="00DE5D1C">
      <w:pPr>
        <w:pStyle w:val="SingleTxtG"/>
      </w:pPr>
      <w:r w:rsidRPr="00272DCE">
        <w:t>20.</w:t>
      </w:r>
      <w:r w:rsidRPr="00272DCE">
        <w:tab/>
        <w:t>Certaines délégations ne voyaient pas l</w:t>
      </w:r>
      <w:r w:rsidR="00681934" w:rsidRPr="00272DCE">
        <w:t>’</w:t>
      </w:r>
      <w:r w:rsidRPr="00272DCE">
        <w:t>intérêt de modifier le texte actuel. D</w:t>
      </w:r>
      <w:r w:rsidR="00681934" w:rsidRPr="00272DCE">
        <w:t>’</w:t>
      </w:r>
      <w:r w:rsidRPr="00272DCE">
        <w:t>autres au contraire ont estimé qu</w:t>
      </w:r>
      <w:r w:rsidR="00681934" w:rsidRPr="00272DCE">
        <w:t>’</w:t>
      </w:r>
      <w:r w:rsidRPr="00272DCE">
        <w:t>il serait utile de réfléchir aux moyens d</w:t>
      </w:r>
      <w:r w:rsidR="00681934" w:rsidRPr="00272DCE">
        <w:t>’</w:t>
      </w:r>
      <w:r w:rsidRPr="00272DCE">
        <w:t>aligner davantage les dispositions du 8.3.5 de l</w:t>
      </w:r>
      <w:r w:rsidR="00681934" w:rsidRPr="00272DCE">
        <w:t>’</w:t>
      </w:r>
      <w:r w:rsidRPr="00272DCE">
        <w:t>ADN sur les directives concernant les appareils et les systèmes de protection destinés à être utilisés en atmosphères explosibles (directives ATEX). Le Comité de sécurité a invité les représentants de l</w:t>
      </w:r>
      <w:r w:rsidR="00681934" w:rsidRPr="00272DCE">
        <w:t>’</w:t>
      </w:r>
      <w:r w:rsidRPr="00272DCE">
        <w:t>UENF et de l</w:t>
      </w:r>
      <w:r w:rsidR="00681934" w:rsidRPr="00272DCE">
        <w:t>’</w:t>
      </w:r>
      <w:r w:rsidRPr="00272DCE">
        <w:t xml:space="preserve">OEB à soumettre, à la prochaine session, un document précisant les domaines qui méritaient un examen plus approfondi et les problèmes que posaient les dispositions actuelles. </w:t>
      </w:r>
    </w:p>
    <w:p w14:paraId="496898A0" w14:textId="77777777" w:rsidR="005B7F1A" w:rsidRPr="00272DCE" w:rsidRDefault="005B7F1A" w:rsidP="00DE5D1C">
      <w:pPr>
        <w:pStyle w:val="H1G"/>
      </w:pPr>
      <w:bookmarkStart w:id="2" w:name="_Hlk9321110"/>
      <w:r w:rsidRPr="00272DCE">
        <w:lastRenderedPageBreak/>
        <w:tab/>
        <w:t>D.</w:t>
      </w:r>
      <w:r w:rsidRPr="00272DCE">
        <w:tab/>
        <w:t>Formation des experts</w:t>
      </w:r>
      <w:bookmarkStart w:id="3" w:name="_Hlk535834334"/>
    </w:p>
    <w:p w14:paraId="4CB412EF" w14:textId="77777777" w:rsidR="005B7F1A" w:rsidRPr="00272DCE" w:rsidRDefault="005B7F1A" w:rsidP="00DE5D1C">
      <w:pPr>
        <w:pStyle w:val="H23G"/>
      </w:pPr>
      <w:r w:rsidRPr="00272DCE">
        <w:tab/>
        <w:t>1.</w:t>
      </w:r>
      <w:r w:rsidRPr="00272DCE">
        <w:tab/>
        <w:t xml:space="preserve">Compte rendu de la dix-neuvième réunion du groupe de travail informel </w:t>
      </w:r>
      <w:r w:rsidR="003F6D79" w:rsidRPr="00272DCE">
        <w:br/>
      </w:r>
      <w:r w:rsidR="00E1061A" w:rsidRPr="00272DCE">
        <w:t>sur</w:t>
      </w:r>
      <w:r w:rsidRPr="00272DCE">
        <w:t xml:space="preserve"> la formation des experts</w:t>
      </w:r>
      <w:bookmarkEnd w:id="3"/>
    </w:p>
    <w:p w14:paraId="33472860" w14:textId="77777777" w:rsidR="005B7F1A" w:rsidRPr="00272DCE" w:rsidRDefault="005B7F1A" w:rsidP="000166DE">
      <w:pPr>
        <w:pStyle w:val="SingleTxtG"/>
        <w:keepNext/>
        <w:tabs>
          <w:tab w:val="left" w:pos="3402"/>
        </w:tabs>
        <w:spacing w:line="240" w:lineRule="auto"/>
        <w:ind w:left="3402" w:hanging="2268"/>
        <w:jc w:val="left"/>
      </w:pPr>
      <w:r w:rsidRPr="00272DCE">
        <w:rPr>
          <w:i/>
          <w:iCs/>
        </w:rPr>
        <w:t>Document </w:t>
      </w:r>
      <w:r w:rsidRPr="00272DCE">
        <w:t>:</w:t>
      </w:r>
      <w:r w:rsidRPr="00272DCE">
        <w:tab/>
        <w:t>ECE/TRANS/WP.15/AC.2/2019/8 (CCNR)</w:t>
      </w:r>
    </w:p>
    <w:p w14:paraId="4BE4C4A4" w14:textId="77777777" w:rsidR="005B7F1A" w:rsidRPr="00272DCE" w:rsidRDefault="005B7F1A" w:rsidP="00DE5D1C">
      <w:pPr>
        <w:pStyle w:val="SingleTxtG"/>
      </w:pPr>
      <w:r w:rsidRPr="00272DCE">
        <w:t>21.</w:t>
      </w:r>
      <w:r w:rsidRPr="00272DCE">
        <w:tab/>
        <w:t>Le Comité de sécurité, ayant pris note des résultats des travaux du groupe de travail informel, a formulé les conclusions suivantes :</w:t>
      </w:r>
    </w:p>
    <w:p w14:paraId="22589249" w14:textId="77777777" w:rsidR="005B7F1A" w:rsidRPr="00272DCE" w:rsidRDefault="005B7F1A" w:rsidP="0057761D">
      <w:pPr>
        <w:pStyle w:val="SingleTxtG"/>
        <w:ind w:left="2268" w:hanging="567"/>
      </w:pPr>
      <w:bookmarkStart w:id="4" w:name="_Hlk535908656"/>
      <w:r w:rsidRPr="00272DCE">
        <w:t>a)</w:t>
      </w:r>
      <w:r w:rsidRPr="00272DCE">
        <w:tab/>
        <w:t>Pour ce qui est de la formation du personnel de bord aux premiers secours (par. 11 du document), le Comité de sécurité est convenu qu</w:t>
      </w:r>
      <w:r w:rsidR="00681934" w:rsidRPr="00272DCE">
        <w:t>’</w:t>
      </w:r>
      <w:r w:rsidRPr="00272DCE">
        <w:t>au moins une personne à bord devait posséder quelques connaissances médicales. Il a toutefois estimé que l</w:t>
      </w:r>
      <w:r w:rsidR="00681934" w:rsidRPr="00272DCE">
        <w:t>’</w:t>
      </w:r>
      <w:r w:rsidRPr="00272DCE">
        <w:t>ADN n</w:t>
      </w:r>
      <w:r w:rsidR="00681934" w:rsidRPr="00272DCE">
        <w:t>’</w:t>
      </w:r>
      <w:r w:rsidRPr="00272DCE">
        <w:t>était peut-être pas l</w:t>
      </w:r>
      <w:r w:rsidR="00681934" w:rsidRPr="00272DCE">
        <w:t>’</w:t>
      </w:r>
      <w:r w:rsidRPr="00272DCE">
        <w:t>instrument le plus approprié pour traiter des besoins en matière de formation aux premiers secours, et il a fait observer qu</w:t>
      </w:r>
      <w:r w:rsidR="00681934" w:rsidRPr="00272DCE">
        <w:t>’</w:t>
      </w:r>
      <w:r w:rsidRPr="00272DCE">
        <w:t>il existait déjà dans les normes applicables aux navires de mer des dispositions à ce sujet applicables à tous les types de navires destinés au transport de marchandises (y</w:t>
      </w:r>
      <w:r w:rsidR="001C1367" w:rsidRPr="00272DCE">
        <w:t> </w:t>
      </w:r>
      <w:r w:rsidRPr="00272DCE">
        <w:t>compris de marchandises dangereuses). Relevant que des travaux étaient actuellement menés en vue de l</w:t>
      </w:r>
      <w:r w:rsidR="00681934" w:rsidRPr="00272DCE">
        <w:t>’</w:t>
      </w:r>
      <w:r w:rsidRPr="00272DCE">
        <w:t>introduction de certaines dispositions en ce sens dans le cadre des obligations de formation des transporteurs dans une norme</w:t>
      </w:r>
      <w:r w:rsidR="00FF20D3" w:rsidRPr="00272DCE">
        <w:t xml:space="preserve"> du CESNI,</w:t>
      </w:r>
      <w:r w:rsidRPr="00272DCE">
        <w:t xml:space="preserve"> le</w:t>
      </w:r>
      <w:r w:rsidR="002F482E" w:rsidRPr="00272DCE">
        <w:t xml:space="preserve"> </w:t>
      </w:r>
      <w:r w:rsidRPr="00272DCE">
        <w:t>Comité de sécurité a décidé de ne pas modifier pour l</w:t>
      </w:r>
      <w:r w:rsidR="00681934" w:rsidRPr="00272DCE">
        <w:t>’</w:t>
      </w:r>
      <w:r w:rsidRPr="00272DCE">
        <w:t xml:space="preserve">instant les questions actuelles du catalogue. À la lumière des nouvelles dispositions </w:t>
      </w:r>
      <w:r w:rsidR="00FF20D3" w:rsidRPr="00272DCE">
        <w:t>du CESNI</w:t>
      </w:r>
      <w:r w:rsidRPr="00272DCE">
        <w:t>, le</w:t>
      </w:r>
      <w:r w:rsidR="002F482E" w:rsidRPr="00272DCE">
        <w:t xml:space="preserve"> </w:t>
      </w:r>
      <w:r w:rsidRPr="00272DCE">
        <w:t>Comité de sécurité pourrait souhaiter réexaminer ultérieurement la question de savoir si des dispositions spécifiques pour le transport des marchandises dangereuses par voies de navigation intérieures devaient être élaborées et traitées dans le catalogue des questions ;</w:t>
      </w:r>
    </w:p>
    <w:bookmarkEnd w:id="4"/>
    <w:bookmarkEnd w:id="2"/>
    <w:p w14:paraId="3AF0B1AB" w14:textId="77777777" w:rsidR="005B7F1A" w:rsidRPr="00272DCE" w:rsidRDefault="005B7F1A" w:rsidP="0057761D">
      <w:pPr>
        <w:pStyle w:val="SingleTxtG"/>
        <w:ind w:left="2268" w:hanging="567"/>
      </w:pPr>
      <w:r w:rsidRPr="00272DCE">
        <w:t>b)</w:t>
      </w:r>
      <w:r w:rsidRPr="00272DCE">
        <w:tab/>
        <w:t>En ce qui concerne l</w:t>
      </w:r>
      <w:r w:rsidR="00681934" w:rsidRPr="00272DCE">
        <w:t>’</w:t>
      </w:r>
      <w:r w:rsidRPr="00272DCE">
        <w:t>utilisation d</w:t>
      </w:r>
      <w:r w:rsidR="00681934" w:rsidRPr="00272DCE">
        <w:t>’</w:t>
      </w:r>
      <w:r w:rsidRPr="00272DCE">
        <w:t>un « treuil de sauvetage » et les prescriptions concernant les feux et les lumières non protégées (par. 12 et 13), le Comité de sécurité a estimé que les questions soulevées devaient être résolues, et il a pris acte du fait que le représentant des Pays-Bas présenterait une proposition à la prochaine session ;</w:t>
      </w:r>
    </w:p>
    <w:p w14:paraId="3EDCBAF9" w14:textId="77777777" w:rsidR="005B7F1A" w:rsidRPr="00272DCE" w:rsidRDefault="005B7F1A" w:rsidP="0057761D">
      <w:pPr>
        <w:pStyle w:val="SingleTxtG"/>
        <w:ind w:left="2268" w:hanging="567"/>
      </w:pPr>
      <w:r w:rsidRPr="00272DCE">
        <w:t>c)</w:t>
      </w:r>
      <w:r w:rsidRPr="00272DCE">
        <w:tab/>
        <w:t>En ce qui concerne les cours de spécialisation « gaz » et « produits chimiques » (par. 17), le Comité de sécurité a noté que le groupe de travail informel continuait à examiner la mise à jour des questions de fond dans les examens, dans le prolongement de l</w:t>
      </w:r>
      <w:r w:rsidR="00681934" w:rsidRPr="00272DCE">
        <w:t>’</w:t>
      </w:r>
      <w:r w:rsidRPr="00272DCE">
        <w:t xml:space="preserve">exposé fait par le représentant des Pays-Bas à sa dernière réunion. </w:t>
      </w:r>
    </w:p>
    <w:p w14:paraId="34FDB1BB" w14:textId="77777777" w:rsidR="005B7F1A" w:rsidRPr="00272DCE" w:rsidRDefault="005B7F1A" w:rsidP="00E73819">
      <w:pPr>
        <w:pStyle w:val="SingleTxtG"/>
      </w:pPr>
      <w:r w:rsidRPr="00272DCE">
        <w:t>22.</w:t>
      </w:r>
      <w:r w:rsidRPr="00272DCE">
        <w:tab/>
        <w:t>Le Comité de sécurité a félicité le groupe de travail informel pour le travail effectué à ce jour et noté que sa prochaine réunion se tiendrait à Strasbourg (France) du 2 au 4 avril</w:t>
      </w:r>
      <w:r w:rsidR="00E73819" w:rsidRPr="00272DCE">
        <w:t xml:space="preserve"> </w:t>
      </w:r>
      <w:r w:rsidRPr="00272DCE">
        <w:t>2019.</w:t>
      </w:r>
    </w:p>
    <w:p w14:paraId="03983385" w14:textId="77777777" w:rsidR="005B7F1A" w:rsidRPr="00272DCE" w:rsidRDefault="005B7F1A" w:rsidP="000166DE">
      <w:pPr>
        <w:pStyle w:val="H23G"/>
      </w:pPr>
      <w:r w:rsidRPr="00272DCE">
        <w:tab/>
        <w:t>2.</w:t>
      </w:r>
      <w:r w:rsidRPr="00272DCE">
        <w:tab/>
        <w:t>Directive du Comité d</w:t>
      </w:r>
      <w:r w:rsidR="00681934" w:rsidRPr="00272DCE">
        <w:t>’</w:t>
      </w:r>
      <w:r w:rsidRPr="00272DCE">
        <w:t>administration pour l</w:t>
      </w:r>
      <w:r w:rsidR="00681934" w:rsidRPr="00272DCE">
        <w:t>’</w:t>
      </w:r>
      <w:r w:rsidRPr="00272DCE">
        <w:t>utilisation du catalogue de questions pour l</w:t>
      </w:r>
      <w:r w:rsidR="00681934" w:rsidRPr="00272DCE">
        <w:t>’</w:t>
      </w:r>
      <w:r w:rsidRPr="00272DCE">
        <w:t>examen d</w:t>
      </w:r>
      <w:r w:rsidR="00681934" w:rsidRPr="00272DCE">
        <w:t>’</w:t>
      </w:r>
      <w:r w:rsidRPr="00272DCE">
        <w:t>expert ADN (</w:t>
      </w:r>
      <w:r w:rsidR="003F6D79" w:rsidRPr="00272DCE">
        <w:t>c</w:t>
      </w:r>
      <w:r w:rsidRPr="00272DCE">
        <w:t>hap. 8.2)</w:t>
      </w:r>
    </w:p>
    <w:p w14:paraId="00FD2DF7" w14:textId="77777777" w:rsidR="005B7F1A" w:rsidRPr="00272DCE" w:rsidRDefault="005B7F1A" w:rsidP="000166DE">
      <w:pPr>
        <w:pStyle w:val="SingleTxtG"/>
        <w:keepNext/>
        <w:tabs>
          <w:tab w:val="left" w:pos="3402"/>
        </w:tabs>
        <w:spacing w:line="240" w:lineRule="auto"/>
        <w:ind w:left="3402" w:hanging="2268"/>
        <w:jc w:val="left"/>
      </w:pPr>
      <w:r w:rsidRPr="00272DCE">
        <w:rPr>
          <w:i/>
          <w:iCs/>
        </w:rPr>
        <w:t>Document </w:t>
      </w:r>
      <w:r w:rsidRPr="00272DCE">
        <w:t>:</w:t>
      </w:r>
      <w:r w:rsidRPr="00272DCE">
        <w:tab/>
        <w:t>ECE/TRANS/WP.15/AC.2/2019/7 (CCNR)</w:t>
      </w:r>
    </w:p>
    <w:p w14:paraId="0BD91C7F" w14:textId="77777777" w:rsidR="005B7F1A" w:rsidRPr="00272DCE" w:rsidRDefault="005B7F1A" w:rsidP="000166DE">
      <w:pPr>
        <w:pStyle w:val="SingleTxtG"/>
      </w:pPr>
      <w:r w:rsidRPr="00272DCE">
        <w:t>23.</w:t>
      </w:r>
      <w:r w:rsidRPr="00272DCE">
        <w:tab/>
        <w:t>Le Comité de sécurité a adopté les propositions d</w:t>
      </w:r>
      <w:r w:rsidR="00681934" w:rsidRPr="00272DCE">
        <w:t>’</w:t>
      </w:r>
      <w:r w:rsidRPr="00272DCE">
        <w:t>amendements à la Directive du Comité d</w:t>
      </w:r>
      <w:r w:rsidR="00681934" w:rsidRPr="00272DCE">
        <w:t>’</w:t>
      </w:r>
      <w:r w:rsidRPr="00272DCE">
        <w:t>administration pour l</w:t>
      </w:r>
      <w:r w:rsidR="00681934" w:rsidRPr="00272DCE">
        <w:t>’</w:t>
      </w:r>
      <w:r w:rsidRPr="00272DCE">
        <w:t>utilisation du catalogue de questions pour l</w:t>
      </w:r>
      <w:r w:rsidR="00681934" w:rsidRPr="00272DCE">
        <w:t>’</w:t>
      </w:r>
      <w:r w:rsidRPr="00272DCE">
        <w:t>examen d</w:t>
      </w:r>
      <w:r w:rsidR="00681934" w:rsidRPr="00272DCE">
        <w:t>’</w:t>
      </w:r>
      <w:r w:rsidRPr="00272DCE">
        <w:t>expert ADN conformément au chapitre 8.2 de l</w:t>
      </w:r>
      <w:r w:rsidR="00681934" w:rsidRPr="00272DCE">
        <w:t>’</w:t>
      </w:r>
      <w:r w:rsidRPr="00272DCE">
        <w:t>ADN, moyennant la suppression des crochets entourant le texte au paragraphe 36 du document.</w:t>
      </w:r>
    </w:p>
    <w:p w14:paraId="2326FDB8" w14:textId="77777777" w:rsidR="005B7F1A" w:rsidRPr="00272DCE" w:rsidRDefault="005B7F1A" w:rsidP="000166DE">
      <w:pPr>
        <w:pStyle w:val="SingleTxtG"/>
      </w:pPr>
      <w:r w:rsidRPr="00272DCE">
        <w:t>24.</w:t>
      </w:r>
      <w:r w:rsidRPr="00272DCE">
        <w:tab/>
      </w:r>
      <w:proofErr w:type="gramStart"/>
      <w:r w:rsidRPr="00272DCE">
        <w:t>Suite à une</w:t>
      </w:r>
      <w:proofErr w:type="gramEnd"/>
      <w:r w:rsidRPr="00272DCE">
        <w:t xml:space="preserve"> remarque du représentant de l</w:t>
      </w:r>
      <w:r w:rsidR="00681934" w:rsidRPr="00272DCE">
        <w:t>’</w:t>
      </w:r>
      <w:r w:rsidRPr="00272DCE">
        <w:t xml:space="preserve">Allemagne, le Comité de sécurité a invité le groupe de travail informel </w:t>
      </w:r>
      <w:r w:rsidR="00E1061A" w:rsidRPr="00272DCE">
        <w:t>sur</w:t>
      </w:r>
      <w:r w:rsidRPr="00272DCE">
        <w:t xml:space="preserve"> la formation des experts à envisager d</w:t>
      </w:r>
      <w:r w:rsidR="00681934" w:rsidRPr="00272DCE">
        <w:t>’</w:t>
      </w:r>
      <w:r w:rsidRPr="00272DCE">
        <w:t>appliquer la règle du délai de six mois après le cours de spécialisation pour l</w:t>
      </w:r>
      <w:r w:rsidR="00681934" w:rsidRPr="00272DCE">
        <w:t>’</w:t>
      </w:r>
      <w:r w:rsidRPr="00272DCE">
        <w:t>examen de spécialisation et à soumettre une proposition d</w:t>
      </w:r>
      <w:r w:rsidR="00681934" w:rsidRPr="00272DCE">
        <w:t>’</w:t>
      </w:r>
      <w:r w:rsidRPr="00272DCE">
        <w:t>amendement aux dispositions de l</w:t>
      </w:r>
      <w:r w:rsidR="00681934" w:rsidRPr="00272DCE">
        <w:t>’</w:t>
      </w:r>
      <w:r w:rsidRPr="00272DCE">
        <w:t>ADN correspondantes.</w:t>
      </w:r>
    </w:p>
    <w:p w14:paraId="29E0490F" w14:textId="77777777" w:rsidR="005B7F1A" w:rsidRPr="00272DCE" w:rsidRDefault="005B7F1A" w:rsidP="000166DE">
      <w:pPr>
        <w:pStyle w:val="H23G"/>
      </w:pPr>
      <w:r w:rsidRPr="00272DCE">
        <w:lastRenderedPageBreak/>
        <w:tab/>
        <w:t>3.</w:t>
      </w:r>
      <w:r w:rsidRPr="00272DCE">
        <w:tab/>
        <w:t>Catalogue de questions 2019</w:t>
      </w:r>
    </w:p>
    <w:p w14:paraId="1C5F920A" w14:textId="77777777" w:rsidR="005B7F1A" w:rsidRPr="00272DCE" w:rsidRDefault="005B7F1A" w:rsidP="000166DE">
      <w:pPr>
        <w:pStyle w:val="SingleTxtG"/>
        <w:keepNext/>
        <w:tabs>
          <w:tab w:val="left" w:pos="3402"/>
        </w:tabs>
        <w:spacing w:line="240" w:lineRule="auto"/>
        <w:ind w:left="3402" w:hanging="2268"/>
        <w:jc w:val="left"/>
      </w:pPr>
      <w:r w:rsidRPr="00272DCE">
        <w:rPr>
          <w:i/>
          <w:iCs/>
        </w:rPr>
        <w:t>Documents </w:t>
      </w:r>
      <w:r w:rsidRPr="00272DCE">
        <w:t>:</w:t>
      </w:r>
      <w:r w:rsidRPr="00272DCE">
        <w:tab/>
      </w:r>
      <w:r w:rsidRPr="00272DCE">
        <w:tab/>
        <w:t xml:space="preserve">ECE/TRANS/WP.15/AC.2/2019/1 (CCNR) </w:t>
      </w:r>
      <w:r w:rsidRPr="00272DCE">
        <w:br/>
      </w:r>
      <w:r w:rsidRPr="00272DCE">
        <w:tab/>
        <w:t xml:space="preserve">ECE/TRANS/WP.15/AC.2/2019/2 (CCNR) </w:t>
      </w:r>
      <w:r w:rsidR="009F3DF8" w:rsidRPr="00272DCE">
        <w:br/>
      </w:r>
      <w:r w:rsidRPr="00272DCE">
        <w:tab/>
        <w:t>ECE/TRANS/WP.15/AC.2/2019/3 (CCNR)</w:t>
      </w:r>
    </w:p>
    <w:p w14:paraId="197253B4" w14:textId="77777777" w:rsidR="005B7F1A" w:rsidRPr="00272DCE" w:rsidRDefault="005B7F1A" w:rsidP="009F3DF8">
      <w:pPr>
        <w:pStyle w:val="SingleTxtG"/>
      </w:pPr>
      <w:r w:rsidRPr="00272DCE">
        <w:t>25.</w:t>
      </w:r>
      <w:r w:rsidRPr="00272DCE">
        <w:tab/>
        <w:t>Le représentant de l</w:t>
      </w:r>
      <w:r w:rsidR="00681934" w:rsidRPr="00272DCE">
        <w:t>’</w:t>
      </w:r>
      <w:r w:rsidRPr="00272DCE">
        <w:t>UENF a fait savoir qu</w:t>
      </w:r>
      <w:r w:rsidR="00681934" w:rsidRPr="00272DCE">
        <w:t>’</w:t>
      </w:r>
      <w:r w:rsidRPr="00272DCE">
        <w:t>il était nécessaire de procéder à certaines corrections afin d</w:t>
      </w:r>
      <w:r w:rsidR="00681934" w:rsidRPr="00272DCE">
        <w:t>’</w:t>
      </w:r>
      <w:r w:rsidRPr="00272DCE">
        <w:t>éviter l</w:t>
      </w:r>
      <w:r w:rsidR="00681934" w:rsidRPr="00272DCE">
        <w:t>’</w:t>
      </w:r>
      <w:r w:rsidRPr="00272DCE">
        <w:t>utilisation de termes différents pour désigner la même notion. À</w:t>
      </w:r>
      <w:r w:rsidR="009F3DF8" w:rsidRPr="00272DCE">
        <w:t> </w:t>
      </w:r>
      <w:r w:rsidRPr="00272DCE">
        <w:t>titre d</w:t>
      </w:r>
      <w:r w:rsidR="00681934" w:rsidRPr="00272DCE">
        <w:t>’</w:t>
      </w:r>
      <w:r w:rsidRPr="00272DCE">
        <w:t>exemple, il a dit que les termes « </w:t>
      </w:r>
      <w:proofErr w:type="spellStart"/>
      <w:r w:rsidRPr="00272DCE">
        <w:t>loading</w:t>
      </w:r>
      <w:proofErr w:type="spellEnd"/>
      <w:r w:rsidRPr="00272DCE">
        <w:t xml:space="preserve"> plan » et « </w:t>
      </w:r>
      <w:proofErr w:type="spellStart"/>
      <w:r w:rsidRPr="00272DCE">
        <w:t>stowage</w:t>
      </w:r>
      <w:proofErr w:type="spellEnd"/>
      <w:r w:rsidRPr="00272DCE">
        <w:t xml:space="preserve"> plan » et les termes « sampling </w:t>
      </w:r>
      <w:proofErr w:type="spellStart"/>
      <w:r w:rsidRPr="00272DCE">
        <w:t>device</w:t>
      </w:r>
      <w:proofErr w:type="spellEnd"/>
      <w:r w:rsidRPr="00272DCE">
        <w:t xml:space="preserve"> » et « sampling </w:t>
      </w:r>
      <w:proofErr w:type="spellStart"/>
      <w:r w:rsidRPr="00272DCE">
        <w:t>opening</w:t>
      </w:r>
      <w:proofErr w:type="spellEnd"/>
      <w:r w:rsidRPr="00272DCE">
        <w:t> » étaient utilisés indifféremment pour exprimer la même chose dans le texte en langue anglaise, et il a suggéré qu</w:t>
      </w:r>
      <w:r w:rsidR="00681934" w:rsidRPr="00272DCE">
        <w:t>’</w:t>
      </w:r>
      <w:r w:rsidRPr="00272DCE">
        <w:t xml:space="preserve">un seul terme soit retenu dans chaque cas. Il a été invité à fournir au groupe de travail informel </w:t>
      </w:r>
      <w:r w:rsidR="00E1061A" w:rsidRPr="00272DCE">
        <w:t>sur</w:t>
      </w:r>
      <w:r w:rsidRPr="00272DCE">
        <w:t xml:space="preserve"> la formation des experts une note détaillée à ce sujet afin que les corrections nécessaires puissent être intégrées à la prochaine version du catalogue. </w:t>
      </w:r>
    </w:p>
    <w:p w14:paraId="5201D5DA" w14:textId="77777777" w:rsidR="005B7F1A" w:rsidRPr="00272DCE" w:rsidRDefault="005B7F1A" w:rsidP="009F3DF8">
      <w:pPr>
        <w:pStyle w:val="SingleTxtG"/>
      </w:pPr>
      <w:r w:rsidRPr="00272DCE">
        <w:t>26.</w:t>
      </w:r>
      <w:r w:rsidRPr="00272DCE">
        <w:tab/>
        <w:t>Le Comité de sécurité a adopté les propositions tendant à mettre à jour le catalogue de questions pour tenir compte des dispositions de l</w:t>
      </w:r>
      <w:r w:rsidR="00681934" w:rsidRPr="00272DCE">
        <w:t>’</w:t>
      </w:r>
      <w:r w:rsidRPr="00272DCE">
        <w:t>édition 2019 de l</w:t>
      </w:r>
      <w:r w:rsidR="00681934" w:rsidRPr="00272DCE">
        <w:t>’</w:t>
      </w:r>
      <w:r w:rsidRPr="00272DCE">
        <w:t>ADN en apportant quelques corrections supplémentaires aux documents ECE/TRANS/WP.15/AC.2/2019/1 et ECE/TRANS/WP.15/AC.2/2019/2.</w:t>
      </w:r>
    </w:p>
    <w:p w14:paraId="2B75E9E5" w14:textId="77777777" w:rsidR="005B7F1A" w:rsidRPr="00272DCE" w:rsidRDefault="005B7F1A" w:rsidP="009F3DF8">
      <w:pPr>
        <w:pStyle w:val="H23G"/>
      </w:pPr>
      <w:r w:rsidRPr="00272DCE">
        <w:tab/>
        <w:t>4.</w:t>
      </w:r>
      <w:r w:rsidRPr="00272DCE">
        <w:tab/>
        <w:t>Suivi de la proposition d</w:t>
      </w:r>
      <w:r w:rsidR="00681934" w:rsidRPr="00272DCE">
        <w:t>’</w:t>
      </w:r>
      <w:r w:rsidRPr="00272DCE">
        <w:t>allongement de la durée de l</w:t>
      </w:r>
      <w:r w:rsidR="00681934" w:rsidRPr="00272DCE">
        <w:t>’</w:t>
      </w:r>
      <w:r w:rsidRPr="00272DCE">
        <w:t>examen visé au 8.2.2.7.1.5 (cours de formation de base) et au 8.2.2.7.3.2 (cours de recyclage)</w:t>
      </w:r>
    </w:p>
    <w:p w14:paraId="659AC251" w14:textId="488B0E05" w:rsidR="005B7F1A" w:rsidRPr="00272DCE" w:rsidRDefault="005B7F1A" w:rsidP="009F3DF8">
      <w:pPr>
        <w:pStyle w:val="SingleTxtG"/>
        <w:keepNext/>
        <w:tabs>
          <w:tab w:val="left" w:pos="3402"/>
        </w:tabs>
        <w:spacing w:line="240" w:lineRule="auto"/>
        <w:ind w:left="3402" w:hanging="2268"/>
        <w:jc w:val="left"/>
      </w:pPr>
      <w:r w:rsidRPr="00272DCE">
        <w:rPr>
          <w:i/>
        </w:rPr>
        <w:t>Document informel </w:t>
      </w:r>
      <w:r w:rsidRPr="00272DCE">
        <w:t>:</w:t>
      </w:r>
      <w:r w:rsidRPr="00272DCE">
        <w:tab/>
      </w:r>
      <w:r w:rsidRPr="00272DCE">
        <w:tab/>
        <w:t>INF.14 (UENF et OEB)</w:t>
      </w:r>
    </w:p>
    <w:p w14:paraId="7D1D8C3E" w14:textId="77777777" w:rsidR="005B7F1A" w:rsidRPr="00272DCE" w:rsidRDefault="005B7F1A" w:rsidP="00F22354">
      <w:pPr>
        <w:pStyle w:val="SingleTxtG"/>
      </w:pPr>
      <w:bookmarkStart w:id="5" w:name="_Hlk9321286"/>
      <w:r w:rsidRPr="00272DCE">
        <w:t>27.</w:t>
      </w:r>
      <w:r w:rsidRPr="00272DCE">
        <w:tab/>
        <w:t>Le Comité de sécurité a accueilli avec intérêt les travaux accomplis par l</w:t>
      </w:r>
      <w:r w:rsidR="00681934" w:rsidRPr="00272DCE">
        <w:t>’</w:t>
      </w:r>
      <w:r w:rsidRPr="00272DCE">
        <w:t>UENF et l</w:t>
      </w:r>
      <w:r w:rsidR="00681934" w:rsidRPr="00272DCE">
        <w:t>’</w:t>
      </w:r>
      <w:r w:rsidRPr="00272DCE">
        <w:t>OEB. Certaines des propositions énoncées au paragraphe 8 du document INF.14 ont reçu un soutien, mais le Comité a estimé qu</w:t>
      </w:r>
      <w:r w:rsidR="00681934" w:rsidRPr="00272DCE">
        <w:t>’</w:t>
      </w:r>
      <w:r w:rsidRPr="00272DCE">
        <w:t>il serait prématuré de prendre une décision en s</w:t>
      </w:r>
      <w:r w:rsidR="00681934" w:rsidRPr="00272DCE">
        <w:t>’</w:t>
      </w:r>
      <w:r w:rsidRPr="00272DCE">
        <w:t>appuyant sur un document informel distribué tardivement et disponible en anglais seulement, et en l</w:t>
      </w:r>
      <w:r w:rsidR="00681934" w:rsidRPr="00272DCE">
        <w:t>’</w:t>
      </w:r>
      <w:r w:rsidRPr="00272DCE">
        <w:t>absence d</w:t>
      </w:r>
      <w:r w:rsidR="00681934" w:rsidRPr="00272DCE">
        <w:t>’</w:t>
      </w:r>
      <w:r w:rsidRPr="00272DCE">
        <w:t>une proposition plus détaillée. Constatant que le rapport d</w:t>
      </w:r>
      <w:r w:rsidR="00681934" w:rsidRPr="00272DCE">
        <w:t>’</w:t>
      </w:r>
      <w:r w:rsidRPr="00272DCE">
        <w:t>étude présenté dans l</w:t>
      </w:r>
      <w:r w:rsidR="00681934" w:rsidRPr="00272DCE">
        <w:t>’</w:t>
      </w:r>
      <w:r w:rsidRPr="00272DCE">
        <w:t xml:space="preserve">annexe du document INF.14 faisait référence à du matériel didactique et des examens en néerlandais, </w:t>
      </w:r>
      <w:bookmarkEnd w:id="5"/>
      <w:r w:rsidRPr="00272DCE">
        <w:t>le Comité a invité le représentant de l</w:t>
      </w:r>
      <w:r w:rsidR="00681934" w:rsidRPr="00272DCE">
        <w:t>’</w:t>
      </w:r>
      <w:r w:rsidRPr="00272DCE">
        <w:t>UENF à se demander si les résultats pouvaient être transposés dans d</w:t>
      </w:r>
      <w:r w:rsidR="00681934" w:rsidRPr="00272DCE">
        <w:t>’</w:t>
      </w:r>
      <w:r w:rsidRPr="00272DCE">
        <w:t>autres langues et d</w:t>
      </w:r>
      <w:r w:rsidR="00681934" w:rsidRPr="00272DCE">
        <w:t>’</w:t>
      </w:r>
      <w:r w:rsidRPr="00272DCE">
        <w:t>autres pays et si l</w:t>
      </w:r>
      <w:r w:rsidR="00681934" w:rsidRPr="00272DCE">
        <w:t>’</w:t>
      </w:r>
      <w:r w:rsidRPr="00272DCE">
        <w:t>on pouvait apporter une réponse aux questions soulevées en allongeant la durée de l</w:t>
      </w:r>
      <w:r w:rsidR="00681934" w:rsidRPr="00272DCE">
        <w:t>’</w:t>
      </w:r>
      <w:r w:rsidRPr="00272DCE">
        <w:t>examen ou en limitant le nombre de réponses proposées pour chaque question. Le représentant de l</w:t>
      </w:r>
      <w:r w:rsidR="00681934" w:rsidRPr="00272DCE">
        <w:t>’</w:t>
      </w:r>
      <w:r w:rsidRPr="00272DCE">
        <w:t>Allemagne a suggéré de tenir compte également des informations fournies par les organismes nationaux de formation et d</w:t>
      </w:r>
      <w:r w:rsidR="00681934" w:rsidRPr="00272DCE">
        <w:t>’</w:t>
      </w:r>
      <w:r w:rsidRPr="00272DCE">
        <w:t>examen</w:t>
      </w:r>
      <w:r w:rsidR="004F6471" w:rsidRPr="00272DCE">
        <w:t xml:space="preserve"> </w:t>
      </w:r>
      <w:r w:rsidRPr="00272DCE">
        <w:t>et les instituts de recherche dans d</w:t>
      </w:r>
      <w:r w:rsidR="00681934" w:rsidRPr="00272DCE">
        <w:t>’</w:t>
      </w:r>
      <w:r w:rsidRPr="00272DCE">
        <w:t>autres pays.</w:t>
      </w:r>
    </w:p>
    <w:p w14:paraId="719A1929" w14:textId="77777777" w:rsidR="005B7F1A" w:rsidRPr="00272DCE" w:rsidRDefault="005B7F1A" w:rsidP="00F22354">
      <w:pPr>
        <w:pStyle w:val="SingleTxtG"/>
      </w:pPr>
      <w:r w:rsidRPr="00272DCE">
        <w:t>28.</w:t>
      </w:r>
      <w:r w:rsidRPr="00272DCE">
        <w:tab/>
        <w:t>Le Comité de sécurité a noté avec satisfaction que le représentant de l</w:t>
      </w:r>
      <w:r w:rsidR="00681934" w:rsidRPr="00272DCE">
        <w:t>’</w:t>
      </w:r>
      <w:r w:rsidRPr="00272DCE">
        <w:t>UENF fournirait une version allemande du rapport afin de faciliter les futurs échanges de vues et l</w:t>
      </w:r>
      <w:r w:rsidR="00681934" w:rsidRPr="00272DCE">
        <w:t>’</w:t>
      </w:r>
      <w:r w:rsidRPr="00272DCE">
        <w:t>a invité à collaborer avec d</w:t>
      </w:r>
      <w:r w:rsidR="00681934" w:rsidRPr="00272DCE">
        <w:t>’</w:t>
      </w:r>
      <w:r w:rsidRPr="00272DCE">
        <w:t xml:space="preserve">autres délégations et avec le groupe de travail informel </w:t>
      </w:r>
      <w:r w:rsidR="00E1061A" w:rsidRPr="00272DCE">
        <w:t>sur</w:t>
      </w:r>
      <w:r w:rsidRPr="00272DCE">
        <w:t xml:space="preserve"> la formation des experts en vue d</w:t>
      </w:r>
      <w:r w:rsidR="00681934" w:rsidRPr="00272DCE">
        <w:t>’</w:t>
      </w:r>
      <w:r w:rsidRPr="00272DCE">
        <w:t>étoffer la proposition sur la base des observations faites. Il a été noté que les résultats de ce travail pourraient également intéresser la Commission du Danube, laquelle élabore actuellement des dispositions relatives aux examens.</w:t>
      </w:r>
    </w:p>
    <w:p w14:paraId="3FC436CD" w14:textId="77777777" w:rsidR="005B7F1A" w:rsidRPr="00272DCE" w:rsidRDefault="009F3DF8" w:rsidP="009F3DF8">
      <w:pPr>
        <w:pStyle w:val="H1G"/>
      </w:pPr>
      <w:r w:rsidRPr="00272DCE">
        <w:tab/>
      </w:r>
      <w:r w:rsidR="005B7F1A" w:rsidRPr="00272DCE">
        <w:t>E.</w:t>
      </w:r>
      <w:r w:rsidR="005B7F1A" w:rsidRPr="00272DCE">
        <w:tab/>
        <w:t>Questions relatives aux sociétés de classification</w:t>
      </w:r>
    </w:p>
    <w:p w14:paraId="65772884" w14:textId="77777777" w:rsidR="005B7F1A" w:rsidRPr="00272DCE" w:rsidRDefault="005B7F1A" w:rsidP="009F3DF8">
      <w:pPr>
        <w:pStyle w:val="H23G"/>
      </w:pPr>
      <w:r w:rsidRPr="00272DCE">
        <w:tab/>
        <w:t>1.</w:t>
      </w:r>
      <w:r w:rsidRPr="00272DCE">
        <w:tab/>
        <w:t>Rapport de la seizième réunion du groupe de travail informel des sociétés de classification recommandées ADN</w:t>
      </w:r>
    </w:p>
    <w:p w14:paraId="275A4C30" w14:textId="19A5BB92" w:rsidR="005B7F1A" w:rsidRPr="00272DCE" w:rsidRDefault="005B7F1A" w:rsidP="009F3DF8">
      <w:pPr>
        <w:pStyle w:val="SingleTxtG"/>
        <w:keepNext/>
        <w:tabs>
          <w:tab w:val="left" w:pos="3402"/>
        </w:tabs>
        <w:spacing w:line="240" w:lineRule="auto"/>
        <w:ind w:left="3402" w:hanging="2268"/>
        <w:jc w:val="left"/>
      </w:pPr>
      <w:r w:rsidRPr="00272DCE">
        <w:rPr>
          <w:i/>
        </w:rPr>
        <w:t>Document informel </w:t>
      </w:r>
      <w:r w:rsidRPr="00272DCE">
        <w:t>:</w:t>
      </w:r>
      <w:r w:rsidRPr="00272DCE">
        <w:tab/>
        <w:t>INF.4 (Président du groupe de travail informel)</w:t>
      </w:r>
    </w:p>
    <w:p w14:paraId="4E29870F" w14:textId="77777777" w:rsidR="005B7F1A" w:rsidRPr="00272DCE" w:rsidRDefault="005B7F1A" w:rsidP="009F3DF8">
      <w:pPr>
        <w:pStyle w:val="SingleTxtG"/>
      </w:pPr>
      <w:bookmarkStart w:id="6" w:name="_Hlk9321372"/>
      <w:r w:rsidRPr="00272DCE">
        <w:t>29.</w:t>
      </w:r>
      <w:r w:rsidRPr="00272DCE">
        <w:tab/>
        <w:t>Le Comité de sécurité a pris note du rapport du groupe de travail informel et s</w:t>
      </w:r>
      <w:r w:rsidR="00681934" w:rsidRPr="00272DCE">
        <w:t>’</w:t>
      </w:r>
      <w:r w:rsidRPr="00272DCE">
        <w:t>est penché en particulier sur les points 2 e), 4 d), 4 e) et 4 f) du document :</w:t>
      </w:r>
    </w:p>
    <w:p w14:paraId="2A2F1814" w14:textId="77777777" w:rsidR="005B7F1A" w:rsidRPr="00272DCE" w:rsidRDefault="005B7F1A" w:rsidP="009F3DF8">
      <w:pPr>
        <w:pStyle w:val="Bullet1G"/>
      </w:pPr>
      <w:r w:rsidRPr="00272DCE">
        <w:t xml:space="preserve">Utilisation du </w:t>
      </w:r>
      <w:proofErr w:type="spellStart"/>
      <w:r w:rsidRPr="00272DCE">
        <w:t>boil</w:t>
      </w:r>
      <w:proofErr w:type="spellEnd"/>
      <w:r w:rsidRPr="00272DCE">
        <w:t>-off de GNL comme carburant (point 2 e)) : le Comité de sécurité a décidé que les dispositions actuelles du Recueil IGC de l</w:t>
      </w:r>
      <w:r w:rsidR="00681934" w:rsidRPr="00272DCE">
        <w:t>’</w:t>
      </w:r>
      <w:r w:rsidRPr="00272DCE">
        <w:t>Organisation maritime internationale devaient être utilisées comme base d</w:t>
      </w:r>
      <w:r w:rsidR="00681934" w:rsidRPr="00272DCE">
        <w:t>’</w:t>
      </w:r>
      <w:r w:rsidRPr="00272DCE">
        <w:t>élaboration de dispositions équivalentes pour l</w:t>
      </w:r>
      <w:r w:rsidR="00681934" w:rsidRPr="00272DCE">
        <w:t>’</w:t>
      </w:r>
      <w:r w:rsidRPr="00272DCE">
        <w:t>ADN ;</w:t>
      </w:r>
    </w:p>
    <w:p w14:paraId="6BBB71A2" w14:textId="77777777" w:rsidR="005B7F1A" w:rsidRPr="00272DCE" w:rsidRDefault="005B7F1A" w:rsidP="009F3DF8">
      <w:pPr>
        <w:pStyle w:val="Bullet1G"/>
      </w:pPr>
      <w:bookmarkStart w:id="7" w:name="_Hlk9321449"/>
      <w:bookmarkEnd w:id="6"/>
      <w:r w:rsidRPr="00272DCE">
        <w:t>Dates de la période de transition visées au 9.3.x.24 et 9.3.x.21.1 et accord multilatéral M018 (point 4 d)) : après avoir entendu les avis et les préoccupations exprimés par plusieurs délégations, le Comité de sécurité a reconnu qu</w:t>
      </w:r>
      <w:r w:rsidR="00681934" w:rsidRPr="00272DCE">
        <w:t>’</w:t>
      </w:r>
      <w:r w:rsidRPr="00272DCE">
        <w:t xml:space="preserve">il pourrait être nécessaire de </w:t>
      </w:r>
      <w:r w:rsidRPr="00272DCE">
        <w:lastRenderedPageBreak/>
        <w:t>supprimer les dates de la période transitoire visées au 9.3.x.24 et 9.3.x.21.1</w:t>
      </w:r>
      <w:r w:rsidR="004F6471" w:rsidRPr="00272DCE">
        <w:t xml:space="preserve"> </w:t>
      </w:r>
      <w:r w:rsidRPr="00272DCE">
        <w:t>et a souhaité qu</w:t>
      </w:r>
      <w:r w:rsidR="00681934" w:rsidRPr="00272DCE">
        <w:t>’</w:t>
      </w:r>
      <w:r w:rsidRPr="00272DCE">
        <w:t>une proposition lui soit faite à cette fin en vue de la prochaine session. Notant que les amendements à l</w:t>
      </w:r>
      <w:r w:rsidR="00681934" w:rsidRPr="00272DCE">
        <w:t>’</w:t>
      </w:r>
      <w:r w:rsidRPr="00272DCE">
        <w:t>édition 2019 de l</w:t>
      </w:r>
      <w:r w:rsidR="00681934" w:rsidRPr="00272DCE">
        <w:t>’</w:t>
      </w:r>
      <w:r w:rsidRPr="00272DCE">
        <w:t>ADN n</w:t>
      </w:r>
      <w:r w:rsidR="00681934" w:rsidRPr="00272DCE">
        <w:t>’</w:t>
      </w:r>
      <w:r w:rsidRPr="00272DCE">
        <w:t>entreraient pas en vigueur avant le 1</w:t>
      </w:r>
      <w:r w:rsidRPr="00272DCE">
        <w:rPr>
          <w:vertAlign w:val="superscript"/>
        </w:rPr>
        <w:t>er</w:t>
      </w:r>
      <w:r w:rsidRPr="00272DCE">
        <w:t> janvier 2021, plusieurs délégations ont fait part de leur volonté de mettre à jour et de prolonger l</w:t>
      </w:r>
      <w:r w:rsidR="00681934" w:rsidRPr="00272DCE">
        <w:t>’</w:t>
      </w:r>
      <w:r w:rsidRPr="00272DCE">
        <w:t>accord multilatéral M018 jusqu</w:t>
      </w:r>
      <w:r w:rsidR="00681934" w:rsidRPr="00272DCE">
        <w:t>’</w:t>
      </w:r>
      <w:r w:rsidRPr="00272DCE">
        <w:t>au 31 décembre 2023. Il a été noté que la période de transition actuelle pour le type et l</w:t>
      </w:r>
      <w:r w:rsidR="00681934" w:rsidRPr="00272DCE">
        <w:t>’</w:t>
      </w:r>
      <w:r w:rsidRPr="00272DCE">
        <w:t>emplacement des installations et des appareils électriques devant être utilisés dans les zones de risque d</w:t>
      </w:r>
      <w:r w:rsidR="00681934" w:rsidRPr="00272DCE">
        <w:t>’</w:t>
      </w:r>
      <w:r w:rsidRPr="00272DCE">
        <w:t>explosion visée au 9.3.x.53.1 demeurerait inchangée ;</w:t>
      </w:r>
    </w:p>
    <w:bookmarkEnd w:id="7"/>
    <w:p w14:paraId="110340CD" w14:textId="77777777" w:rsidR="005B7F1A" w:rsidRPr="00272DCE" w:rsidRDefault="005B7F1A" w:rsidP="009F3DF8">
      <w:pPr>
        <w:pStyle w:val="Bullet1G"/>
      </w:pPr>
      <w:r w:rsidRPr="00272DCE">
        <w:t>Utilisation de citernes d</w:t>
      </w:r>
      <w:r w:rsidR="00681934" w:rsidRPr="00272DCE">
        <w:t>’</w:t>
      </w:r>
      <w:r w:rsidRPr="00272DCE">
        <w:t>une capacité supérieure à 1 000 m</w:t>
      </w:r>
      <w:r w:rsidRPr="00272DCE">
        <w:rPr>
          <w:vertAlign w:val="superscript"/>
        </w:rPr>
        <w:t xml:space="preserve">3 </w:t>
      </w:r>
      <w:r w:rsidRPr="00272DCE">
        <w:t>(points 2 e) et 4 e)) : constatant la tendance actuelle à utiliser de plus en plus souvent de grandes citernes, le Comité de sécurité a invité les sociétés de classification recommandées ADN à lui fournir des renseignements sur les pratiques actuelles pour lui permettre d</w:t>
      </w:r>
      <w:r w:rsidR="00681934" w:rsidRPr="00272DCE">
        <w:t>’</w:t>
      </w:r>
      <w:r w:rsidRPr="00272DCE">
        <w:t>évaluer la nécessité d</w:t>
      </w:r>
      <w:r w:rsidR="00681934" w:rsidRPr="00272DCE">
        <w:t>’</w:t>
      </w:r>
      <w:r w:rsidRPr="00272DCE">
        <w:t>élaborer des dispositions particulières relatives aux questions de sécurité, par exemple les débits de remplissage applicables ou les prescriptions relatives à la stabilité ;</w:t>
      </w:r>
    </w:p>
    <w:p w14:paraId="44D9B025" w14:textId="77777777" w:rsidR="005B7F1A" w:rsidRPr="00272DCE" w:rsidRDefault="005B7F1A" w:rsidP="009F3DF8">
      <w:pPr>
        <w:pStyle w:val="Bullet1G"/>
      </w:pPr>
      <w:r w:rsidRPr="00272DCE">
        <w:t>Soupapes de dégagement à grande vitesse et températures élevées (point 4 f)) : le Comité de sécurité a invité les sociétés de classification recommandées ADN à réexaminer l</w:t>
      </w:r>
      <w:r w:rsidR="00681934" w:rsidRPr="00272DCE">
        <w:t>’</w:t>
      </w:r>
      <w:r w:rsidRPr="00272DCE">
        <w:t>interprétation proposée à la lumière des critères d</w:t>
      </w:r>
      <w:r w:rsidR="00681934" w:rsidRPr="00272DCE">
        <w:t>’</w:t>
      </w:r>
      <w:r w:rsidRPr="00272DCE">
        <w:t>équivalence actuels visés au 1.3.5.3.1 de l</w:t>
      </w:r>
      <w:r w:rsidR="00681934" w:rsidRPr="00272DCE">
        <w:t>’</w:t>
      </w:r>
      <w:r w:rsidRPr="00272DCE">
        <w:t>ADN et à soumettre à la prochaine session un document officiel contenant une proposition concrète.</w:t>
      </w:r>
    </w:p>
    <w:p w14:paraId="6E4753B4" w14:textId="77777777" w:rsidR="005B7F1A" w:rsidRPr="00272DCE" w:rsidRDefault="005B7F1A" w:rsidP="00E1306B">
      <w:pPr>
        <w:pStyle w:val="H23G"/>
      </w:pPr>
      <w:r w:rsidRPr="00272DCE">
        <w:tab/>
        <w:t>2.</w:t>
      </w:r>
      <w:r w:rsidRPr="00272DCE">
        <w:tab/>
        <w:t>Agrément des sociétés de classification</w:t>
      </w:r>
    </w:p>
    <w:p w14:paraId="41631F8B" w14:textId="77777777" w:rsidR="005B7F1A" w:rsidRPr="00272DCE" w:rsidRDefault="005B7F1A" w:rsidP="00E1306B">
      <w:pPr>
        <w:pStyle w:val="SingleTxtG"/>
        <w:keepNext/>
        <w:tabs>
          <w:tab w:val="left" w:pos="3402"/>
        </w:tabs>
        <w:spacing w:line="240" w:lineRule="auto"/>
        <w:ind w:left="3402" w:hanging="2268"/>
        <w:jc w:val="left"/>
      </w:pPr>
      <w:r w:rsidRPr="00272DCE">
        <w:rPr>
          <w:i/>
        </w:rPr>
        <w:t>Document informel </w:t>
      </w:r>
      <w:r w:rsidRPr="00272DCE">
        <w:t>:</w:t>
      </w:r>
      <w:r w:rsidRPr="00272DCE">
        <w:tab/>
        <w:t>INF.13 (Pays-Bas)</w:t>
      </w:r>
    </w:p>
    <w:p w14:paraId="12BDFAC7" w14:textId="77777777" w:rsidR="005B7F1A" w:rsidRPr="00272DCE" w:rsidRDefault="005B7F1A" w:rsidP="009F2121">
      <w:pPr>
        <w:pStyle w:val="SingleTxtG"/>
      </w:pPr>
      <w:r w:rsidRPr="00272DCE">
        <w:t>30.</w:t>
      </w:r>
      <w:r w:rsidRPr="00272DCE">
        <w:tab/>
        <w:t>Le Comité de sécurité a pris note de la recommandation faite par le Comité d</w:t>
      </w:r>
      <w:r w:rsidR="00681934" w:rsidRPr="00272DCE">
        <w:t>’</w:t>
      </w:r>
      <w:r w:rsidRPr="00272DCE">
        <w:t>experts et a relevé que le Comité d</w:t>
      </w:r>
      <w:r w:rsidR="00681934" w:rsidRPr="00272DCE">
        <w:t>’</w:t>
      </w:r>
      <w:r w:rsidRPr="00272DCE">
        <w:t>administration l</w:t>
      </w:r>
      <w:r w:rsidR="00681934" w:rsidRPr="00272DCE">
        <w:t>’</w:t>
      </w:r>
      <w:r w:rsidRPr="00272DCE">
        <w:t>examinerait à sa vingt-deuxième session.</w:t>
      </w:r>
    </w:p>
    <w:p w14:paraId="1D4A719F" w14:textId="77777777" w:rsidR="005B7F1A" w:rsidRPr="00272DCE" w:rsidRDefault="005B7F1A" w:rsidP="00605276">
      <w:pPr>
        <w:pStyle w:val="H23G"/>
      </w:pPr>
      <w:r w:rsidRPr="00272DCE">
        <w:tab/>
        <w:t>3.</w:t>
      </w:r>
      <w:r w:rsidRPr="00272DCE">
        <w:tab/>
        <w:t>État d</w:t>
      </w:r>
      <w:r w:rsidR="00681934" w:rsidRPr="00272DCE">
        <w:t>’</w:t>
      </w:r>
      <w:r w:rsidRPr="00272DCE">
        <w:t>avancement de l</w:t>
      </w:r>
      <w:r w:rsidR="00681934" w:rsidRPr="00272DCE">
        <w:t>’</w:t>
      </w:r>
      <w:r w:rsidRPr="00272DCE">
        <w:t>agrément des instruments de chargement</w:t>
      </w:r>
    </w:p>
    <w:p w14:paraId="4BF5A59F" w14:textId="77777777" w:rsidR="005B7F1A" w:rsidRPr="00272DCE" w:rsidRDefault="005B7F1A" w:rsidP="00E1306B">
      <w:pPr>
        <w:pStyle w:val="SingleTxtG"/>
        <w:keepNext/>
        <w:tabs>
          <w:tab w:val="left" w:pos="3402"/>
        </w:tabs>
        <w:spacing w:line="240" w:lineRule="auto"/>
        <w:ind w:left="3402" w:hanging="2268"/>
        <w:jc w:val="left"/>
      </w:pPr>
      <w:r w:rsidRPr="00272DCE">
        <w:rPr>
          <w:i/>
        </w:rPr>
        <w:t>Document informel </w:t>
      </w:r>
      <w:r w:rsidRPr="00272DCE">
        <w:t>:</w:t>
      </w:r>
      <w:r w:rsidRPr="00272DCE">
        <w:tab/>
        <w:t>INF.16 (sociétés de classification recommandées ADN)</w:t>
      </w:r>
    </w:p>
    <w:p w14:paraId="29DF9BD4" w14:textId="77777777" w:rsidR="005B7F1A" w:rsidRPr="00272DCE" w:rsidRDefault="005B7F1A" w:rsidP="00E1306B">
      <w:pPr>
        <w:pStyle w:val="SingleTxtG"/>
      </w:pPr>
      <w:r w:rsidRPr="00272DCE">
        <w:t>31.</w:t>
      </w:r>
      <w:r w:rsidRPr="00272DCE">
        <w:tab/>
        <w:t>Le Comité de sécurité a accueilli avec intérêt les informations fournies par les sociétés de classification recommandées ADN au sujet de l</w:t>
      </w:r>
      <w:r w:rsidR="00681934" w:rsidRPr="00272DCE">
        <w:t>’</w:t>
      </w:r>
      <w:r w:rsidRPr="00272DCE">
        <w:t>état d</w:t>
      </w:r>
      <w:r w:rsidR="00681934" w:rsidRPr="00272DCE">
        <w:t>’</w:t>
      </w:r>
      <w:r w:rsidRPr="00272DCE">
        <w:t>avancement de l</w:t>
      </w:r>
      <w:r w:rsidR="00681934" w:rsidRPr="00272DCE">
        <w:t>’</w:t>
      </w:r>
      <w:r w:rsidRPr="00272DCE">
        <w:t>agrément des instruments de chargement.</w:t>
      </w:r>
    </w:p>
    <w:p w14:paraId="0269F068" w14:textId="77777777" w:rsidR="005B7F1A" w:rsidRPr="00272DCE" w:rsidRDefault="005B7F1A" w:rsidP="00E1306B">
      <w:pPr>
        <w:pStyle w:val="SingleTxtG"/>
      </w:pPr>
      <w:r w:rsidRPr="00272DCE">
        <w:t>32.</w:t>
      </w:r>
      <w:r w:rsidRPr="00272DCE">
        <w:tab/>
        <w:t xml:space="preserve">Il a toutefois été relevé que le </w:t>
      </w:r>
      <w:proofErr w:type="spellStart"/>
      <w:r w:rsidRPr="00272DCE">
        <w:t>Registro</w:t>
      </w:r>
      <w:proofErr w:type="spellEnd"/>
      <w:r w:rsidRPr="00272DCE">
        <w:t xml:space="preserve"> Italiano Navale (RINA), le Registre maritime russe, le Registre fluvial russe et le Registre fluvial ukrainien n</w:t>
      </w:r>
      <w:r w:rsidR="00681934" w:rsidRPr="00272DCE">
        <w:t>’</w:t>
      </w:r>
      <w:r w:rsidRPr="00272DCE">
        <w:t>avaient pas communiqué leurs informations.</w:t>
      </w:r>
    </w:p>
    <w:p w14:paraId="353877D6" w14:textId="77777777" w:rsidR="005B7F1A" w:rsidRPr="00272DCE" w:rsidRDefault="005B7F1A" w:rsidP="00E1306B">
      <w:pPr>
        <w:pStyle w:val="SingleTxtG"/>
      </w:pPr>
      <w:r w:rsidRPr="00272DCE">
        <w:t>33.</w:t>
      </w:r>
      <w:r w:rsidRPr="00272DCE">
        <w:tab/>
        <w:t>Le représentant des sociétés de classification recommandées ADN a expliqué que ni le RINA ni le Registre fluvial ukrainien n</w:t>
      </w:r>
      <w:r w:rsidR="00681934" w:rsidRPr="00272DCE">
        <w:t>’</w:t>
      </w:r>
      <w:r w:rsidRPr="00272DCE">
        <w:t>avaient à administrer des bateaux-citernes pour lesquels il était nécessaire de disposer d</w:t>
      </w:r>
      <w:r w:rsidR="00681934" w:rsidRPr="00272DCE">
        <w:t>’</w:t>
      </w:r>
      <w:r w:rsidRPr="00272DCE">
        <w:t>un agrément des instruments de chargement. S</w:t>
      </w:r>
      <w:r w:rsidR="00681934" w:rsidRPr="00272DCE">
        <w:t>’</w:t>
      </w:r>
      <w:r w:rsidRPr="00272DCE">
        <w:t>agissant des deux sociétés de classification de la Fédération de Russie, il a fait observer qu</w:t>
      </w:r>
      <w:r w:rsidR="00681934" w:rsidRPr="00272DCE">
        <w:t>’</w:t>
      </w:r>
      <w:r w:rsidRPr="00272DCE">
        <w:t>elles ne participaient pas aux réunions et qu</w:t>
      </w:r>
      <w:r w:rsidR="00681934" w:rsidRPr="00272DCE">
        <w:t>’</w:t>
      </w:r>
      <w:r w:rsidRPr="00272DCE">
        <w:t>elles n</w:t>
      </w:r>
      <w:r w:rsidR="00681934" w:rsidRPr="00272DCE">
        <w:t>’</w:t>
      </w:r>
      <w:r w:rsidRPr="00272DCE">
        <w:t>avaient communiqué aucune information.</w:t>
      </w:r>
    </w:p>
    <w:p w14:paraId="525A0D1B" w14:textId="77777777" w:rsidR="005B7F1A" w:rsidRPr="00272DCE" w:rsidRDefault="005B7F1A" w:rsidP="00E1306B">
      <w:pPr>
        <w:pStyle w:val="SingleTxtG"/>
      </w:pPr>
      <w:r w:rsidRPr="00272DCE">
        <w:t>34.</w:t>
      </w:r>
      <w:r w:rsidRPr="00272DCE">
        <w:tab/>
        <w:t>Le Comité de sécurité a rappelé les obligations faites aux sociétés de classification recommandées ADN, telles qu</w:t>
      </w:r>
      <w:r w:rsidR="00681934" w:rsidRPr="00272DCE">
        <w:t>’</w:t>
      </w:r>
      <w:r w:rsidRPr="00272DCE">
        <w:t>elles étaient énoncées au chapitre 1.15 de l</w:t>
      </w:r>
      <w:r w:rsidR="00681934" w:rsidRPr="00272DCE">
        <w:t>’</w:t>
      </w:r>
      <w:r w:rsidRPr="00272DCE">
        <w:t>ADN.</w:t>
      </w:r>
    </w:p>
    <w:p w14:paraId="63B5B6C6" w14:textId="77777777" w:rsidR="005B7F1A" w:rsidRPr="00272DCE" w:rsidRDefault="005B7F1A" w:rsidP="00E1306B">
      <w:pPr>
        <w:pStyle w:val="SingleTxtG"/>
      </w:pPr>
      <w:r w:rsidRPr="00272DCE">
        <w:t>35.</w:t>
      </w:r>
      <w:r w:rsidRPr="00272DCE">
        <w:tab/>
        <w:t>Le représentant de la Fédération de Russie a dit que la participation des sociétés de classification recommandées ADN de son pays n</w:t>
      </w:r>
      <w:r w:rsidR="00681934" w:rsidRPr="00272DCE">
        <w:t>’</w:t>
      </w:r>
      <w:r w:rsidRPr="00272DCE">
        <w:t>avait pas été possible durant les dernières années et a annoncé leur intention de participer aux prochaines réunions. S</w:t>
      </w:r>
      <w:r w:rsidR="00681934" w:rsidRPr="00272DCE">
        <w:t>’</w:t>
      </w:r>
      <w:r w:rsidRPr="00272DCE">
        <w:t>agissant des informations relatives à l</w:t>
      </w:r>
      <w:r w:rsidR="00681934" w:rsidRPr="00272DCE">
        <w:t>’</w:t>
      </w:r>
      <w:r w:rsidRPr="00272DCE">
        <w:t>état d</w:t>
      </w:r>
      <w:r w:rsidR="00681934" w:rsidRPr="00272DCE">
        <w:t>’</w:t>
      </w:r>
      <w:r w:rsidRPr="00272DCE">
        <w:t>avancement de l</w:t>
      </w:r>
      <w:r w:rsidR="00681934" w:rsidRPr="00272DCE">
        <w:t>’</w:t>
      </w:r>
      <w:r w:rsidRPr="00272DCE">
        <w:t>agrément des instruments de chargement, il a expliqué que les bateaux russes ne faisaient pas de transport international de marchandises dangereuses par les voies navigables et qu</w:t>
      </w:r>
      <w:r w:rsidR="00681934" w:rsidRPr="00272DCE">
        <w:t>’</w:t>
      </w:r>
      <w:r w:rsidRPr="00272DCE">
        <w:t>ils n</w:t>
      </w:r>
      <w:r w:rsidR="00681934" w:rsidRPr="00272DCE">
        <w:t>’</w:t>
      </w:r>
      <w:r w:rsidRPr="00272DCE">
        <w:t>étaient donc pas soumis aux prescriptions de l</w:t>
      </w:r>
      <w:r w:rsidR="00681934" w:rsidRPr="00272DCE">
        <w:t>’</w:t>
      </w:r>
      <w:r w:rsidRPr="00272DCE">
        <w:t>ADN s</w:t>
      </w:r>
      <w:r w:rsidR="00681934" w:rsidRPr="00272DCE">
        <w:t>’</w:t>
      </w:r>
      <w:r w:rsidRPr="00272DCE">
        <w:t>appliquant auxdits instruments, raison pour laquelle aucune information n</w:t>
      </w:r>
      <w:r w:rsidR="00681934" w:rsidRPr="00272DCE">
        <w:t>’</w:t>
      </w:r>
      <w:r w:rsidRPr="00272DCE">
        <w:t>avait été communiquée. Il a toutefois indiqué que 320 bateaux de navigation intérieure et navires de mer avaient déjà été équipés de moyens de stabilisation conformément aux dispositions de la Convention MARPOL.</w:t>
      </w:r>
    </w:p>
    <w:p w14:paraId="4D31AE55" w14:textId="77777777" w:rsidR="005B7F1A" w:rsidRPr="00272DCE" w:rsidRDefault="00E1306B" w:rsidP="00E1306B">
      <w:pPr>
        <w:pStyle w:val="HChG"/>
      </w:pPr>
      <w:r w:rsidRPr="00272DCE">
        <w:lastRenderedPageBreak/>
        <w:tab/>
      </w:r>
      <w:r w:rsidR="005B7F1A" w:rsidRPr="00272DCE">
        <w:t>VI.</w:t>
      </w:r>
      <w:r w:rsidR="005B7F1A" w:rsidRPr="00272DCE">
        <w:tab/>
        <w:t>Propositions d</w:t>
      </w:r>
      <w:r w:rsidR="00681934" w:rsidRPr="00272DCE">
        <w:t>’</w:t>
      </w:r>
      <w:r w:rsidR="005B7F1A" w:rsidRPr="00272DCE">
        <w:t>amendements au Règlement annexé à l</w:t>
      </w:r>
      <w:r w:rsidR="00681934" w:rsidRPr="00272DCE">
        <w:t>’</w:t>
      </w:r>
      <w:r w:rsidR="005B7F1A" w:rsidRPr="00272DCE">
        <w:t>ADN (point 5 de l</w:t>
      </w:r>
      <w:r w:rsidR="00681934" w:rsidRPr="00272DCE">
        <w:t>’</w:t>
      </w:r>
      <w:r w:rsidR="005B7F1A" w:rsidRPr="00272DCE">
        <w:t>ordre du jour)</w:t>
      </w:r>
    </w:p>
    <w:p w14:paraId="05F9DC02" w14:textId="77777777" w:rsidR="005B7F1A" w:rsidRPr="00272DCE" w:rsidRDefault="005B7F1A" w:rsidP="00E1306B">
      <w:pPr>
        <w:pStyle w:val="H1G"/>
      </w:pPr>
      <w:r w:rsidRPr="00272DCE">
        <w:tab/>
        <w:t>A.</w:t>
      </w:r>
      <w:r w:rsidRPr="00272DCE">
        <w:tab/>
        <w:t>Travaux de la Réunion commune RID/ADR/ADN</w:t>
      </w:r>
    </w:p>
    <w:p w14:paraId="5D79E622" w14:textId="77777777" w:rsidR="001E2E4B" w:rsidRPr="00272DCE" w:rsidRDefault="005B7F1A" w:rsidP="00765E95">
      <w:pPr>
        <w:pStyle w:val="SingleTxtG"/>
        <w:keepNext/>
        <w:tabs>
          <w:tab w:val="left" w:pos="3402"/>
        </w:tabs>
        <w:spacing w:line="240" w:lineRule="auto"/>
        <w:ind w:left="3402" w:hanging="2268"/>
        <w:jc w:val="left"/>
      </w:pPr>
      <w:r w:rsidRPr="00272DCE">
        <w:rPr>
          <w:i/>
        </w:rPr>
        <w:t>Documents </w:t>
      </w:r>
      <w:r w:rsidRPr="00272DCE">
        <w:t xml:space="preserve">: </w:t>
      </w:r>
      <w:r w:rsidRPr="00272DCE">
        <w:tab/>
      </w:r>
      <w:r w:rsidRPr="00272DCE">
        <w:tab/>
        <w:t>ECE/TRANS/WP.15/AC.1/152 (Rapport de la Réunion commune RID/ADR/ADN sur sa session d</w:t>
      </w:r>
      <w:r w:rsidR="00681934" w:rsidRPr="00272DCE">
        <w:t>’</w:t>
      </w:r>
      <w:r w:rsidRPr="00272DCE">
        <w:t>automne 2018)</w:t>
      </w:r>
    </w:p>
    <w:p w14:paraId="287E830A" w14:textId="77777777" w:rsidR="005B7F1A" w:rsidRPr="00272DCE" w:rsidRDefault="005B7F1A" w:rsidP="00765E95">
      <w:pPr>
        <w:pStyle w:val="SingleTxtG"/>
        <w:keepNext/>
        <w:tabs>
          <w:tab w:val="left" w:pos="3402"/>
        </w:tabs>
        <w:spacing w:line="240" w:lineRule="auto"/>
        <w:ind w:left="3402" w:hanging="2268"/>
        <w:jc w:val="left"/>
      </w:pPr>
      <w:r w:rsidRPr="00272DCE">
        <w:tab/>
        <w:t>ECE/TRANS/WP.15/244 (Rapport du Groupe de travail des transports de marchandises dangereuses sur sa 105</w:t>
      </w:r>
      <w:r w:rsidRPr="00272DCE">
        <w:rPr>
          <w:vertAlign w:val="superscript"/>
        </w:rPr>
        <w:t>e</w:t>
      </w:r>
      <w:r w:rsidRPr="00272DCE">
        <w:t> session)</w:t>
      </w:r>
    </w:p>
    <w:p w14:paraId="1875E490" w14:textId="77777777" w:rsidR="005B7F1A" w:rsidRPr="00272DCE" w:rsidRDefault="005B7F1A" w:rsidP="001E2E4B">
      <w:pPr>
        <w:pStyle w:val="SingleTxtG"/>
      </w:pPr>
      <w:r w:rsidRPr="00272DCE">
        <w:t>36.</w:t>
      </w:r>
      <w:r w:rsidRPr="00272DCE">
        <w:tab/>
        <w:t>Le Comité de sécurité a pris note des débats en cours concernant le recrutement d</w:t>
      </w:r>
      <w:r w:rsidR="00681934" w:rsidRPr="00272DCE">
        <w:t>’</w:t>
      </w:r>
      <w:r w:rsidRPr="00272DCE">
        <w:t>un nouveau consultant ayant une expérience des questions relatives aux normes intéressant les travaux de la Réunion commune RID/ADR/ADN, comme indiqué dans le rapport de sa session d</w:t>
      </w:r>
      <w:r w:rsidR="00681934" w:rsidRPr="00272DCE">
        <w:t>’</w:t>
      </w:r>
      <w:r w:rsidRPr="00272DCE">
        <w:t>automne 2018 (document ECE/TRANS/WP.15/AC.1/152, par. 7 à 14). Il a également noté que la Réunion commune examinerait à sa session de printemps 2019 les propositions d</w:t>
      </w:r>
      <w:r w:rsidR="00681934" w:rsidRPr="00272DCE">
        <w:t>’</w:t>
      </w:r>
      <w:r w:rsidRPr="00272DCE">
        <w:t>amendements au RID, à l</w:t>
      </w:r>
      <w:r w:rsidR="00681934" w:rsidRPr="00272DCE">
        <w:t>’</w:t>
      </w:r>
      <w:r w:rsidRPr="00272DCE">
        <w:t>ADR et à l</w:t>
      </w:r>
      <w:r w:rsidR="00681934" w:rsidRPr="00272DCE">
        <w:t>’</w:t>
      </w:r>
      <w:r w:rsidRPr="00272DCE">
        <w:t>ADN découlant des travaux du groupe de travail informel des définitions des termes « risque » et « danger » et que les décisions prises seraient portées à la connaissance du Comité de sécurité de l</w:t>
      </w:r>
      <w:r w:rsidR="00681934" w:rsidRPr="00272DCE">
        <w:t>’</w:t>
      </w:r>
      <w:r w:rsidRPr="00272DCE">
        <w:t>ADN (voir le document ECE/TRANS/WP.15/AC.1/152, par. 47 à 50).</w:t>
      </w:r>
    </w:p>
    <w:p w14:paraId="7DCE1830" w14:textId="77777777" w:rsidR="005B7F1A" w:rsidRPr="00272DCE" w:rsidRDefault="005B7F1A" w:rsidP="001E2E4B">
      <w:pPr>
        <w:pStyle w:val="SingleTxtG"/>
      </w:pPr>
      <w:r w:rsidRPr="00272DCE">
        <w:t>37.</w:t>
      </w:r>
      <w:r w:rsidRPr="00272DCE">
        <w:tab/>
        <w:t>Un membre du secrétariat a signalé qu</w:t>
      </w:r>
      <w:r w:rsidR="00681934" w:rsidRPr="00272DCE">
        <w:t>’</w:t>
      </w:r>
      <w:r w:rsidRPr="00272DCE">
        <w:t>un document informel contenant des propositions d</w:t>
      </w:r>
      <w:r w:rsidR="00681934" w:rsidRPr="00272DCE">
        <w:t>’</w:t>
      </w:r>
      <w:r w:rsidRPr="00272DCE">
        <w:t>amendements adoptées par d</w:t>
      </w:r>
      <w:r w:rsidR="00681934" w:rsidRPr="00272DCE">
        <w:t>’</w:t>
      </w:r>
      <w:r w:rsidRPr="00272DCE">
        <w:t>autres organes intergouvernementaux et devant être prises en compte dans le Règlement annexé à l</w:t>
      </w:r>
      <w:r w:rsidR="00681934" w:rsidRPr="00272DCE">
        <w:t>’</w:t>
      </w:r>
      <w:r w:rsidRPr="00272DCE">
        <w:t>ADN mais n</w:t>
      </w:r>
      <w:r w:rsidR="00681934" w:rsidRPr="00272DCE">
        <w:t>’</w:t>
      </w:r>
      <w:r w:rsidRPr="00272DCE">
        <w:t>ayant pas encore été adoptées serait soumis au Comité de sécurité pour examen à sa trente-cinquième session. Le Comité pourrait ainsi examiner toute question d</w:t>
      </w:r>
      <w:r w:rsidR="00681934" w:rsidRPr="00272DCE">
        <w:t>’</w:t>
      </w:r>
      <w:r w:rsidRPr="00272DCE">
        <w:t>harmonisation à la Réunion commune de septembre 2019. Le document contiendrait les propositions d</w:t>
      </w:r>
      <w:r w:rsidR="00681934" w:rsidRPr="00272DCE">
        <w:t>’</w:t>
      </w:r>
      <w:r w:rsidRPr="00272DCE">
        <w:t>amendements adoptées par le groupe de travail spécial de l</w:t>
      </w:r>
      <w:r w:rsidR="00681934" w:rsidRPr="00272DCE">
        <w:t>’</w:t>
      </w:r>
      <w:r w:rsidRPr="00272DCE">
        <w:t>harmonisation du RID/ADR/ADN avec le Règlement type ONU, le Groupe de travail des transports de marchandises dangereuses (WP.15) et la Réunion commune RID/ADR/ADN.</w:t>
      </w:r>
    </w:p>
    <w:p w14:paraId="6682EC43" w14:textId="77777777" w:rsidR="005B7F1A" w:rsidRPr="00272DCE" w:rsidRDefault="005B7F1A" w:rsidP="001E2E4B">
      <w:pPr>
        <w:pStyle w:val="SingleTxtG"/>
        <w:rPr>
          <w:b/>
        </w:rPr>
      </w:pPr>
      <w:r w:rsidRPr="00272DCE">
        <w:t>38.</w:t>
      </w:r>
      <w:r w:rsidRPr="00272DCE">
        <w:rPr>
          <w:b/>
        </w:rPr>
        <w:tab/>
      </w:r>
      <w:r w:rsidRPr="00272DCE">
        <w:t>Après avoir entendu les explications fournies par le représentant de l</w:t>
      </w:r>
      <w:r w:rsidR="00681934" w:rsidRPr="00272DCE">
        <w:t>’</w:t>
      </w:r>
      <w:r w:rsidRPr="00272DCE">
        <w:t>Union européenne à propos des conséquences de la mise en œuvre du système pour les consultants des normes harmonisées (consultants HAS) et de leur incidence sur les résultats des travaux des organes intergouvernementaux (tels que la Réunion commune RID/ADR/ADN) relatifs aux règlements et accords internationaux contraignants dans les États non membres de l</w:t>
      </w:r>
      <w:r w:rsidR="00681934" w:rsidRPr="00272DCE">
        <w:t>’</w:t>
      </w:r>
      <w:r w:rsidRPr="00272DCE">
        <w:t>UE, le Comité de sécurité a encouragé les délégations à s</w:t>
      </w:r>
      <w:r w:rsidR="00681934" w:rsidRPr="00272DCE">
        <w:t>’</w:t>
      </w:r>
      <w:r w:rsidRPr="00272DCE">
        <w:t>employer à trouver avec l</w:t>
      </w:r>
      <w:r w:rsidR="00681934" w:rsidRPr="00272DCE">
        <w:t>’</w:t>
      </w:r>
      <w:r w:rsidRPr="00272DCE">
        <w:t>Union européenne une solution appropriée le plus vite possible.</w:t>
      </w:r>
    </w:p>
    <w:p w14:paraId="47AEA5E0" w14:textId="77777777" w:rsidR="005B7F1A" w:rsidRPr="00272DCE" w:rsidRDefault="005B7F1A" w:rsidP="001E2E4B">
      <w:pPr>
        <w:pStyle w:val="H1G"/>
      </w:pPr>
      <w:r w:rsidRPr="00272DCE">
        <w:tab/>
        <w:t>B.</w:t>
      </w:r>
      <w:r w:rsidRPr="00272DCE">
        <w:tab/>
        <w:t>Autres propositions d</w:t>
      </w:r>
      <w:r w:rsidR="00681934" w:rsidRPr="00272DCE">
        <w:t>’</w:t>
      </w:r>
      <w:r w:rsidRPr="00272DCE">
        <w:t>amendements</w:t>
      </w:r>
    </w:p>
    <w:p w14:paraId="121E4C8F" w14:textId="77777777" w:rsidR="005B7F1A" w:rsidRPr="00272DCE" w:rsidRDefault="005B7F1A" w:rsidP="001E2E4B">
      <w:pPr>
        <w:pStyle w:val="H23G"/>
      </w:pPr>
      <w:r w:rsidRPr="00272DCE">
        <w:tab/>
        <w:t>1.</w:t>
      </w:r>
      <w:r w:rsidRPr="00272DCE">
        <w:tab/>
        <w:t xml:space="preserve">Dispositions particulières applicables au transport des matières </w:t>
      </w:r>
      <w:proofErr w:type="spellStart"/>
      <w:r w:rsidRPr="00272DCE">
        <w:t>autoréactives</w:t>
      </w:r>
      <w:proofErr w:type="spellEnd"/>
      <w:r w:rsidRPr="00272DCE">
        <w:t xml:space="preserve"> </w:t>
      </w:r>
      <w:r w:rsidR="001E2E4B" w:rsidRPr="00272DCE">
        <w:br/>
      </w:r>
      <w:r w:rsidRPr="00272DCE">
        <w:t>de la</w:t>
      </w:r>
      <w:r w:rsidR="001E2E4B" w:rsidRPr="00272DCE">
        <w:t xml:space="preserve"> </w:t>
      </w:r>
      <w:r w:rsidRPr="00272DCE">
        <w:t xml:space="preserve">classe 4.1, des peroxydes organiques de la classe 5.2 et des matières </w:t>
      </w:r>
      <w:r w:rsidR="001E2E4B" w:rsidRPr="00272DCE">
        <w:br/>
      </w:r>
      <w:r w:rsidRPr="00272DCE">
        <w:t xml:space="preserve">stabilisées par régulation de température (autres que les matières </w:t>
      </w:r>
      <w:r w:rsidR="001E2E4B" w:rsidRPr="00272DCE">
        <w:br/>
      </w:r>
      <w:proofErr w:type="spellStart"/>
      <w:r w:rsidRPr="00272DCE">
        <w:t>autoréactives</w:t>
      </w:r>
      <w:proofErr w:type="spellEnd"/>
      <w:r w:rsidRPr="00272DCE">
        <w:t xml:space="preserve"> ou les peroxydes organiques) : section 7.1.7</w:t>
      </w:r>
    </w:p>
    <w:p w14:paraId="2F6BB6AF" w14:textId="77777777" w:rsidR="005B7F1A" w:rsidRPr="00272DCE" w:rsidRDefault="005B7F1A" w:rsidP="008937C4">
      <w:pPr>
        <w:pStyle w:val="SingleTxtG"/>
        <w:keepNext/>
        <w:tabs>
          <w:tab w:val="left" w:pos="3402"/>
        </w:tabs>
        <w:spacing w:line="240" w:lineRule="auto"/>
        <w:ind w:left="3402" w:hanging="2268"/>
        <w:jc w:val="left"/>
      </w:pPr>
      <w:r w:rsidRPr="00272DCE">
        <w:rPr>
          <w:i/>
        </w:rPr>
        <w:t>Document </w:t>
      </w:r>
      <w:r w:rsidRPr="00272DCE">
        <w:t>:</w:t>
      </w:r>
      <w:r w:rsidRPr="00272DCE">
        <w:tab/>
      </w:r>
      <w:r w:rsidRPr="00272DCE">
        <w:tab/>
        <w:t>ECE/TRANS/WP.15/AC.2/2019/6 (Allemagne)</w:t>
      </w:r>
    </w:p>
    <w:p w14:paraId="524C1BE8" w14:textId="77777777" w:rsidR="005B7F1A" w:rsidRPr="00272DCE" w:rsidRDefault="005B7F1A" w:rsidP="001E2E4B">
      <w:pPr>
        <w:pStyle w:val="SingleTxtG"/>
      </w:pPr>
      <w:r w:rsidRPr="00272DCE">
        <w:t>39.</w:t>
      </w:r>
      <w:r w:rsidRPr="00272DCE">
        <w:tab/>
        <w:t>Le Comité de sécurité a approuvé les obligations proposées dans le tableau du paragraphe 6 pour les 7.1.7.4.1 a), 7.1.7.4.1 d) et 7.1.7.4.3. Aucun accord n</w:t>
      </w:r>
      <w:r w:rsidR="00681934" w:rsidRPr="00272DCE">
        <w:t>’</w:t>
      </w:r>
      <w:r w:rsidRPr="00272DCE">
        <w:t>a pu être obtenu sur les obligations au titre des autres paragraphes, le représentant du CEFIC ayant expliqué que les expéditeurs n</w:t>
      </w:r>
      <w:r w:rsidR="00681934" w:rsidRPr="00272DCE">
        <w:t>’</w:t>
      </w:r>
      <w:r w:rsidRPr="00272DCE">
        <w:t>étaient pas toujours en mesure de les assumer.</w:t>
      </w:r>
    </w:p>
    <w:p w14:paraId="4CD7864C" w14:textId="77777777" w:rsidR="005B7F1A" w:rsidRPr="00272DCE" w:rsidRDefault="005B7F1A" w:rsidP="001E2E4B">
      <w:pPr>
        <w:pStyle w:val="SingleTxtG"/>
      </w:pPr>
      <w:r w:rsidRPr="00272DCE">
        <w:t>40.</w:t>
      </w:r>
      <w:r w:rsidRPr="00272DCE">
        <w:tab/>
        <w:t>Le Comité de sécurité a également approuvé dans leur principe les dispositions proposées pour l</w:t>
      </w:r>
      <w:r w:rsidR="00681934" w:rsidRPr="00272DCE">
        <w:t>’</w:t>
      </w:r>
      <w:r w:rsidRPr="00272DCE">
        <w:t>arrimage au paragraphe 8, mais a estimé que le texte des deux derniers alinéas devait être précisé. Il a en outre approuvé les amendements corollaires à la colonne (11) du tableau A pour les numéros ONU visés, moyennant les corrections suivantes, à savoir l</w:t>
      </w:r>
      <w:r w:rsidR="00681934" w:rsidRPr="00272DCE">
        <w:t>’</w:t>
      </w:r>
      <w:r w:rsidRPr="00272DCE">
        <w:t xml:space="preserve">ajout à la liste de numéros du </w:t>
      </w:r>
      <w:r w:rsidR="00CE4F8E" w:rsidRPr="00272DCE">
        <w:t>No </w:t>
      </w:r>
      <w:r w:rsidRPr="00272DCE">
        <w:t xml:space="preserve">ONU 3235 et le remplacement du </w:t>
      </w:r>
      <w:r w:rsidR="00CE4F8E" w:rsidRPr="00272DCE">
        <w:t>No </w:t>
      </w:r>
      <w:r w:rsidRPr="00272DCE">
        <w:t xml:space="preserve">ONU 3229 par le </w:t>
      </w:r>
      <w:r w:rsidR="00CE4F8E" w:rsidRPr="00272DCE">
        <w:t>No </w:t>
      </w:r>
      <w:r w:rsidRPr="00272DCE">
        <w:t>ONU 3239.</w:t>
      </w:r>
    </w:p>
    <w:p w14:paraId="0347E47C" w14:textId="77777777" w:rsidR="005B7F1A" w:rsidRPr="00272DCE" w:rsidRDefault="00651B62" w:rsidP="001E2E4B">
      <w:pPr>
        <w:pStyle w:val="SingleTxtG"/>
      </w:pPr>
      <w:r w:rsidRPr="00272DCE">
        <w:lastRenderedPageBreak/>
        <w:t>4</w:t>
      </w:r>
      <w:r w:rsidR="005B7F1A" w:rsidRPr="00272DCE">
        <w:t>1.</w:t>
      </w:r>
      <w:r w:rsidR="005B7F1A" w:rsidRPr="00272DCE">
        <w:tab/>
        <w:t>Le Comité de sécurité a invité l</w:t>
      </w:r>
      <w:r w:rsidR="00681934" w:rsidRPr="00272DCE">
        <w:t>’</w:t>
      </w:r>
      <w:r w:rsidR="005B7F1A" w:rsidRPr="00272DCE">
        <w:t>Allemagne à soumettre à la prochaine session de la Réunion commune RID/ADR/ADN un document informel présentant les résultats des débats et sollicitant une interprétation des obligations pour lesquelles le Comité n</w:t>
      </w:r>
      <w:r w:rsidR="00681934" w:rsidRPr="00272DCE">
        <w:t>’</w:t>
      </w:r>
      <w:r w:rsidR="005B7F1A" w:rsidRPr="00272DCE">
        <w:t>était pas parvenu à se mettre d</w:t>
      </w:r>
      <w:r w:rsidR="00681934" w:rsidRPr="00272DCE">
        <w:t>’</w:t>
      </w:r>
      <w:r w:rsidR="005B7F1A" w:rsidRPr="00272DCE">
        <w:t>accord, et à rendre compte de cette démarche au Comité au mois d</w:t>
      </w:r>
      <w:r w:rsidR="00681934" w:rsidRPr="00272DCE">
        <w:t>’</w:t>
      </w:r>
      <w:r w:rsidR="005B7F1A" w:rsidRPr="00272DCE">
        <w:t>août prochain.</w:t>
      </w:r>
    </w:p>
    <w:p w14:paraId="78151879" w14:textId="77777777" w:rsidR="005B7F1A" w:rsidRPr="00272DCE" w:rsidRDefault="005B7F1A" w:rsidP="001E2E4B">
      <w:pPr>
        <w:pStyle w:val="H23G"/>
      </w:pPr>
      <w:r w:rsidRPr="00272DCE">
        <w:tab/>
        <w:t>2.</w:t>
      </w:r>
      <w:r w:rsidRPr="00272DCE">
        <w:tab/>
        <w:t>Clarification du 1.1.3.6.1</w:t>
      </w:r>
    </w:p>
    <w:p w14:paraId="5C58D956" w14:textId="77777777" w:rsidR="005B7F1A" w:rsidRPr="00272DCE" w:rsidRDefault="005B7F1A" w:rsidP="001E2E4B">
      <w:pPr>
        <w:pStyle w:val="SingleTxtG"/>
        <w:keepNext/>
        <w:tabs>
          <w:tab w:val="left" w:pos="3402"/>
        </w:tabs>
        <w:spacing w:line="240" w:lineRule="auto"/>
        <w:ind w:left="3402" w:hanging="2268"/>
        <w:jc w:val="left"/>
        <w:rPr>
          <w:bCs/>
          <w:iCs/>
        </w:rPr>
      </w:pPr>
      <w:r w:rsidRPr="00272DCE">
        <w:rPr>
          <w:i/>
        </w:rPr>
        <w:t>Document </w:t>
      </w:r>
      <w:r w:rsidRPr="00272DCE">
        <w:t>:</w:t>
      </w:r>
      <w:r w:rsidRPr="00272DCE">
        <w:tab/>
      </w:r>
      <w:r w:rsidRPr="00272DCE">
        <w:tab/>
        <w:t>ECE/TRANS/WP.15/AC.2/2019/10 (UENF et OEB)</w:t>
      </w:r>
    </w:p>
    <w:p w14:paraId="5796A111" w14:textId="77777777" w:rsidR="005B7F1A" w:rsidRPr="00272DCE" w:rsidRDefault="005B7F1A" w:rsidP="001E2E4B">
      <w:pPr>
        <w:pStyle w:val="SingleTxtG"/>
      </w:pPr>
      <w:r w:rsidRPr="00272DCE">
        <w:t>42.</w:t>
      </w:r>
      <w:r w:rsidRPr="00272DCE">
        <w:tab/>
        <w:t>La proposition énoncée au paragraphe 5 a été adoptée moyennant une correction concernant les quantités exemptées pour les matières de la classe 7 (voir annexe I).</w:t>
      </w:r>
    </w:p>
    <w:p w14:paraId="48ADE76F" w14:textId="77777777" w:rsidR="005B7F1A" w:rsidRPr="00272DCE" w:rsidRDefault="005B7F1A" w:rsidP="001E2E4B">
      <w:pPr>
        <w:pStyle w:val="H23G"/>
      </w:pPr>
      <w:r w:rsidRPr="00272DCE">
        <w:tab/>
        <w:t>3.</w:t>
      </w:r>
      <w:r w:rsidRPr="00272DCE">
        <w:tab/>
        <w:t>Dispositifs d</w:t>
      </w:r>
      <w:r w:rsidR="00681934" w:rsidRPr="00272DCE">
        <w:t>’</w:t>
      </w:r>
      <w:r w:rsidRPr="00272DCE">
        <w:t>extinction d</w:t>
      </w:r>
      <w:r w:rsidR="00681934" w:rsidRPr="00272DCE">
        <w:t>’</w:t>
      </w:r>
      <w:r w:rsidRPr="00272DCE">
        <w:t>incendie (9.1.0.40.1)</w:t>
      </w:r>
    </w:p>
    <w:p w14:paraId="52947A7E" w14:textId="77777777" w:rsidR="005B7F1A" w:rsidRPr="00272DCE" w:rsidRDefault="005B7F1A" w:rsidP="001E2E4B">
      <w:pPr>
        <w:pStyle w:val="SingleTxtG"/>
        <w:keepNext/>
        <w:tabs>
          <w:tab w:val="left" w:pos="3402"/>
        </w:tabs>
        <w:spacing w:line="240" w:lineRule="auto"/>
        <w:ind w:left="3402" w:hanging="2268"/>
        <w:jc w:val="left"/>
      </w:pPr>
      <w:r w:rsidRPr="00272DCE">
        <w:rPr>
          <w:i/>
        </w:rPr>
        <w:t>Document </w:t>
      </w:r>
      <w:r w:rsidRPr="00272DCE">
        <w:t>:</w:t>
      </w:r>
      <w:r w:rsidRPr="00272DCE">
        <w:tab/>
      </w:r>
      <w:r w:rsidRPr="00272DCE">
        <w:tab/>
        <w:t>ECE/TRANS/WP.15/AC.2/2019/11 (Belgique)</w:t>
      </w:r>
    </w:p>
    <w:p w14:paraId="252C2691" w14:textId="77777777" w:rsidR="005B7F1A" w:rsidRPr="00272DCE" w:rsidRDefault="005B7F1A" w:rsidP="001E2E4B">
      <w:pPr>
        <w:pStyle w:val="SingleTxtG"/>
      </w:pPr>
      <w:r w:rsidRPr="00272DCE">
        <w:t>43.</w:t>
      </w:r>
      <w:r w:rsidRPr="00272DCE">
        <w:tab/>
        <w:t>La proposition n</w:t>
      </w:r>
      <w:r w:rsidR="00681934" w:rsidRPr="00272DCE">
        <w:t>’</w:t>
      </w:r>
      <w:r w:rsidRPr="00272DCE">
        <w:t>a pas été adoptée. Le Comité de sécurité n</w:t>
      </w:r>
      <w:r w:rsidR="00681934" w:rsidRPr="00272DCE">
        <w:t>’</w:t>
      </w:r>
      <w:r w:rsidRPr="00272DCE">
        <w:t>a pas souhaité supprimer les dispositions relatives à l</w:t>
      </w:r>
      <w:r w:rsidR="00681934" w:rsidRPr="00272DCE">
        <w:t>’</w:t>
      </w:r>
      <w:r w:rsidRPr="00272DCE">
        <w:t>emplacement du dispositif d</w:t>
      </w:r>
      <w:r w:rsidR="00681934" w:rsidRPr="00272DCE">
        <w:t>’</w:t>
      </w:r>
      <w:r w:rsidRPr="00272DCE">
        <w:t>activation du système d</w:t>
      </w:r>
      <w:r w:rsidR="00681934" w:rsidRPr="00272DCE">
        <w:t>’</w:t>
      </w:r>
      <w:r w:rsidRPr="00272DCE">
        <w:t>alimentation en eau sans avoir analysé plus en détail les conséquences de cette décision du point de vue de la sécurité. Les sociétés de classification recommandées ADN ont été invitées à donner des informations sur les pratiques actuelles concernant l</w:t>
      </w:r>
      <w:r w:rsidR="00681934" w:rsidRPr="00272DCE">
        <w:t>’</w:t>
      </w:r>
      <w:r w:rsidRPr="00272DCE">
        <w:t>emplacement de l</w:t>
      </w:r>
      <w:r w:rsidR="00681934" w:rsidRPr="00272DCE">
        <w:t>’</w:t>
      </w:r>
      <w:r w:rsidRPr="00272DCE">
        <w:t>équipement d</w:t>
      </w:r>
      <w:r w:rsidR="00681934" w:rsidRPr="00272DCE">
        <w:t>’</w:t>
      </w:r>
      <w:r w:rsidRPr="00272DCE">
        <w:t>extinction d</w:t>
      </w:r>
      <w:r w:rsidR="00681934" w:rsidRPr="00272DCE">
        <w:t>’</w:t>
      </w:r>
      <w:r w:rsidRPr="00272DCE">
        <w:t>incendie sur les bateaux à marchandises sèches, de façon à permettre au Comité de prendre une décision avisée sur la question.</w:t>
      </w:r>
    </w:p>
    <w:p w14:paraId="29D046A5" w14:textId="77777777" w:rsidR="005B7F1A" w:rsidRPr="00272DCE" w:rsidRDefault="005B7F1A" w:rsidP="001E2E4B">
      <w:pPr>
        <w:pStyle w:val="H23G"/>
      </w:pPr>
      <w:r w:rsidRPr="00272DCE">
        <w:tab/>
        <w:t>4.</w:t>
      </w:r>
      <w:r w:rsidRPr="00272DCE">
        <w:tab/>
        <w:t>Matériaux de construction (9.1.0.0)</w:t>
      </w:r>
    </w:p>
    <w:p w14:paraId="3632E3BC" w14:textId="77777777" w:rsidR="005B7F1A" w:rsidRPr="00272DCE" w:rsidRDefault="005B7F1A" w:rsidP="001E2E4B">
      <w:pPr>
        <w:pStyle w:val="SingleTxtG"/>
        <w:keepNext/>
        <w:tabs>
          <w:tab w:val="left" w:pos="3402"/>
        </w:tabs>
        <w:spacing w:line="240" w:lineRule="auto"/>
        <w:ind w:left="3402" w:hanging="2268"/>
        <w:jc w:val="left"/>
      </w:pPr>
      <w:r w:rsidRPr="00272DCE">
        <w:rPr>
          <w:i/>
        </w:rPr>
        <w:t>Document </w:t>
      </w:r>
      <w:r w:rsidRPr="00272DCE">
        <w:t>:</w:t>
      </w:r>
      <w:r w:rsidRPr="00272DCE">
        <w:tab/>
      </w:r>
      <w:r w:rsidRPr="00272DCE">
        <w:tab/>
        <w:t>ECE/TRANS/WP.15/AC.2/2019/12 (Belgique)</w:t>
      </w:r>
    </w:p>
    <w:p w14:paraId="59577B30" w14:textId="77777777" w:rsidR="005B7F1A" w:rsidRPr="00272DCE" w:rsidRDefault="005B7F1A" w:rsidP="001E2E4B">
      <w:pPr>
        <w:pStyle w:val="SingleTxtG"/>
      </w:pPr>
      <w:r w:rsidRPr="00272DCE">
        <w:t>44.</w:t>
      </w:r>
      <w:r w:rsidRPr="00272DCE">
        <w:tab/>
        <w:t xml:space="preserve">Le représentant de la Belgique a retiré le document. </w:t>
      </w:r>
    </w:p>
    <w:p w14:paraId="0C1DBCC1" w14:textId="77777777" w:rsidR="005B7F1A" w:rsidRPr="00272DCE" w:rsidRDefault="001E2E4B" w:rsidP="001E2E4B">
      <w:pPr>
        <w:pStyle w:val="H23G"/>
      </w:pPr>
      <w:r w:rsidRPr="00272DCE">
        <w:tab/>
      </w:r>
      <w:r w:rsidR="005B7F1A" w:rsidRPr="00272DCE">
        <w:t>5.</w:t>
      </w:r>
      <w:r w:rsidR="005B7F1A" w:rsidRPr="00272DCE">
        <w:tab/>
        <w:t>Avitaillement en gaz naturel liquéfié (GNL)</w:t>
      </w:r>
    </w:p>
    <w:p w14:paraId="6BDEE332" w14:textId="77777777" w:rsidR="005B7F1A" w:rsidRPr="00272DCE" w:rsidRDefault="005B7F1A" w:rsidP="001E2E4B">
      <w:pPr>
        <w:pStyle w:val="SingleTxtG"/>
        <w:keepNext/>
        <w:tabs>
          <w:tab w:val="left" w:pos="3402"/>
        </w:tabs>
        <w:spacing w:line="240" w:lineRule="auto"/>
        <w:ind w:left="3402" w:hanging="2268"/>
        <w:jc w:val="left"/>
      </w:pPr>
      <w:r w:rsidRPr="00272DCE">
        <w:rPr>
          <w:i/>
          <w:iCs/>
        </w:rPr>
        <w:t>Document </w:t>
      </w:r>
      <w:r w:rsidRPr="00272DCE">
        <w:t>:</w:t>
      </w:r>
      <w:r w:rsidRPr="00272DCE">
        <w:tab/>
      </w:r>
      <w:r w:rsidRPr="00272DCE">
        <w:tab/>
        <w:t>ECE/TRANS/WP.15/AC.2/2019/15 (Pays-Bas)</w:t>
      </w:r>
    </w:p>
    <w:p w14:paraId="60BEE003" w14:textId="77777777" w:rsidR="005B7F1A" w:rsidRPr="00272DCE" w:rsidRDefault="005B7F1A" w:rsidP="001E2E4B">
      <w:pPr>
        <w:pStyle w:val="SingleTxtG"/>
      </w:pPr>
      <w:r w:rsidRPr="00272DCE">
        <w:t>45.</w:t>
      </w:r>
      <w:r w:rsidRPr="00272DCE">
        <w:tab/>
        <w:t>Le Comité de sécurité a estimé que, l</w:t>
      </w:r>
      <w:r w:rsidR="00681934" w:rsidRPr="00272DCE">
        <w:t>’</w:t>
      </w:r>
      <w:r w:rsidRPr="00272DCE">
        <w:t>avitaillement en GNL ne pouvant être</w:t>
      </w:r>
      <w:r w:rsidR="004F6471" w:rsidRPr="00272DCE">
        <w:t xml:space="preserve"> </w:t>
      </w:r>
      <w:r w:rsidRPr="00272DCE">
        <w:t>ni comme une opération de chargement ni comme une opération de déchargement, l</w:t>
      </w:r>
      <w:r w:rsidR="00681934" w:rsidRPr="00272DCE">
        <w:t>’</w:t>
      </w:r>
      <w:r w:rsidRPr="00272DCE">
        <w:t>amendement au 7.2.4.7.2 tel que proposé au paragraphe 4 du document n</w:t>
      </w:r>
      <w:r w:rsidR="00681934" w:rsidRPr="00272DCE">
        <w:t>’</w:t>
      </w:r>
      <w:r w:rsidRPr="00272DCE">
        <w:t>était pas nécessaire. On a fait observer que l</w:t>
      </w:r>
      <w:r w:rsidR="00681934" w:rsidRPr="00272DCE">
        <w:t>’</w:t>
      </w:r>
      <w:r w:rsidRPr="00272DCE">
        <w:t>avitaillement en GNL devrait se faire dans le respect de la</w:t>
      </w:r>
      <w:r w:rsidR="004F6471" w:rsidRPr="00272DCE">
        <w:t xml:space="preserve"> </w:t>
      </w:r>
      <w:r w:rsidRPr="00272DCE">
        <w:t>législation locale, régionale ou nationale en vigueur, par exemple la réglementation portuaire. Compte tenu des observations qui avaient été faites, le représentant des Pays-Bas a retiré sa proposition contenue dans le paragraphe 4.</w:t>
      </w:r>
    </w:p>
    <w:p w14:paraId="15A4ADD5" w14:textId="77777777" w:rsidR="005B7F1A" w:rsidRPr="00272DCE" w:rsidRDefault="005B7F1A" w:rsidP="001E2E4B">
      <w:pPr>
        <w:pStyle w:val="SingleTxtG"/>
      </w:pPr>
      <w:r w:rsidRPr="00272DCE">
        <w:t>46.</w:t>
      </w:r>
      <w:r w:rsidRPr="00272DCE">
        <w:tab/>
        <w:t>La proposition d</w:t>
      </w:r>
      <w:r w:rsidR="00681934" w:rsidRPr="00272DCE">
        <w:t>’</w:t>
      </w:r>
      <w:r w:rsidRPr="00272DCE">
        <w:t>amendement au 7.2.4.17.3 a été adoptée moyennant quelques modifications (voir annexe I).</w:t>
      </w:r>
    </w:p>
    <w:p w14:paraId="69AD7694" w14:textId="77777777" w:rsidR="005B7F1A" w:rsidRPr="00272DCE" w:rsidRDefault="005B7F1A" w:rsidP="001E2E4B">
      <w:pPr>
        <w:pStyle w:val="SingleTxtG"/>
      </w:pPr>
      <w:r w:rsidRPr="00272DCE">
        <w:t>47.</w:t>
      </w:r>
      <w:r w:rsidRPr="00272DCE">
        <w:tab/>
        <w:t>À l</w:t>
      </w:r>
      <w:r w:rsidR="00681934" w:rsidRPr="00272DCE">
        <w:t>’</w:t>
      </w:r>
      <w:r w:rsidRPr="00272DCE">
        <w:t>issue d</w:t>
      </w:r>
      <w:r w:rsidR="00681934" w:rsidRPr="00272DCE">
        <w:t>’</w:t>
      </w:r>
      <w:r w:rsidRPr="00272DCE">
        <w:t>un échange de vues sur les propositions formulées aux paragraphes 6 et 7, le Comité de sécurité a invité le représentant des Pays-Bas à tenir compte des observations qui avaient été faites et à soumettre une proposition révisée à la prochaine session.</w:t>
      </w:r>
    </w:p>
    <w:p w14:paraId="3EAB006E" w14:textId="77777777" w:rsidR="005B7F1A" w:rsidRPr="00272DCE" w:rsidRDefault="005B7F1A" w:rsidP="00CF225E">
      <w:pPr>
        <w:pStyle w:val="H23G"/>
      </w:pPr>
      <w:r w:rsidRPr="00272DCE">
        <w:tab/>
        <w:t>6.</w:t>
      </w:r>
      <w:r w:rsidRPr="00272DCE">
        <w:tab/>
        <w:t>Amendements et corrections au Règlement annexé à l</w:t>
      </w:r>
      <w:r w:rsidR="00681934" w:rsidRPr="00272DCE">
        <w:t>’</w:t>
      </w:r>
      <w:r w:rsidRPr="00272DCE">
        <w:t>ADN</w:t>
      </w:r>
    </w:p>
    <w:p w14:paraId="413C4EAF" w14:textId="77777777" w:rsidR="005B7F1A" w:rsidRPr="00272DCE" w:rsidRDefault="005B7F1A" w:rsidP="00CF225E">
      <w:pPr>
        <w:pStyle w:val="SingleTxtG"/>
        <w:keepNext/>
        <w:tabs>
          <w:tab w:val="left" w:pos="3402"/>
        </w:tabs>
        <w:spacing w:line="240" w:lineRule="auto"/>
        <w:ind w:left="3402" w:hanging="2268"/>
        <w:jc w:val="left"/>
      </w:pPr>
      <w:r w:rsidRPr="00272DCE">
        <w:rPr>
          <w:i/>
          <w:iCs/>
        </w:rPr>
        <w:t>Document </w:t>
      </w:r>
      <w:r w:rsidRPr="00272DCE">
        <w:t>:</w:t>
      </w:r>
      <w:r w:rsidRPr="00272DCE">
        <w:tab/>
      </w:r>
      <w:r w:rsidRPr="00272DCE">
        <w:tab/>
        <w:t>ECE/TRANS/WP.15/AC.2/2019/17 (secrétariat)</w:t>
      </w:r>
    </w:p>
    <w:p w14:paraId="41A3576E" w14:textId="77777777" w:rsidR="005B7F1A" w:rsidRPr="00272DCE" w:rsidRDefault="005B7F1A" w:rsidP="00CF225E">
      <w:pPr>
        <w:pStyle w:val="SingleTxtG"/>
      </w:pPr>
      <w:r w:rsidRPr="00272DCE">
        <w:t>48.</w:t>
      </w:r>
      <w:r w:rsidRPr="00272DCE">
        <w:tab/>
        <w:t>Le Comité de sécurité a adopté les amendements et corrections corollaires concernant le 3.2.3.1, le 7.2.3.7, la définition de « </w:t>
      </w:r>
      <w:proofErr w:type="spellStart"/>
      <w:r w:rsidRPr="00272DCE">
        <w:t>Slops</w:t>
      </w:r>
      <w:proofErr w:type="spellEnd"/>
      <w:r w:rsidRPr="00272DCE">
        <w:t> » et le 1.8.3.3 (sixième et neuvième tirets), ainsi qu</w:t>
      </w:r>
      <w:r w:rsidR="00681934" w:rsidRPr="00272DCE">
        <w:t>’</w:t>
      </w:r>
      <w:r w:rsidRPr="00272DCE">
        <w:t>une correction au texte en anglais du 3.2.4.3 B visant à l</w:t>
      </w:r>
      <w:r w:rsidR="00681934" w:rsidRPr="00272DCE">
        <w:t>’</w:t>
      </w:r>
      <w:r w:rsidRPr="00272DCE">
        <w:t>aligner sur les autres versions linguistiques (voir annexes I et II).</w:t>
      </w:r>
    </w:p>
    <w:p w14:paraId="325DF838" w14:textId="77777777" w:rsidR="005B7F1A" w:rsidRPr="00272DCE" w:rsidRDefault="005B7F1A" w:rsidP="00CF225E">
      <w:pPr>
        <w:pStyle w:val="SingleTxtG"/>
      </w:pPr>
      <w:r w:rsidRPr="00272DCE">
        <w:t>49.</w:t>
      </w:r>
      <w:r w:rsidRPr="00272DCE">
        <w:tab/>
        <w:t>L</w:t>
      </w:r>
      <w:r w:rsidR="00681934" w:rsidRPr="00272DCE">
        <w:t>’</w:t>
      </w:r>
      <w:r w:rsidRPr="00272DCE">
        <w:t xml:space="preserve">examen de la question soulevée au paragraphe 7 du document a été confié au groupe de travail informel des matières. </w:t>
      </w:r>
    </w:p>
    <w:p w14:paraId="5A084D57" w14:textId="77777777" w:rsidR="005B7F1A" w:rsidRPr="00272DCE" w:rsidRDefault="005B7F1A" w:rsidP="00CF225E">
      <w:pPr>
        <w:pStyle w:val="SingleTxtG"/>
      </w:pPr>
      <w:r w:rsidRPr="00272DCE">
        <w:t>50.</w:t>
      </w:r>
      <w:r w:rsidRPr="00272DCE">
        <w:tab/>
        <w:t>Faisant remarquer que le Comité de sécurité avait souvent à s</w:t>
      </w:r>
      <w:r w:rsidR="00681934" w:rsidRPr="00272DCE">
        <w:t>’</w:t>
      </w:r>
      <w:r w:rsidRPr="00272DCE">
        <w:t>occuper de propositions de corrections visant à éliminer des divergences entre les différentes versions linguistiques, le Président s</w:t>
      </w:r>
      <w:r w:rsidR="00681934" w:rsidRPr="00272DCE">
        <w:t>’</w:t>
      </w:r>
      <w:r w:rsidRPr="00272DCE">
        <w:t>est déclaré disposé à élaborer une proposition afin que ces questions soient mieux traitées à l</w:t>
      </w:r>
      <w:r w:rsidR="00681934" w:rsidRPr="00272DCE">
        <w:t>’</w:t>
      </w:r>
      <w:r w:rsidRPr="00272DCE">
        <w:t>avenir.</w:t>
      </w:r>
    </w:p>
    <w:p w14:paraId="0B8BEA03" w14:textId="77777777" w:rsidR="005B7F1A" w:rsidRPr="00272DCE" w:rsidRDefault="005B7F1A" w:rsidP="00CF225E">
      <w:pPr>
        <w:pStyle w:val="H23G"/>
      </w:pPr>
      <w:r w:rsidRPr="00272DCE">
        <w:lastRenderedPageBreak/>
        <w:tab/>
        <w:t>7.</w:t>
      </w:r>
      <w:r w:rsidRPr="00272DCE">
        <w:tab/>
        <w:t xml:space="preserve">Tableau C : </w:t>
      </w:r>
      <w:r w:rsidR="000C3975" w:rsidRPr="00272DCE">
        <w:rPr>
          <w:rFonts w:eastAsia="MS Mincho"/>
        </w:rPr>
        <w:t>No </w:t>
      </w:r>
      <w:r w:rsidRPr="00272DCE">
        <w:t>ONU 3295</w:t>
      </w:r>
    </w:p>
    <w:p w14:paraId="119D1BAE" w14:textId="77777777" w:rsidR="005B7F1A" w:rsidRPr="00272DCE" w:rsidRDefault="005B7F1A" w:rsidP="00CF225E">
      <w:pPr>
        <w:pStyle w:val="SingleTxtG"/>
        <w:keepNext/>
        <w:tabs>
          <w:tab w:val="left" w:pos="3402"/>
        </w:tabs>
        <w:spacing w:line="240" w:lineRule="auto"/>
        <w:ind w:left="3402" w:hanging="2268"/>
        <w:jc w:val="left"/>
      </w:pPr>
      <w:r w:rsidRPr="00272DCE">
        <w:rPr>
          <w:i/>
          <w:iCs/>
        </w:rPr>
        <w:t>Document informel</w:t>
      </w:r>
      <w:r w:rsidRPr="00272DCE">
        <w:t> :</w:t>
      </w:r>
      <w:r w:rsidRPr="00272DCE">
        <w:tab/>
      </w:r>
      <w:r w:rsidRPr="00272DCE">
        <w:tab/>
        <w:t>INF.2 (Allemagne)</w:t>
      </w:r>
    </w:p>
    <w:p w14:paraId="533BAA97" w14:textId="77777777" w:rsidR="005B7F1A" w:rsidRPr="00272DCE" w:rsidRDefault="005B7F1A" w:rsidP="00CF225E">
      <w:pPr>
        <w:pStyle w:val="SingleTxtG"/>
      </w:pPr>
      <w:r w:rsidRPr="00272DCE">
        <w:t>51.</w:t>
      </w:r>
      <w:r w:rsidRPr="00272DCE">
        <w:tab/>
        <w:t>Le Comité de sécurité a confié l</w:t>
      </w:r>
      <w:r w:rsidR="00681934" w:rsidRPr="00272DCE">
        <w:t>’</w:t>
      </w:r>
      <w:r w:rsidRPr="00272DCE">
        <w:t xml:space="preserve">examen de cette proposition au groupe de travail informel des matières. </w:t>
      </w:r>
    </w:p>
    <w:p w14:paraId="330C4E87" w14:textId="77777777" w:rsidR="005B7F1A" w:rsidRPr="00272DCE" w:rsidRDefault="00CF225E" w:rsidP="00CF225E">
      <w:pPr>
        <w:pStyle w:val="H23G"/>
      </w:pPr>
      <w:r w:rsidRPr="00272DCE">
        <w:tab/>
      </w:r>
      <w:r w:rsidR="005B7F1A" w:rsidRPr="00272DCE">
        <w:t>8.</w:t>
      </w:r>
      <w:r w:rsidRPr="00272DCE">
        <w:tab/>
      </w:r>
      <w:r w:rsidR="005B7F1A" w:rsidRPr="00272DCE">
        <w:t>Propositions de modification des renvois au CEVNI dans l</w:t>
      </w:r>
      <w:r w:rsidR="00681934" w:rsidRPr="00272DCE">
        <w:t>’</w:t>
      </w:r>
      <w:r w:rsidR="005B7F1A" w:rsidRPr="00272DCE">
        <w:t>ADN</w:t>
      </w:r>
    </w:p>
    <w:p w14:paraId="7A2D6B8E" w14:textId="77777777" w:rsidR="005B7F1A" w:rsidRPr="00272DCE" w:rsidRDefault="005B7F1A" w:rsidP="00CF225E">
      <w:pPr>
        <w:pStyle w:val="SingleTxtG"/>
        <w:keepNext/>
        <w:tabs>
          <w:tab w:val="left" w:pos="3402"/>
        </w:tabs>
        <w:spacing w:line="240" w:lineRule="auto"/>
        <w:ind w:left="3402" w:hanging="2268"/>
        <w:jc w:val="left"/>
      </w:pPr>
      <w:r w:rsidRPr="00272DCE">
        <w:t>Document informel :</w:t>
      </w:r>
      <w:r w:rsidRPr="00272DCE">
        <w:tab/>
        <w:t>INF.5 (CCNR)</w:t>
      </w:r>
    </w:p>
    <w:p w14:paraId="3B84109C" w14:textId="77777777" w:rsidR="005B7F1A" w:rsidRPr="00272DCE" w:rsidRDefault="005B7F1A" w:rsidP="00CF225E">
      <w:pPr>
        <w:pStyle w:val="SingleTxtG"/>
      </w:pPr>
      <w:r w:rsidRPr="00272DCE">
        <w:t>52.</w:t>
      </w:r>
      <w:r w:rsidRPr="00272DCE">
        <w:tab/>
        <w:t>Le Comité de sécurité a estimé qu</w:t>
      </w:r>
      <w:r w:rsidR="00681934" w:rsidRPr="00272DCE">
        <w:t>’</w:t>
      </w:r>
      <w:r w:rsidRPr="00272DCE">
        <w:t>il lui fallait davantage de temps pour évaluer les conséquences des amendements proposés et a invité le secrétariat de la CCNR à envisager de soumettre un document officiel à la prochaine session.</w:t>
      </w:r>
    </w:p>
    <w:p w14:paraId="547E0B69" w14:textId="77777777" w:rsidR="005B7F1A" w:rsidRPr="00272DCE" w:rsidRDefault="005B7F1A" w:rsidP="00CF225E">
      <w:pPr>
        <w:pStyle w:val="H23G"/>
      </w:pPr>
      <w:r w:rsidRPr="00272DCE">
        <w:tab/>
        <w:t>9.</w:t>
      </w:r>
      <w:r w:rsidRPr="00272DCE">
        <w:tab/>
        <w:t>Correction relative aux exemples de types de bateaux au 1.2.1</w:t>
      </w:r>
    </w:p>
    <w:p w14:paraId="028893B7" w14:textId="7B82BA1E" w:rsidR="005B7F1A" w:rsidRPr="00272DCE" w:rsidRDefault="005B7F1A" w:rsidP="00CF225E">
      <w:pPr>
        <w:pStyle w:val="SingleTxtG"/>
        <w:keepNext/>
        <w:tabs>
          <w:tab w:val="left" w:pos="3402"/>
        </w:tabs>
        <w:spacing w:line="240" w:lineRule="auto"/>
        <w:ind w:left="3402" w:hanging="2268"/>
        <w:jc w:val="left"/>
      </w:pPr>
      <w:r w:rsidRPr="00272DCE">
        <w:rPr>
          <w:i/>
        </w:rPr>
        <w:t>Document informel </w:t>
      </w:r>
      <w:r w:rsidRPr="00272DCE">
        <w:t>:</w:t>
      </w:r>
      <w:r w:rsidRPr="00272DCE">
        <w:tab/>
        <w:t>INF.6 (</w:t>
      </w:r>
      <w:r w:rsidR="00FA7BD9" w:rsidRPr="00272DCE">
        <w:t>Autriche)</w:t>
      </w:r>
    </w:p>
    <w:p w14:paraId="4C977B6B" w14:textId="77777777" w:rsidR="005B7F1A" w:rsidRPr="00272DCE" w:rsidRDefault="005B7F1A" w:rsidP="00CF225E">
      <w:pPr>
        <w:pStyle w:val="SingleTxtG"/>
      </w:pPr>
      <w:r w:rsidRPr="00272DCE">
        <w:t>53.</w:t>
      </w:r>
      <w:r w:rsidRPr="00272DCE">
        <w:tab/>
        <w:t>Il a été noté que les bateaux de type C étaient des bateaux à double coque et que les citernes à cargaison de type 3 n</w:t>
      </w:r>
      <w:r w:rsidR="00681934" w:rsidRPr="00272DCE">
        <w:t>’</w:t>
      </w:r>
      <w:r w:rsidRPr="00272DCE">
        <w:t>étaient pas utilisées sur les bateaux de type C. Par conséquent, le Comité de sécurité a estimé que la correction proposée ne se justifiait pas et ne l</w:t>
      </w:r>
      <w:r w:rsidR="00681934" w:rsidRPr="00272DCE">
        <w:t>’</w:t>
      </w:r>
      <w:r w:rsidRPr="00272DCE">
        <w:t>a pas adoptée.</w:t>
      </w:r>
    </w:p>
    <w:p w14:paraId="6A668A98" w14:textId="77777777" w:rsidR="005B7F1A" w:rsidRPr="00272DCE" w:rsidRDefault="005B7F1A" w:rsidP="00CF225E">
      <w:pPr>
        <w:pStyle w:val="H23G"/>
      </w:pPr>
      <w:r w:rsidRPr="00272DCE">
        <w:tab/>
        <w:t>10.</w:t>
      </w:r>
      <w:r w:rsidRPr="00272DCE">
        <w:tab/>
        <w:t>Mise à jour de la liste de contrôle conformément au 1.8.1.2.1</w:t>
      </w:r>
    </w:p>
    <w:p w14:paraId="7ADFC813" w14:textId="612B1286" w:rsidR="005B7F1A" w:rsidRPr="00272DCE" w:rsidRDefault="005B7F1A" w:rsidP="00CF225E">
      <w:pPr>
        <w:pStyle w:val="SingleTxtG"/>
        <w:keepNext/>
        <w:tabs>
          <w:tab w:val="left" w:pos="3402"/>
        </w:tabs>
        <w:spacing w:line="240" w:lineRule="auto"/>
        <w:ind w:left="3402" w:hanging="2268"/>
        <w:jc w:val="left"/>
      </w:pPr>
      <w:r w:rsidRPr="00272DCE">
        <w:rPr>
          <w:i/>
        </w:rPr>
        <w:t>Document informel </w:t>
      </w:r>
      <w:r w:rsidRPr="00272DCE">
        <w:t>:</w:t>
      </w:r>
      <w:r w:rsidRPr="00272DCE">
        <w:tab/>
        <w:t>INF.7 (Autriche)</w:t>
      </w:r>
    </w:p>
    <w:p w14:paraId="760B7F74" w14:textId="7D531C2C" w:rsidR="005B7F1A" w:rsidRPr="00272DCE" w:rsidRDefault="005B7F1A" w:rsidP="00CF225E">
      <w:pPr>
        <w:pStyle w:val="SingleTxtG"/>
      </w:pPr>
      <w:r w:rsidRPr="00272DCE">
        <w:t>54.</w:t>
      </w:r>
      <w:r w:rsidRPr="00272DCE">
        <w:tab/>
        <w:t>Le Comité de sécurité a convenu avec le représentant de l</w:t>
      </w:r>
      <w:r w:rsidR="00681934" w:rsidRPr="00272DCE">
        <w:t>’</w:t>
      </w:r>
      <w:r w:rsidRPr="00272DCE">
        <w:t>Autriche qu</w:t>
      </w:r>
      <w:r w:rsidR="00681934" w:rsidRPr="00272DCE">
        <w:t>’</w:t>
      </w:r>
      <w:r w:rsidRPr="00272DCE">
        <w:t>il était nécessaire de mettre à jour la liste de contrôle afin de tenir compte des dispositions de l</w:t>
      </w:r>
      <w:r w:rsidR="00681934" w:rsidRPr="00272DCE">
        <w:t>’</w:t>
      </w:r>
      <w:r w:rsidRPr="00272DCE">
        <w:t>édition 2019 de l</w:t>
      </w:r>
      <w:r w:rsidR="00681934" w:rsidRPr="00272DCE">
        <w:t>’</w:t>
      </w:r>
      <w:r w:rsidRPr="00272DCE">
        <w:t>ADN. Les représentants de l</w:t>
      </w:r>
      <w:r w:rsidR="00681934" w:rsidRPr="00272DCE">
        <w:t>’</w:t>
      </w:r>
      <w:r w:rsidRPr="00272DCE">
        <w:t>Allemagne, des Pays-Bas et de la France ont proposé de travailler avec le représentant de l</w:t>
      </w:r>
      <w:r w:rsidR="00681934" w:rsidRPr="00272DCE">
        <w:t>’</w:t>
      </w:r>
      <w:r w:rsidRPr="00272DCE">
        <w:t>Autriche à l</w:t>
      </w:r>
      <w:r w:rsidR="00681934" w:rsidRPr="00272DCE">
        <w:t>’</w:t>
      </w:r>
      <w:r w:rsidRPr="00272DCE">
        <w:t>élaboration d</w:t>
      </w:r>
      <w:r w:rsidR="00681934" w:rsidRPr="00272DCE">
        <w:t>’</w:t>
      </w:r>
      <w:r w:rsidRPr="00272DCE">
        <w:t>une proposition, sur la base du document INF.7, en vue de la prochaine session. Le Comité de sécurité les a encouragés à solliciter la participation à ce travail des organismes de contrôles nationaux et des autres parties prenantes compétentes.</w:t>
      </w:r>
    </w:p>
    <w:p w14:paraId="32257D67" w14:textId="77777777" w:rsidR="005B7F1A" w:rsidRPr="00272DCE" w:rsidRDefault="005B7F1A" w:rsidP="00CF225E">
      <w:pPr>
        <w:pStyle w:val="H23G"/>
      </w:pPr>
      <w:r w:rsidRPr="00272DCE">
        <w:tab/>
        <w:t>11.</w:t>
      </w:r>
      <w:r w:rsidRPr="00272DCE">
        <w:tab/>
        <w:t>Section 3.2.3.3, schéma A : Critères pour l</w:t>
      </w:r>
      <w:r w:rsidR="00681934" w:rsidRPr="00272DCE">
        <w:t>’</w:t>
      </w:r>
      <w:r w:rsidRPr="00272DCE">
        <w:t>équipement des citernes à cargaison</w:t>
      </w:r>
      <w:r w:rsidR="00425F44" w:rsidRPr="00272DCE">
        <w:br/>
      </w:r>
      <w:r w:rsidRPr="00272DCE">
        <w:t>des bateaux du type C</w:t>
      </w:r>
    </w:p>
    <w:p w14:paraId="6348A06C" w14:textId="77777777" w:rsidR="005B7F1A" w:rsidRPr="00272DCE" w:rsidRDefault="005B7F1A" w:rsidP="00CF225E">
      <w:pPr>
        <w:pStyle w:val="SingleTxtG"/>
        <w:keepNext/>
        <w:tabs>
          <w:tab w:val="left" w:pos="3402"/>
        </w:tabs>
        <w:spacing w:line="240" w:lineRule="auto"/>
        <w:ind w:left="3402" w:hanging="2268"/>
        <w:jc w:val="left"/>
      </w:pPr>
      <w:r w:rsidRPr="00272DCE">
        <w:rPr>
          <w:i/>
        </w:rPr>
        <w:t>Document informel </w:t>
      </w:r>
      <w:r w:rsidRPr="00272DCE">
        <w:t>:</w:t>
      </w:r>
      <w:r w:rsidRPr="00272DCE">
        <w:tab/>
        <w:t>INF.10 (Pays-Bas)</w:t>
      </w:r>
    </w:p>
    <w:p w14:paraId="743F3E6D" w14:textId="77777777" w:rsidR="005B7F1A" w:rsidRPr="00272DCE" w:rsidRDefault="005B7F1A" w:rsidP="00CF225E">
      <w:pPr>
        <w:pStyle w:val="SingleTxtG"/>
      </w:pPr>
      <w:r w:rsidRPr="00272DCE">
        <w:t>55.</w:t>
      </w:r>
      <w:r w:rsidRPr="00272DCE">
        <w:tab/>
        <w:t>Le Comité de sécurité a approuvé les corrections à la section 3.2.3.3 (schéma A) énoncées au paragraphe 5 du document INF.10 (voir annexe III). Il a été relevé que ces corrections ne s</w:t>
      </w:r>
      <w:r w:rsidR="00681934" w:rsidRPr="00272DCE">
        <w:t>’</w:t>
      </w:r>
      <w:r w:rsidRPr="00272DCE">
        <w:t>appliquaient pas à la version allemande de l</w:t>
      </w:r>
      <w:r w:rsidR="00681934" w:rsidRPr="00272DCE">
        <w:t>’</w:t>
      </w:r>
      <w:r w:rsidRPr="00272DCE">
        <w:t>ADN.</w:t>
      </w:r>
    </w:p>
    <w:p w14:paraId="394ACAB8" w14:textId="77777777" w:rsidR="005B7F1A" w:rsidRPr="00272DCE" w:rsidRDefault="005B7F1A" w:rsidP="00CF225E">
      <w:pPr>
        <w:pStyle w:val="SingleTxtG"/>
      </w:pPr>
      <w:r w:rsidRPr="00272DCE">
        <w:t>56.</w:t>
      </w:r>
      <w:r w:rsidRPr="00272DCE">
        <w:tab/>
        <w:t>Notant que le paragraphe 2 du document faisait état de la complexité des schémas présentés à la section 3.2.3.3, le Comité de sécurité a invité le groupe de travail informel des matières à réexaminer lesdits schémas et à envisager d</w:t>
      </w:r>
      <w:r w:rsidR="00681934" w:rsidRPr="00272DCE">
        <w:t>’</w:t>
      </w:r>
      <w:r w:rsidRPr="00272DCE">
        <w:t>élaborer des propositions visant à les simplifier.</w:t>
      </w:r>
    </w:p>
    <w:p w14:paraId="054FB6B6" w14:textId="77777777" w:rsidR="005B7F1A" w:rsidRPr="00272DCE" w:rsidRDefault="005B7F1A" w:rsidP="00CF225E">
      <w:pPr>
        <w:pStyle w:val="H23G"/>
      </w:pPr>
      <w:r w:rsidRPr="00272DCE">
        <w:tab/>
      </w:r>
      <w:bookmarkStart w:id="8" w:name="_Hlk9321549"/>
      <w:bookmarkStart w:id="9" w:name="_Hlk9321530"/>
      <w:r w:rsidRPr="00272DCE">
        <w:t>12.</w:t>
      </w:r>
      <w:r w:rsidRPr="00272DCE">
        <w:tab/>
        <w:t>Définition de « Conduite de retour de gaz (à terre) » au 1.2.1</w:t>
      </w:r>
    </w:p>
    <w:p w14:paraId="5E210AA1" w14:textId="77777777" w:rsidR="005B7F1A" w:rsidRPr="00272DCE" w:rsidRDefault="005B7F1A" w:rsidP="004A2DE6">
      <w:pPr>
        <w:pStyle w:val="SingleTxtG"/>
        <w:keepNext/>
        <w:tabs>
          <w:tab w:val="left" w:pos="3402"/>
        </w:tabs>
        <w:spacing w:line="240" w:lineRule="auto"/>
        <w:ind w:left="3402" w:hanging="2268"/>
        <w:jc w:val="left"/>
      </w:pPr>
      <w:r w:rsidRPr="00272DCE">
        <w:t>Document informel :</w:t>
      </w:r>
      <w:r w:rsidRPr="00272DCE">
        <w:tab/>
        <w:t>INF.18 (CEFIC)</w:t>
      </w:r>
    </w:p>
    <w:p w14:paraId="34A1AA44" w14:textId="77777777" w:rsidR="005B7F1A" w:rsidRPr="00272DCE" w:rsidRDefault="005B7F1A" w:rsidP="00CF225E">
      <w:pPr>
        <w:pStyle w:val="SingleTxtG"/>
      </w:pPr>
      <w:r w:rsidRPr="00272DCE">
        <w:t>57.</w:t>
      </w:r>
      <w:r w:rsidRPr="00272DCE">
        <w:tab/>
        <w:t>Le Comité de sécurité a approuvé dans le principe les amendements proposés par le</w:t>
      </w:r>
      <w:r w:rsidR="0035692B" w:rsidRPr="00272DCE">
        <w:t xml:space="preserve"> représentant du </w:t>
      </w:r>
      <w:r w:rsidRPr="00272DCE">
        <w:t>CEFIC et a invité ce dernier à soumettre un document officiel pour adoption à la prochaine session.</w:t>
      </w:r>
      <w:bookmarkEnd w:id="8"/>
    </w:p>
    <w:bookmarkEnd w:id="9"/>
    <w:p w14:paraId="390DBC22" w14:textId="77777777" w:rsidR="005B7F1A" w:rsidRPr="00272DCE" w:rsidRDefault="00CF225E" w:rsidP="00CF225E">
      <w:pPr>
        <w:pStyle w:val="H23G"/>
      </w:pPr>
      <w:r w:rsidRPr="00272DCE">
        <w:tab/>
      </w:r>
      <w:r w:rsidR="005B7F1A" w:rsidRPr="00272DCE">
        <w:t>13.</w:t>
      </w:r>
      <w:r w:rsidRPr="00272DCE">
        <w:tab/>
      </w:r>
      <w:r w:rsidR="005B7F1A" w:rsidRPr="00272DCE">
        <w:t>En-tête du tableau C</w:t>
      </w:r>
    </w:p>
    <w:p w14:paraId="5EF73E7D" w14:textId="77777777" w:rsidR="005B7F1A" w:rsidRPr="00272DCE" w:rsidRDefault="005B7F1A" w:rsidP="004A2DE6">
      <w:pPr>
        <w:pStyle w:val="SingleTxtG"/>
        <w:keepNext/>
        <w:tabs>
          <w:tab w:val="left" w:pos="3402"/>
        </w:tabs>
        <w:spacing w:line="240" w:lineRule="auto"/>
        <w:ind w:left="3402" w:hanging="2268"/>
        <w:jc w:val="left"/>
      </w:pPr>
      <w:r w:rsidRPr="00272DCE">
        <w:rPr>
          <w:i/>
        </w:rPr>
        <w:t>Document officiel </w:t>
      </w:r>
      <w:r w:rsidRPr="00272DCE">
        <w:t>:</w:t>
      </w:r>
      <w:r w:rsidRPr="00272DCE">
        <w:tab/>
        <w:t>ECE/TRANS/WP.15/AC.2/2019/13 (UENF et OEB)</w:t>
      </w:r>
    </w:p>
    <w:p w14:paraId="4E252EF4" w14:textId="77777777" w:rsidR="005B7F1A" w:rsidRPr="00272DCE" w:rsidRDefault="005B7F1A" w:rsidP="004A2DE6">
      <w:pPr>
        <w:pStyle w:val="SingleTxtG"/>
        <w:keepNext/>
        <w:tabs>
          <w:tab w:val="left" w:pos="3402"/>
        </w:tabs>
        <w:spacing w:line="240" w:lineRule="auto"/>
        <w:ind w:left="3402" w:hanging="2268"/>
        <w:jc w:val="left"/>
      </w:pPr>
      <w:r w:rsidRPr="00272DCE">
        <w:rPr>
          <w:i/>
        </w:rPr>
        <w:t>Document informel </w:t>
      </w:r>
      <w:r w:rsidRPr="00272DCE">
        <w:t xml:space="preserve">: </w:t>
      </w:r>
      <w:r w:rsidRPr="00272DCE">
        <w:tab/>
        <w:t>INF.20 (Luxembourg, Allemagne, Autriche, Pays-Bas, UENF et OEB)</w:t>
      </w:r>
    </w:p>
    <w:p w14:paraId="038735EA" w14:textId="5865B7F2" w:rsidR="005B7F1A" w:rsidRPr="00272DCE" w:rsidRDefault="005B7F1A" w:rsidP="00B73E90">
      <w:pPr>
        <w:pStyle w:val="SingleTxtG"/>
      </w:pPr>
      <w:r w:rsidRPr="00272DCE">
        <w:t>58.</w:t>
      </w:r>
      <w:r w:rsidRPr="00272DCE">
        <w:tab/>
        <w:t>Le Comité de sécurité a adopté la proposition de l</w:t>
      </w:r>
      <w:r w:rsidR="00681934" w:rsidRPr="00272DCE">
        <w:t>’</w:t>
      </w:r>
      <w:r w:rsidRPr="00272DCE">
        <w:t>UENF et de l</w:t>
      </w:r>
      <w:r w:rsidR="00681934" w:rsidRPr="00272DCE">
        <w:t>’</w:t>
      </w:r>
      <w:r w:rsidRPr="00272DCE">
        <w:t>OEB telle que modifiée par le document INF.20 (voir annexe I).</w:t>
      </w:r>
    </w:p>
    <w:p w14:paraId="752BFB5E" w14:textId="77777777" w:rsidR="005B7F1A" w:rsidRPr="00272DCE" w:rsidRDefault="00B73E90" w:rsidP="00B73E90">
      <w:pPr>
        <w:pStyle w:val="H23G"/>
      </w:pPr>
      <w:r w:rsidRPr="00272DCE">
        <w:lastRenderedPageBreak/>
        <w:tab/>
      </w:r>
      <w:r w:rsidR="005B7F1A" w:rsidRPr="00272DCE">
        <w:t>14.</w:t>
      </w:r>
      <w:r w:rsidR="005B7F1A" w:rsidRPr="00272DCE">
        <w:tab/>
        <w:t>Mise en œuvre du concept modifié pour la protection contre les explosions à bord</w:t>
      </w:r>
      <w:r w:rsidRPr="00272DCE">
        <w:br/>
      </w:r>
      <w:r w:rsidR="005B7F1A" w:rsidRPr="00272DCE">
        <w:t xml:space="preserve">des bateaux de navigation intérieure </w:t>
      </w:r>
      <w:r w:rsidRPr="00272DCE">
        <w:t xml:space="preserve">− </w:t>
      </w:r>
      <w:r w:rsidR="005B7F1A" w:rsidRPr="00272DCE">
        <w:t>Questions d</w:t>
      </w:r>
      <w:r w:rsidR="00681934" w:rsidRPr="00272DCE">
        <w:t>’</w:t>
      </w:r>
      <w:r w:rsidR="005B7F1A" w:rsidRPr="00272DCE">
        <w:t>interprétation</w:t>
      </w:r>
    </w:p>
    <w:p w14:paraId="3357292E" w14:textId="77777777" w:rsidR="005B7F1A" w:rsidRPr="00272DCE" w:rsidRDefault="005B7F1A" w:rsidP="00B73E90">
      <w:pPr>
        <w:pStyle w:val="SingleTxtG"/>
        <w:keepNext/>
        <w:tabs>
          <w:tab w:val="left" w:pos="3402"/>
        </w:tabs>
        <w:spacing w:line="240" w:lineRule="auto"/>
        <w:ind w:left="3402" w:hanging="2268"/>
        <w:jc w:val="left"/>
      </w:pPr>
      <w:r w:rsidRPr="00272DCE">
        <w:rPr>
          <w:i/>
        </w:rPr>
        <w:t>Document</w:t>
      </w:r>
      <w:r w:rsidRPr="00272DCE">
        <w:t> :</w:t>
      </w:r>
      <w:r w:rsidRPr="00272DCE">
        <w:tab/>
        <w:t>ECE/TRANS/WP.15/AC.2/2019/4 (Allemagne)</w:t>
      </w:r>
    </w:p>
    <w:p w14:paraId="31D39012" w14:textId="77777777" w:rsidR="005B7F1A" w:rsidRPr="00272DCE" w:rsidRDefault="005B7F1A" w:rsidP="00B73E90">
      <w:pPr>
        <w:pStyle w:val="SingleTxtG"/>
      </w:pPr>
      <w:r w:rsidRPr="00272DCE">
        <w:t>59.</w:t>
      </w:r>
      <w:r w:rsidRPr="00272DCE">
        <w:tab/>
        <w:t>Le Comité de sécurité a adopté les propositions contenues dans les sections A.2, D, E, F, G, J, L, M, N (liste de contrôle, question 14) et O sous réserve de plusieurs modifications au 1.6.7.5, d</w:t>
      </w:r>
      <w:r w:rsidR="00681934" w:rsidRPr="00272DCE">
        <w:t>’</w:t>
      </w:r>
      <w:r w:rsidRPr="00272DCE">
        <w:t>un amendement corollaire au 9.3.3.52.2 (en allemand seulement) et d</w:t>
      </w:r>
      <w:r w:rsidR="00681934" w:rsidRPr="00272DCE">
        <w:t>’</w:t>
      </w:r>
      <w:r w:rsidRPr="00272DCE">
        <w:t>une correction au 7.2.3.29.1 (deuxième phrase) (voir annexes I, II et III).</w:t>
      </w:r>
    </w:p>
    <w:p w14:paraId="1C4ACB86" w14:textId="77777777" w:rsidR="005B7F1A" w:rsidRPr="00272DCE" w:rsidRDefault="005B7F1A" w:rsidP="00B73E90">
      <w:pPr>
        <w:pStyle w:val="SingleTxtG"/>
      </w:pPr>
      <w:r w:rsidRPr="00272DCE">
        <w:t>60.</w:t>
      </w:r>
      <w:r w:rsidRPr="00272DCE">
        <w:tab/>
        <w:t>Notant que les questions soulevées dans les sections B, H (amendement au 7.1.4.4.4), P et Q avaient déjà été traitées dans la version 2019 de l</w:t>
      </w:r>
      <w:r w:rsidR="00681934" w:rsidRPr="00272DCE">
        <w:t>’</w:t>
      </w:r>
      <w:r w:rsidRPr="00272DCE">
        <w:t>ADN, le représentant de l</w:t>
      </w:r>
      <w:r w:rsidR="00681934" w:rsidRPr="00272DCE">
        <w:t>’</w:t>
      </w:r>
      <w:r w:rsidRPr="00272DCE">
        <w:t>Allemagne a retiré les propositions correspondantes.</w:t>
      </w:r>
    </w:p>
    <w:p w14:paraId="7C6E8401" w14:textId="77777777" w:rsidR="005B7F1A" w:rsidRPr="00272DCE" w:rsidRDefault="005B7F1A" w:rsidP="00B73E90">
      <w:pPr>
        <w:pStyle w:val="SingleTxtG"/>
      </w:pPr>
      <w:r w:rsidRPr="00272DCE">
        <w:t>61.</w:t>
      </w:r>
      <w:r w:rsidRPr="00272DCE">
        <w:tab/>
        <w:t>S</w:t>
      </w:r>
      <w:r w:rsidR="00681934" w:rsidRPr="00272DCE">
        <w:t>’</w:t>
      </w:r>
      <w:r w:rsidRPr="00272DCE">
        <w:t>agissant des autres propositions d</w:t>
      </w:r>
      <w:r w:rsidR="00681934" w:rsidRPr="00272DCE">
        <w:t>’</w:t>
      </w:r>
      <w:r w:rsidRPr="00272DCE">
        <w:t xml:space="preserve">amendements, le Comité de sécurité est convenu de ce qui suit : </w:t>
      </w:r>
    </w:p>
    <w:p w14:paraId="36CB20A3" w14:textId="77777777" w:rsidR="005B7F1A" w:rsidRPr="00272DCE" w:rsidRDefault="005B7F1A" w:rsidP="00B73E90">
      <w:pPr>
        <w:pStyle w:val="Bullet1G"/>
      </w:pPr>
      <w:r w:rsidRPr="00272DCE">
        <w:t>Section A.1 (définition d</w:t>
      </w:r>
      <w:proofErr w:type="gramStart"/>
      <w:r w:rsidR="00681934" w:rsidRPr="00272DCE">
        <w:t>’</w:t>
      </w:r>
      <w:r w:rsidRPr="00272DCE">
        <w:t>«</w:t>
      </w:r>
      <w:proofErr w:type="gramEnd"/>
      <w:r w:rsidRPr="00272DCE">
        <w:t> Installation (électrique ou non électrique) ») : La</w:t>
      </w:r>
      <w:r w:rsidR="00B73E90" w:rsidRPr="00272DCE">
        <w:t> </w:t>
      </w:r>
      <w:r w:rsidRPr="00272DCE">
        <w:t>proposition n</w:t>
      </w:r>
      <w:r w:rsidR="00681934" w:rsidRPr="00272DCE">
        <w:t>’</w:t>
      </w:r>
      <w:r w:rsidRPr="00272DCE">
        <w:t>a pas été adoptée car plusieurs délégations ont estimé que la définition proposée n</w:t>
      </w:r>
      <w:r w:rsidR="00681934" w:rsidRPr="00272DCE">
        <w:t>’</w:t>
      </w:r>
      <w:r w:rsidRPr="00272DCE">
        <w:t>était pas claire. Le représentant de l</w:t>
      </w:r>
      <w:r w:rsidR="00681934" w:rsidRPr="00272DCE">
        <w:t>’</w:t>
      </w:r>
      <w:r w:rsidRPr="00272DCE">
        <w:t>Allemagne a été invité à envisager de la modifier pour préciser que les équipements mobiles ne sont pas couverts par la définition et à soumettre une proposition révisée à</w:t>
      </w:r>
      <w:r w:rsidR="007551C1" w:rsidRPr="00272DCE">
        <w:t xml:space="preserve"> </w:t>
      </w:r>
      <w:r w:rsidRPr="00272DCE">
        <w:t>la prochaine session ;</w:t>
      </w:r>
    </w:p>
    <w:p w14:paraId="29AFD3E0" w14:textId="77777777" w:rsidR="005B7F1A" w:rsidRPr="00272DCE" w:rsidRDefault="005B7F1A" w:rsidP="00B73E90">
      <w:pPr>
        <w:pStyle w:val="Bullet1G"/>
      </w:pPr>
      <w:r w:rsidRPr="00272DCE">
        <w:t>Section I (amendement au 7.2.4.16.4) : Le Comité de sécurité a invité le représentant de l</w:t>
      </w:r>
      <w:r w:rsidR="00681934" w:rsidRPr="00272DCE">
        <w:t>’</w:t>
      </w:r>
      <w:r w:rsidRPr="00272DCE">
        <w:t>Allemagne à revoir la proposition à la lumière des préoccupations exprimées par l</w:t>
      </w:r>
      <w:r w:rsidR="00681934" w:rsidRPr="00272DCE">
        <w:t>’</w:t>
      </w:r>
      <w:r w:rsidRPr="00272DCE">
        <w:t>Autriche concernant la nécessité de maintenir les portes de la cloison transversale fermées pendant le chargement et le déchargement des bateaux non encore conformes aux nouvelles dispositions ;</w:t>
      </w:r>
    </w:p>
    <w:p w14:paraId="595FF6DD" w14:textId="77777777" w:rsidR="005B7F1A" w:rsidRPr="00272DCE" w:rsidRDefault="005B7F1A" w:rsidP="00B73E90">
      <w:pPr>
        <w:pStyle w:val="Bullet1G"/>
      </w:pPr>
      <w:r w:rsidRPr="00272DCE">
        <w:t>Section N (amendement à l</w:t>
      </w:r>
      <w:r w:rsidR="00681934" w:rsidRPr="00272DCE">
        <w:t>’</w:t>
      </w:r>
      <w:r w:rsidRPr="00272DCE">
        <w:t>explication de la question 11 de la liste de contrôle au 8.6.3) : Le Comité de sécurité n</w:t>
      </w:r>
      <w:r w:rsidR="00681934" w:rsidRPr="00272DCE">
        <w:t>’</w:t>
      </w:r>
      <w:r w:rsidRPr="00272DCE">
        <w:t>a pas accepté la proposition. Il a été souligné que, tel qu</w:t>
      </w:r>
      <w:r w:rsidR="00681934" w:rsidRPr="00272DCE">
        <w:t>’</w:t>
      </w:r>
      <w:r w:rsidRPr="00272DCE">
        <w:t>elle était rédigée, la proposition pouvait induire en erreur et ne couvrait pas toutes les situations dans lesquelles des appareils téléphoniques et radiotéléphoniques d</w:t>
      </w:r>
      <w:r w:rsidR="00681934" w:rsidRPr="00272DCE">
        <w:t>’</w:t>
      </w:r>
      <w:r w:rsidRPr="00272DCE">
        <w:t>un type protégé contre les explosions pouvaient être nécessaires. Le représentant de l</w:t>
      </w:r>
      <w:r w:rsidR="00681934" w:rsidRPr="00272DCE">
        <w:t>’</w:t>
      </w:r>
      <w:r w:rsidRPr="00272DCE">
        <w:t>Allemagne a retiré la proposition ;</w:t>
      </w:r>
    </w:p>
    <w:p w14:paraId="518E68DB" w14:textId="77777777" w:rsidR="005B7F1A" w:rsidRPr="00272DCE" w:rsidRDefault="005B7F1A" w:rsidP="00B73E90">
      <w:pPr>
        <w:pStyle w:val="Bullet1G"/>
      </w:pPr>
      <w:r w:rsidRPr="00272DCE">
        <w:t>Section R : Le Comité de sécurité est convenu que la terminologie utilisée dans l</w:t>
      </w:r>
      <w:r w:rsidR="00681934" w:rsidRPr="00272DCE">
        <w:t>’</w:t>
      </w:r>
      <w:r w:rsidRPr="00272DCE">
        <w:t>ADN devait être cohérente et a décidé de remplacer « </w:t>
      </w:r>
      <w:r w:rsidRPr="00272DCE">
        <w:rPr>
          <w:i/>
        </w:rPr>
        <w:t>self-</w:t>
      </w:r>
      <w:proofErr w:type="spellStart"/>
      <w:r w:rsidRPr="00272DCE">
        <w:rPr>
          <w:i/>
        </w:rPr>
        <w:t>contained</w:t>
      </w:r>
      <w:proofErr w:type="spellEnd"/>
      <w:r w:rsidRPr="00272DCE">
        <w:rPr>
          <w:i/>
        </w:rPr>
        <w:t xml:space="preserve"> protection </w:t>
      </w:r>
      <w:proofErr w:type="spellStart"/>
      <w:r w:rsidRPr="00272DCE">
        <w:rPr>
          <w:i/>
        </w:rPr>
        <w:t>systems</w:t>
      </w:r>
      <w:proofErr w:type="spellEnd"/>
      <w:r w:rsidRPr="00272DCE">
        <w:t> » par « </w:t>
      </w:r>
      <w:proofErr w:type="spellStart"/>
      <w:r w:rsidRPr="00272DCE">
        <w:rPr>
          <w:i/>
        </w:rPr>
        <w:t>autonomous</w:t>
      </w:r>
      <w:proofErr w:type="spellEnd"/>
      <w:r w:rsidRPr="00272DCE">
        <w:rPr>
          <w:i/>
        </w:rPr>
        <w:t xml:space="preserve"> protection system</w:t>
      </w:r>
      <w:r w:rsidRPr="00272DCE">
        <w:t> » dans tout le texte anglais (voir annexe II).</w:t>
      </w:r>
    </w:p>
    <w:p w14:paraId="5F597AF7" w14:textId="77777777" w:rsidR="005B7F1A" w:rsidRPr="00272DCE" w:rsidRDefault="005B7F1A" w:rsidP="00B73E90">
      <w:pPr>
        <w:pStyle w:val="SingleTxtG"/>
      </w:pPr>
      <w:r w:rsidRPr="00272DCE">
        <w:t>62.</w:t>
      </w:r>
      <w:r w:rsidRPr="00272DCE">
        <w:tab/>
        <w:t>En ce qui concerne la question soulevée à la section C (par. 9 et 10), le Comité de sécurité a confirmé que la disposition transitoire du 1.6.7.2.2.2 ne s</w:t>
      </w:r>
      <w:r w:rsidR="00681934" w:rsidRPr="00272DCE">
        <w:t>’</w:t>
      </w:r>
      <w:r w:rsidRPr="00272DCE">
        <w:t>appliquait qu</w:t>
      </w:r>
      <w:r w:rsidR="00681934" w:rsidRPr="00272DCE">
        <w:t>’</w:t>
      </w:r>
      <w:r w:rsidRPr="00272DCE">
        <w:t>au premier paragraphe du 9.</w:t>
      </w:r>
      <w:proofErr w:type="gramStart"/>
      <w:r w:rsidRPr="00272DCE">
        <w:t>3.x.</w:t>
      </w:r>
      <w:proofErr w:type="gramEnd"/>
      <w:r w:rsidRPr="00272DCE">
        <w:t>53.1.</w:t>
      </w:r>
    </w:p>
    <w:p w14:paraId="06CF34AB" w14:textId="77777777" w:rsidR="005B7F1A" w:rsidRPr="00272DCE" w:rsidRDefault="005B7F1A" w:rsidP="00B73E90">
      <w:pPr>
        <w:pStyle w:val="SingleTxtG"/>
      </w:pPr>
      <w:r w:rsidRPr="00272DCE">
        <w:t>63.</w:t>
      </w:r>
      <w:r w:rsidRPr="00272DCE">
        <w:tab/>
        <w:t>En ce qui concerne l</w:t>
      </w:r>
      <w:r w:rsidR="00681934" w:rsidRPr="00272DCE">
        <w:t>’</w:t>
      </w:r>
      <w:r w:rsidRPr="00272DCE">
        <w:t>interprétation proposée au paragraphe 11 de la section C, le Comité de sécurité a confirmé qu</w:t>
      </w:r>
      <w:r w:rsidR="00681934" w:rsidRPr="00272DCE">
        <w:t>’</w:t>
      </w:r>
      <w:r w:rsidRPr="00272DCE">
        <w:t>un bateau muni d</w:t>
      </w:r>
      <w:r w:rsidR="00681934" w:rsidRPr="00272DCE">
        <w:t>’</w:t>
      </w:r>
      <w:r w:rsidRPr="00272DCE">
        <w:t>un certificat valide au 1</w:t>
      </w:r>
      <w:r w:rsidRPr="00272DCE">
        <w:rPr>
          <w:vertAlign w:val="superscript"/>
        </w:rPr>
        <w:t>er</w:t>
      </w:r>
      <w:r w:rsidRPr="00272DCE">
        <w:t> janvier 2019 était considéré comme respectant les prescriptions de l</w:t>
      </w:r>
      <w:r w:rsidR="00681934" w:rsidRPr="00272DCE">
        <w:t>’</w:t>
      </w:r>
      <w:r w:rsidRPr="00272DCE">
        <w:t>alinéa b) de la colonne 3) de la disposition transitoire.</w:t>
      </w:r>
    </w:p>
    <w:p w14:paraId="56243CEA" w14:textId="77777777" w:rsidR="005B7F1A" w:rsidRPr="00272DCE" w:rsidRDefault="005B7F1A" w:rsidP="00B73E90">
      <w:pPr>
        <w:pStyle w:val="SingleTxtG"/>
      </w:pPr>
      <w:r w:rsidRPr="00272DCE">
        <w:t>64.</w:t>
      </w:r>
      <w:r w:rsidRPr="00272DCE">
        <w:tab/>
        <w:t>Le Comité de sécurité a approuvé l</w:t>
      </w:r>
      <w:r w:rsidR="00681934" w:rsidRPr="00272DCE">
        <w:t>’</w:t>
      </w:r>
      <w:r w:rsidRPr="00272DCE">
        <w:t>interprétation du terme « équipements électriques » figurant à l</w:t>
      </w:r>
      <w:r w:rsidR="00681934" w:rsidRPr="00272DCE">
        <w:t>’</w:t>
      </w:r>
      <w:r w:rsidRPr="00272DCE">
        <w:t>alinéa d) de la colonne 3 de la disposition transitoire, comme indiqué aux paragraphes 12 et 13 de la section C, à savoir :</w:t>
      </w:r>
    </w:p>
    <w:p w14:paraId="4741D112" w14:textId="77777777" w:rsidR="005B7F1A" w:rsidRPr="00272DCE" w:rsidRDefault="005B7F1A" w:rsidP="00DF0E3D">
      <w:pPr>
        <w:pStyle w:val="SingleTxtG"/>
        <w:ind w:left="1701"/>
      </w:pPr>
      <w:r w:rsidRPr="00272DCE">
        <w:t>« Le terme “équipements électriques” est utilisé dans l</w:t>
      </w:r>
      <w:r w:rsidR="00681934" w:rsidRPr="00272DCE">
        <w:t>’</w:t>
      </w:r>
      <w:r w:rsidRPr="00272DCE">
        <w:t>ADN 2019 tel qu</w:t>
      </w:r>
      <w:r w:rsidR="00681934" w:rsidRPr="00272DCE">
        <w:t>’</w:t>
      </w:r>
      <w:r w:rsidRPr="00272DCE">
        <w:t>il a été utilisé dans la version de l</w:t>
      </w:r>
      <w:r w:rsidR="00681934" w:rsidRPr="00272DCE">
        <w:t>’</w:t>
      </w:r>
      <w:r w:rsidRPr="00272DCE">
        <w:t>ADN applicable jusqu</w:t>
      </w:r>
      <w:r w:rsidR="00681934" w:rsidRPr="00272DCE">
        <w:t>’</w:t>
      </w:r>
      <w:r w:rsidRPr="00272DCE">
        <w:t>au 31 décembre 2018. Cela correspond aux dispositions en vigueur jusqu</w:t>
      </w:r>
      <w:r w:rsidR="00681934" w:rsidRPr="00272DCE">
        <w:t>’</w:t>
      </w:r>
      <w:r w:rsidRPr="00272DCE">
        <w:t>à cette date.</w:t>
      </w:r>
    </w:p>
    <w:p w14:paraId="42FE873D" w14:textId="77777777" w:rsidR="005B7F1A" w:rsidRPr="00272DCE" w:rsidRDefault="005B7F1A" w:rsidP="00B73E90">
      <w:pPr>
        <w:pStyle w:val="SingleTxtG"/>
        <w:ind w:left="1701"/>
      </w:pPr>
      <w:r w:rsidRPr="00272DCE">
        <w:t>Il en va de même pour le terme “équipements électriques” aux alinéas a) et b) du paragraphe applicable aux bateaux en service dont la quille a été posée avant le 1</w:t>
      </w:r>
      <w:r w:rsidRPr="00272DCE">
        <w:rPr>
          <w:vertAlign w:val="superscript"/>
        </w:rPr>
        <w:t>er</w:t>
      </w:r>
      <w:r w:rsidRPr="00272DCE">
        <w:t> janvier 1977. ».</w:t>
      </w:r>
    </w:p>
    <w:p w14:paraId="399717FC" w14:textId="77777777" w:rsidR="005B7F1A" w:rsidRPr="00272DCE" w:rsidRDefault="005B7F1A" w:rsidP="00B73E90">
      <w:pPr>
        <w:pStyle w:val="SingleTxtG"/>
      </w:pPr>
      <w:r w:rsidRPr="00272DCE">
        <w:t>65.</w:t>
      </w:r>
      <w:r w:rsidRPr="00272DCE">
        <w:tab/>
        <w:t>S</w:t>
      </w:r>
      <w:r w:rsidR="00681934" w:rsidRPr="00272DCE">
        <w:t>’</w:t>
      </w:r>
      <w:r w:rsidRPr="00272DCE">
        <w:t>agissant de la question d</w:t>
      </w:r>
      <w:r w:rsidR="00681934" w:rsidRPr="00272DCE">
        <w:t>’</w:t>
      </w:r>
      <w:r w:rsidRPr="00272DCE">
        <w:t>interprétation soulevée dans la section K, au sujet du timbre de l</w:t>
      </w:r>
      <w:r w:rsidR="00681934" w:rsidRPr="00272DCE">
        <w:t>’</w:t>
      </w:r>
      <w:r w:rsidRPr="00272DCE">
        <w:t>autorité compétente qui délivre le certificat d</w:t>
      </w:r>
      <w:r w:rsidR="00681934" w:rsidRPr="00272DCE">
        <w:t>’</w:t>
      </w:r>
      <w:r w:rsidRPr="00272DCE">
        <w:t>agrément, dans les documents énumérés aux 8.1.2.2 e) à h) et 8.1.2.3 r) à v), le Comité de sécurité a précisé qu</w:t>
      </w:r>
      <w:r w:rsidR="00681934" w:rsidRPr="00272DCE">
        <w:t>’</w:t>
      </w:r>
      <w:r w:rsidRPr="00272DCE">
        <w:t>il n</w:t>
      </w:r>
      <w:r w:rsidR="00681934" w:rsidRPr="00272DCE">
        <w:t>’</w:t>
      </w:r>
      <w:r w:rsidRPr="00272DCE">
        <w:t>était pas nécessaire de renouveler le timbre lorsqu</w:t>
      </w:r>
      <w:r w:rsidR="00681934" w:rsidRPr="00272DCE">
        <w:t>’</w:t>
      </w:r>
      <w:r w:rsidRPr="00272DCE">
        <w:t>on renouvelait les documents.</w:t>
      </w:r>
    </w:p>
    <w:p w14:paraId="747FFCCE" w14:textId="77777777" w:rsidR="005B7F1A" w:rsidRPr="00272DCE" w:rsidRDefault="005B7F1A" w:rsidP="00B73E90">
      <w:pPr>
        <w:pStyle w:val="SingleTxtG"/>
      </w:pPr>
      <w:r w:rsidRPr="00272DCE">
        <w:lastRenderedPageBreak/>
        <w:t>66.</w:t>
      </w:r>
      <w:r w:rsidRPr="00272DCE">
        <w:tab/>
        <w:t>En ce qui concerne les débats sur les enregistreurs de données et les dispositifs de surveillance du fret, un membre du secrétariat a informé le Comité de sécurité que le Sous-Comité d</w:t>
      </w:r>
      <w:r w:rsidR="00681934" w:rsidRPr="00272DCE">
        <w:t>’</w:t>
      </w:r>
      <w:r w:rsidRPr="00272DCE">
        <w:t>experts du transport des marchandises dangereuses avait adopté des dispositions concernant le transport des marchandises dangereuses contenues dans les équipements utilisés ou destinés à être utilisés durant le transport. Les nouvelles dispositions seront ajoutées au chapitre 5.5 du Règlement type (voir le rapport du Sous-Comité sur sa cinquante-quatrième session, document ST/SG/AC.10/C.3/108, par. 78 à 83, et le libellé adopté pour la nouvelle section 5.5.4 dans le document ST/SG/AC.10/C.3/108/Add.1).</w:t>
      </w:r>
    </w:p>
    <w:p w14:paraId="6D125801" w14:textId="77777777" w:rsidR="005B7F1A" w:rsidRPr="00272DCE" w:rsidRDefault="005B7F1A" w:rsidP="00B73E90">
      <w:pPr>
        <w:pStyle w:val="H23G"/>
      </w:pPr>
      <w:r w:rsidRPr="00272DCE">
        <w:tab/>
        <w:t>15.</w:t>
      </w:r>
      <w:r w:rsidRPr="00272DCE">
        <w:tab/>
        <w:t>Paragraphe 9.3.x.8.4</w:t>
      </w:r>
    </w:p>
    <w:p w14:paraId="73C7113A" w14:textId="77777777" w:rsidR="005B7F1A" w:rsidRPr="00272DCE" w:rsidRDefault="005B7F1A" w:rsidP="00B73E90">
      <w:pPr>
        <w:pStyle w:val="SingleTxtG"/>
        <w:keepNext/>
        <w:tabs>
          <w:tab w:val="left" w:pos="3402"/>
        </w:tabs>
        <w:spacing w:line="240" w:lineRule="auto"/>
        <w:ind w:left="3402" w:hanging="2268"/>
        <w:jc w:val="left"/>
      </w:pPr>
      <w:r w:rsidRPr="00272DCE">
        <w:rPr>
          <w:i/>
        </w:rPr>
        <w:t>Document</w:t>
      </w:r>
      <w:r w:rsidRPr="00272DCE">
        <w:t> :</w:t>
      </w:r>
      <w:r w:rsidRPr="00272DCE">
        <w:tab/>
        <w:t>ECE/TRANS/WP.15/AC.2/2019/9 (Luxembourg)</w:t>
      </w:r>
    </w:p>
    <w:p w14:paraId="36ECC972" w14:textId="77777777" w:rsidR="005B7F1A" w:rsidRPr="00272DCE" w:rsidRDefault="005B7F1A" w:rsidP="00B73E90">
      <w:pPr>
        <w:pStyle w:val="SingleTxtG"/>
      </w:pPr>
      <w:r w:rsidRPr="00272DCE">
        <w:t>67.</w:t>
      </w:r>
      <w:r w:rsidRPr="00272DCE">
        <w:tab/>
        <w:t>Le Comité de sécurité a adopté les propositions d</w:t>
      </w:r>
      <w:r w:rsidR="00681934" w:rsidRPr="00272DCE">
        <w:t>’</w:t>
      </w:r>
      <w:r w:rsidRPr="00272DCE">
        <w:t>amendements aux 9.3.1.8.4, 9.3.2.8.4 et 9.3.3.8.4 (y compris l</w:t>
      </w:r>
      <w:r w:rsidR="00681934" w:rsidRPr="00272DCE">
        <w:t>’</w:t>
      </w:r>
      <w:r w:rsidRPr="00272DCE">
        <w:t>amendement corollaire au 1.6.7.2.2.2) ainsi qu</w:t>
      </w:r>
      <w:r w:rsidR="00681934" w:rsidRPr="00272DCE">
        <w:t>’</w:t>
      </w:r>
      <w:r w:rsidRPr="00272DCE">
        <w:t>un amendement supplémentaire au 8.1.7.2 (voir annexe I).</w:t>
      </w:r>
    </w:p>
    <w:p w14:paraId="34F8D921" w14:textId="77777777" w:rsidR="005B7F1A" w:rsidRPr="00272DCE" w:rsidRDefault="005B7F1A" w:rsidP="00B73E90">
      <w:pPr>
        <w:pStyle w:val="SingleTxtG"/>
      </w:pPr>
      <w:r w:rsidRPr="00272DCE">
        <w:t>68.</w:t>
      </w:r>
      <w:r w:rsidRPr="00272DCE">
        <w:tab/>
        <w:t>Le représentant de l</w:t>
      </w:r>
      <w:r w:rsidR="00681934" w:rsidRPr="00272DCE">
        <w:t>’</w:t>
      </w:r>
      <w:r w:rsidRPr="00272DCE">
        <w:t>UENF a fait observer qu</w:t>
      </w:r>
      <w:r w:rsidR="00681934" w:rsidRPr="00272DCE">
        <w:t>’</w:t>
      </w:r>
      <w:r w:rsidRPr="00272DCE">
        <w:t>il fallait veiller à la cohérence entre les périodes transitoires applicables aux dispositions du 8.1.7.2 et celles relatives au 9.3.x.53.1 et à la révision de l</w:t>
      </w:r>
      <w:r w:rsidR="00681934" w:rsidRPr="00272DCE">
        <w:t>’</w:t>
      </w:r>
      <w:r w:rsidRPr="00272DCE">
        <w:t>accord multilatéral M018. Le Comité de sécurité l</w:t>
      </w:r>
      <w:r w:rsidR="00681934" w:rsidRPr="00272DCE">
        <w:t>’</w:t>
      </w:r>
      <w:r w:rsidRPr="00272DCE">
        <w:t>a invité à soumettre une proposition à la prochaine session.</w:t>
      </w:r>
    </w:p>
    <w:p w14:paraId="49AEA21A" w14:textId="77777777" w:rsidR="005B7F1A" w:rsidRPr="00272DCE" w:rsidRDefault="005B7F1A" w:rsidP="00B73E90">
      <w:pPr>
        <w:pStyle w:val="H23G"/>
      </w:pPr>
      <w:r w:rsidRPr="00272DCE">
        <w:tab/>
        <w:t>16.</w:t>
      </w:r>
      <w:r w:rsidRPr="00272DCE">
        <w:tab/>
        <w:t>Exemples d</w:t>
      </w:r>
      <w:r w:rsidR="00681934" w:rsidRPr="00272DCE">
        <w:t>’</w:t>
      </w:r>
      <w:r w:rsidRPr="00272DCE">
        <w:t xml:space="preserve">entreposage et de séparation des conteneurs </w:t>
      </w:r>
    </w:p>
    <w:p w14:paraId="4B8D947D" w14:textId="77777777" w:rsidR="005B7F1A" w:rsidRPr="00272DCE" w:rsidRDefault="005B7F1A" w:rsidP="00B73E90">
      <w:pPr>
        <w:pStyle w:val="SingleTxtG"/>
        <w:keepNext/>
        <w:tabs>
          <w:tab w:val="left" w:pos="3402"/>
        </w:tabs>
        <w:spacing w:line="240" w:lineRule="auto"/>
        <w:ind w:left="3402" w:hanging="2268"/>
        <w:jc w:val="left"/>
      </w:pPr>
      <w:r w:rsidRPr="00272DCE">
        <w:rPr>
          <w:i/>
        </w:rPr>
        <w:t>Document informel </w:t>
      </w:r>
      <w:r w:rsidRPr="00272DCE">
        <w:t>:</w:t>
      </w:r>
      <w:r w:rsidRPr="00272DCE">
        <w:tab/>
        <w:t>INF.3 (Allemagne)</w:t>
      </w:r>
    </w:p>
    <w:p w14:paraId="11865F79" w14:textId="77777777" w:rsidR="005B7F1A" w:rsidRPr="00272DCE" w:rsidRDefault="005B7F1A" w:rsidP="004A4317">
      <w:pPr>
        <w:pStyle w:val="SingleTxtG"/>
      </w:pPr>
      <w:r w:rsidRPr="00272DCE">
        <w:t>69.</w:t>
      </w:r>
      <w:r w:rsidRPr="00272DCE">
        <w:tab/>
        <w:t>L</w:t>
      </w:r>
      <w:r w:rsidR="00681934" w:rsidRPr="00272DCE">
        <w:t>’</w:t>
      </w:r>
      <w:r w:rsidRPr="00272DCE">
        <w:t>amendement à la légende du 7.1.4.4.4, dans la version allemande, a été adopté.</w:t>
      </w:r>
    </w:p>
    <w:p w14:paraId="6B09532F" w14:textId="77777777" w:rsidR="005B7F1A" w:rsidRPr="00272DCE" w:rsidRDefault="005B7F1A" w:rsidP="004A4317">
      <w:pPr>
        <w:pStyle w:val="SingleTxtG"/>
      </w:pPr>
      <w:r w:rsidRPr="00272DCE">
        <w:t>70.</w:t>
      </w:r>
      <w:r w:rsidRPr="00272DCE">
        <w:tab/>
        <w:t>Le Comité de sécurité est convenu que les versions anglaise et française des paragraphes de l</w:t>
      </w:r>
      <w:r w:rsidR="00681934" w:rsidRPr="00272DCE">
        <w:t>’</w:t>
      </w:r>
      <w:r w:rsidRPr="00272DCE">
        <w:t>ADN énumérés aux paragraphes 7 et 8 du document devraient être harmonisées. Le secrétariat a été invité à vérifier quelle formulation devait être retenue et à soumettre une proposition à la prochaine session, qui tiendrait aussi compte de l</w:t>
      </w:r>
      <w:r w:rsidR="00681934" w:rsidRPr="00272DCE">
        <w:t>’</w:t>
      </w:r>
      <w:r w:rsidRPr="00272DCE">
        <w:t>observation du représentant de l</w:t>
      </w:r>
      <w:r w:rsidR="00681934" w:rsidRPr="00272DCE">
        <w:t>’</w:t>
      </w:r>
      <w:r w:rsidRPr="00272DCE">
        <w:t>Allemagne sur la nécessité d</w:t>
      </w:r>
      <w:r w:rsidR="00681934" w:rsidRPr="00272DCE">
        <w:t>’</w:t>
      </w:r>
      <w:r w:rsidRPr="00272DCE">
        <w:t>ajouter « au minimum », le cas échéant, pour garantir la cohérence entre toutes les versions linguistiques.</w:t>
      </w:r>
    </w:p>
    <w:p w14:paraId="5FC9350C" w14:textId="77777777" w:rsidR="005B7F1A" w:rsidRPr="00272DCE" w:rsidRDefault="005B7F1A" w:rsidP="00B73E90">
      <w:pPr>
        <w:pStyle w:val="H23G"/>
      </w:pPr>
      <w:r w:rsidRPr="00272DCE">
        <w:tab/>
        <w:t>17.</w:t>
      </w:r>
      <w:r w:rsidRPr="00272DCE">
        <w:tab/>
        <w:t xml:space="preserve">No ONU 2057 − </w:t>
      </w:r>
      <w:proofErr w:type="spellStart"/>
      <w:r w:rsidRPr="00272DCE">
        <w:t>Tripropylène</w:t>
      </w:r>
      <w:proofErr w:type="spellEnd"/>
    </w:p>
    <w:p w14:paraId="4504FAAE" w14:textId="77777777" w:rsidR="005B7F1A" w:rsidRPr="00272DCE" w:rsidRDefault="005B7F1A" w:rsidP="00B73E90">
      <w:pPr>
        <w:pStyle w:val="SingleTxtG"/>
        <w:keepNext/>
        <w:tabs>
          <w:tab w:val="left" w:pos="3402"/>
        </w:tabs>
        <w:spacing w:line="240" w:lineRule="auto"/>
        <w:ind w:left="3402" w:hanging="2268"/>
        <w:jc w:val="left"/>
      </w:pPr>
      <w:r w:rsidRPr="00272DCE">
        <w:rPr>
          <w:i/>
        </w:rPr>
        <w:t>Document informel</w:t>
      </w:r>
      <w:r w:rsidRPr="00272DCE">
        <w:t> :</w:t>
      </w:r>
      <w:r w:rsidRPr="00272DCE">
        <w:tab/>
        <w:t>INF.9 (Sociétés de classification recommandées ADN)</w:t>
      </w:r>
    </w:p>
    <w:p w14:paraId="6B11BF92" w14:textId="77777777" w:rsidR="005B7F1A" w:rsidRPr="00272DCE" w:rsidRDefault="005B7F1A" w:rsidP="00B73E90">
      <w:pPr>
        <w:pStyle w:val="SingleTxtG"/>
      </w:pPr>
      <w:r w:rsidRPr="00272DCE">
        <w:t>71.</w:t>
      </w:r>
      <w:r w:rsidRPr="00272DCE">
        <w:tab/>
        <w:t>Le Comité de sécurité a estimé que la proposition devait être élaborée plus avant et a noté que le représentant du CEFIC soumettrait un document révisé à la prochaine session.</w:t>
      </w:r>
    </w:p>
    <w:p w14:paraId="22EF467E" w14:textId="77777777" w:rsidR="005B7F1A" w:rsidRPr="00272DCE" w:rsidRDefault="00B73E90" w:rsidP="00B73E90">
      <w:pPr>
        <w:pStyle w:val="HChG"/>
      </w:pPr>
      <w:r w:rsidRPr="00272DCE">
        <w:tab/>
      </w:r>
      <w:r w:rsidR="005B7F1A" w:rsidRPr="00272DCE">
        <w:t>VII.</w:t>
      </w:r>
      <w:r w:rsidR="005B7F1A" w:rsidRPr="00272DCE">
        <w:tab/>
        <w:t xml:space="preserve">Rapports des groupes de travail informels </w:t>
      </w:r>
      <w:r w:rsidR="005B7F1A" w:rsidRPr="00272DCE">
        <w:br/>
        <w:t>(point 6 de l</w:t>
      </w:r>
      <w:r w:rsidR="00681934" w:rsidRPr="00272DCE">
        <w:t>’</w:t>
      </w:r>
      <w:r w:rsidR="005B7F1A" w:rsidRPr="00272DCE">
        <w:t>ordre du jour)</w:t>
      </w:r>
    </w:p>
    <w:p w14:paraId="50700C64" w14:textId="77777777" w:rsidR="005B7F1A" w:rsidRPr="00272DCE" w:rsidRDefault="005B7F1A" w:rsidP="00B73E90">
      <w:pPr>
        <w:pStyle w:val="H1G"/>
      </w:pPr>
      <w:r w:rsidRPr="00272DCE">
        <w:tab/>
        <w:t>A.</w:t>
      </w:r>
      <w:r w:rsidRPr="00272DCE">
        <w:tab/>
        <w:t>Rapport du groupe de travail informel des cuves à membrane</w:t>
      </w:r>
    </w:p>
    <w:p w14:paraId="75983024" w14:textId="77777777" w:rsidR="005B7F1A" w:rsidRPr="00272DCE" w:rsidRDefault="005B7F1A" w:rsidP="00F44C19">
      <w:pPr>
        <w:pStyle w:val="SingleTxtG"/>
        <w:keepNext/>
        <w:tabs>
          <w:tab w:val="left" w:pos="3402"/>
        </w:tabs>
        <w:spacing w:line="240" w:lineRule="auto"/>
        <w:ind w:left="3402" w:hanging="2268"/>
        <w:jc w:val="left"/>
      </w:pPr>
      <w:r w:rsidRPr="00272DCE">
        <w:rPr>
          <w:i/>
        </w:rPr>
        <w:t>Document </w:t>
      </w:r>
      <w:r w:rsidRPr="00272DCE">
        <w:t>:</w:t>
      </w:r>
      <w:r w:rsidRPr="00272DCE">
        <w:tab/>
      </w:r>
      <w:r w:rsidRPr="00272DCE">
        <w:tab/>
        <w:t xml:space="preserve">ECE/TRANS/WP.15/AC.2/2019/14 (Belgique, </w:t>
      </w:r>
      <w:r w:rsidR="001F0F10" w:rsidRPr="00272DCE">
        <w:t>France</w:t>
      </w:r>
      <w:r w:rsidR="001F0F10" w:rsidRPr="00272DCE">
        <w:br/>
      </w:r>
      <w:r w:rsidRPr="00272DCE">
        <w:t>et Pays-Bas)</w:t>
      </w:r>
    </w:p>
    <w:p w14:paraId="6A7BD0C8" w14:textId="77777777" w:rsidR="005B7F1A" w:rsidRPr="00272DCE" w:rsidRDefault="005B7F1A" w:rsidP="00F44C19">
      <w:pPr>
        <w:pStyle w:val="SingleTxtG"/>
      </w:pPr>
      <w:r w:rsidRPr="00272DCE">
        <w:t>72.</w:t>
      </w:r>
      <w:r w:rsidRPr="00272DCE">
        <w:tab/>
        <w:t>Le Comité de sécurité a pris note des informations fournies aux paragraphes 4 à 8 sur l</w:t>
      </w:r>
      <w:r w:rsidR="00681934" w:rsidRPr="00272DCE">
        <w:t>’</w:t>
      </w:r>
      <w:r w:rsidRPr="00272DCE">
        <w:t>évolution du marché du GNL et des cuves à membrane et a estimé que le groupe de travail informel s</w:t>
      </w:r>
      <w:r w:rsidR="00681934" w:rsidRPr="00272DCE">
        <w:t>’</w:t>
      </w:r>
      <w:r w:rsidRPr="00272DCE">
        <w:t>était acquitté de la tâche qui lui avait été assignée sur la question à la dernière session.</w:t>
      </w:r>
    </w:p>
    <w:p w14:paraId="2B0584AA" w14:textId="77777777" w:rsidR="005B7F1A" w:rsidRPr="00272DCE" w:rsidRDefault="005B7F1A" w:rsidP="00F44C19">
      <w:pPr>
        <w:pStyle w:val="SingleTxtG"/>
      </w:pPr>
      <w:r w:rsidRPr="00272DCE">
        <w:t>73.</w:t>
      </w:r>
      <w:r w:rsidRPr="00272DCE">
        <w:tab/>
        <w:t>S</w:t>
      </w:r>
      <w:r w:rsidR="00681934" w:rsidRPr="00272DCE">
        <w:t>’</w:t>
      </w:r>
      <w:r w:rsidRPr="00272DCE">
        <w:t>agissant de la liste des matières jugées transportables dans des cuves à membrane (par. 9 à 12 du document), le Comité de sécurité a prié le groupe de travail informel des matières de confirmer que les matières visées étaient effectivement transportables dans des cuves de ce type. Le Président du groupe de travail informel a fait observer à ce propos qu</w:t>
      </w:r>
      <w:r w:rsidR="00681934" w:rsidRPr="00272DCE">
        <w:t>’</w:t>
      </w:r>
      <w:r w:rsidRPr="00272DCE">
        <w:t>il faudrait également mettre en œuvre une approche rationalisée de l</w:t>
      </w:r>
      <w:r w:rsidR="00681934" w:rsidRPr="00272DCE">
        <w:t>’</w:t>
      </w:r>
      <w:r w:rsidRPr="00272DCE">
        <w:t>application des dispositions concernant les cuves à membrane pour certaines matières, sachant que l</w:t>
      </w:r>
      <w:r w:rsidR="00681934" w:rsidRPr="00272DCE">
        <w:t>’</w:t>
      </w:r>
      <w:r w:rsidRPr="00272DCE">
        <w:t>on ne pouvait pas exclure la nécessité de s</w:t>
      </w:r>
      <w:r w:rsidR="00681934" w:rsidRPr="00272DCE">
        <w:t>’</w:t>
      </w:r>
      <w:r w:rsidRPr="00272DCE">
        <w:t>intéresser à d</w:t>
      </w:r>
      <w:r w:rsidR="00681934" w:rsidRPr="00272DCE">
        <w:t>’</w:t>
      </w:r>
      <w:r w:rsidRPr="00272DCE">
        <w:t>autres matières dans le futur. Le Comité de sécurité a partagé ce point de vue.</w:t>
      </w:r>
    </w:p>
    <w:p w14:paraId="0DBF38D7" w14:textId="77777777" w:rsidR="005B7F1A" w:rsidRPr="00272DCE" w:rsidRDefault="005B7F1A" w:rsidP="001F0F10">
      <w:pPr>
        <w:pStyle w:val="SingleTxtG"/>
      </w:pPr>
      <w:r w:rsidRPr="00272DCE">
        <w:lastRenderedPageBreak/>
        <w:t>74.</w:t>
      </w:r>
      <w:r w:rsidRPr="00272DCE">
        <w:tab/>
        <w:t>Le Comité de sécurité a appuyé l</w:t>
      </w:r>
      <w:r w:rsidR="00681934" w:rsidRPr="00272DCE">
        <w:t>’</w:t>
      </w:r>
      <w:r w:rsidRPr="00272DCE">
        <w:t>approche décrite au paragraphe 13 du document et a invité le groupe de travail informel à élaborer des dispositions sur le transport dans des cuves à membrane. Il a été noté qu</w:t>
      </w:r>
      <w:r w:rsidR="00681934" w:rsidRPr="00272DCE">
        <w:t>’</w:t>
      </w:r>
      <w:r w:rsidRPr="00272DCE">
        <w:t>il pourrait être nécessaire de modifier des articles autres que ceux déjà recensés dans le tableau du paragraphe 14.</w:t>
      </w:r>
    </w:p>
    <w:p w14:paraId="7BF443BA" w14:textId="77777777" w:rsidR="005B7F1A" w:rsidRPr="00272DCE" w:rsidRDefault="005B7F1A" w:rsidP="001F0F10">
      <w:pPr>
        <w:pStyle w:val="H1G"/>
      </w:pPr>
      <w:r w:rsidRPr="00272DCE">
        <w:tab/>
        <w:t>B.</w:t>
      </w:r>
      <w:r w:rsidRPr="00272DCE">
        <w:tab/>
        <w:t>Plan d</w:t>
      </w:r>
      <w:r w:rsidR="00681934" w:rsidRPr="00272DCE">
        <w:t>’</w:t>
      </w:r>
      <w:r w:rsidRPr="00272DCE">
        <w:t xml:space="preserve">action relatif aux mélanges de cargaisons effectués à bord </w:t>
      </w:r>
      <w:r w:rsidRPr="00272DCE">
        <w:br/>
        <w:t>des bateaux-citernes</w:t>
      </w:r>
    </w:p>
    <w:p w14:paraId="64D73C8A" w14:textId="77777777" w:rsidR="005B7F1A" w:rsidRPr="00272DCE" w:rsidRDefault="005B7F1A" w:rsidP="001F0F10">
      <w:pPr>
        <w:pStyle w:val="SingleTxtG"/>
        <w:keepNext/>
        <w:tabs>
          <w:tab w:val="left" w:pos="3402"/>
        </w:tabs>
        <w:spacing w:line="240" w:lineRule="auto"/>
        <w:ind w:left="3402" w:hanging="2268"/>
        <w:jc w:val="left"/>
      </w:pPr>
      <w:r w:rsidRPr="00272DCE">
        <w:rPr>
          <w:i/>
        </w:rPr>
        <w:t>Document </w:t>
      </w:r>
      <w:r w:rsidRPr="00272DCE">
        <w:t>:</w:t>
      </w:r>
      <w:r w:rsidRPr="00272DCE">
        <w:tab/>
      </w:r>
      <w:r w:rsidRPr="00272DCE">
        <w:tab/>
        <w:t>ECE/TRANS/WP.15/AC.2/2019/16 (Pays-Bas)</w:t>
      </w:r>
    </w:p>
    <w:p w14:paraId="303A71A5" w14:textId="77777777" w:rsidR="005B7F1A" w:rsidRPr="00272DCE" w:rsidRDefault="005B7F1A" w:rsidP="001F0F10">
      <w:pPr>
        <w:pStyle w:val="SingleTxtG"/>
      </w:pPr>
      <w:r w:rsidRPr="00272DCE">
        <w:t>75.</w:t>
      </w:r>
      <w:r w:rsidRPr="00272DCE">
        <w:tab/>
        <w:t>Le Comité de sécurité a été d</w:t>
      </w:r>
      <w:r w:rsidR="00681934" w:rsidRPr="00272DCE">
        <w:t>’</w:t>
      </w:r>
      <w:r w:rsidRPr="00272DCE">
        <w:t>avis qu</w:t>
      </w:r>
      <w:r w:rsidR="00681934" w:rsidRPr="00272DCE">
        <w:t>’</w:t>
      </w:r>
      <w:r w:rsidRPr="00272DCE">
        <w:t>un cadre réglementaire convenu pour les opérations de mélange de cargaisons/chargement en sus à bord des bateaux-citernes était souhaitable. Il a cependant été noté que l</w:t>
      </w:r>
      <w:r w:rsidR="00681934" w:rsidRPr="00272DCE">
        <w:t>’</w:t>
      </w:r>
      <w:r w:rsidRPr="00272DCE">
        <w:t>ADN n</w:t>
      </w:r>
      <w:r w:rsidR="00681934" w:rsidRPr="00272DCE">
        <w:t>’</w:t>
      </w:r>
      <w:r w:rsidRPr="00272DCE">
        <w:t>était peut-être pas l</w:t>
      </w:r>
      <w:r w:rsidR="00681934" w:rsidRPr="00272DCE">
        <w:t>’</w:t>
      </w:r>
      <w:r w:rsidRPr="00272DCE">
        <w:t>instrument approprié pour tous les types d</w:t>
      </w:r>
      <w:r w:rsidR="00681934" w:rsidRPr="00272DCE">
        <w:t>’</w:t>
      </w:r>
      <w:r w:rsidRPr="00272DCE">
        <w:t>opérations de mélange de cargaison/chargements en sus. Certaines délégations ont estimé par exemple que les dispositions relatives aux opérations de mélange de plusieurs matières dans le but d</w:t>
      </w:r>
      <w:r w:rsidR="00681934" w:rsidRPr="00272DCE">
        <w:t>’</w:t>
      </w:r>
      <w:r w:rsidRPr="00272DCE">
        <w:t>obtenir un produit final à transporter ne devaient pas être examinées dans le cadre de l</w:t>
      </w:r>
      <w:r w:rsidR="00681934" w:rsidRPr="00272DCE">
        <w:t>’</w:t>
      </w:r>
      <w:r w:rsidRPr="00272DCE">
        <w:t xml:space="preserve">ADN, mais dans un cadre réglementaire applicable aux installations industrielles. </w:t>
      </w:r>
    </w:p>
    <w:p w14:paraId="4D2695EA" w14:textId="77777777" w:rsidR="005B7F1A" w:rsidRPr="00272DCE" w:rsidRDefault="005B7F1A" w:rsidP="001F0F10">
      <w:pPr>
        <w:pStyle w:val="SingleTxtG"/>
      </w:pPr>
      <w:bookmarkStart w:id="10" w:name="_Hlk9321612"/>
      <w:r w:rsidRPr="00272DCE">
        <w:t>76.</w:t>
      </w:r>
      <w:r w:rsidRPr="00272DCE">
        <w:tab/>
        <w:t>Elles ont à l</w:t>
      </w:r>
      <w:r w:rsidR="00681934" w:rsidRPr="00272DCE">
        <w:t>’</w:t>
      </w:r>
      <w:r w:rsidRPr="00272DCE">
        <w:t>inverse jugé que l</w:t>
      </w:r>
      <w:r w:rsidR="00681934" w:rsidRPr="00272DCE">
        <w:t>’</w:t>
      </w:r>
      <w:r w:rsidRPr="00272DCE">
        <w:t>ADN était l</w:t>
      </w:r>
      <w:r w:rsidR="00681934" w:rsidRPr="00272DCE">
        <w:t>’</w:t>
      </w:r>
      <w:r w:rsidRPr="00272DCE">
        <w:t>instrument approprié pour le chargement de marchandises en sus dans différents lieux. D</w:t>
      </w:r>
      <w:r w:rsidR="00681934" w:rsidRPr="00272DCE">
        <w:t>’</w:t>
      </w:r>
      <w:r w:rsidRPr="00272DCE">
        <w:t>autres délégations ont été d</w:t>
      </w:r>
      <w:r w:rsidR="00681934" w:rsidRPr="00272DCE">
        <w:t>’</w:t>
      </w:r>
      <w:r w:rsidRPr="00272DCE">
        <w:t>avis que d</w:t>
      </w:r>
      <w:r w:rsidR="00681934" w:rsidRPr="00272DCE">
        <w:t>’</w:t>
      </w:r>
      <w:r w:rsidRPr="00272DCE">
        <w:t>autres cas, tels que le chargement complet ou le chargement partiel, ainsi que le transport de marchandises dangereuses avec des marchandises non dangereuses dans des compartiments distincts d</w:t>
      </w:r>
      <w:r w:rsidR="00681934" w:rsidRPr="00272DCE">
        <w:t>’</w:t>
      </w:r>
      <w:r w:rsidRPr="00272DCE">
        <w:t xml:space="preserve">un même bateau, </w:t>
      </w:r>
      <w:bookmarkEnd w:id="10"/>
      <w:r w:rsidRPr="00272DCE">
        <w:t>pouvaient aussi être examinés, de même que toutes les questions relatives aux renseignements à indiquer dans le document de transport pour chaque situation (par exemple, dans le cas d</w:t>
      </w:r>
      <w:r w:rsidR="00681934" w:rsidRPr="00272DCE">
        <w:t>’</w:t>
      </w:r>
      <w:r w:rsidRPr="00272DCE">
        <w:t>un chargement partiel ou d</w:t>
      </w:r>
      <w:r w:rsidR="00681934" w:rsidRPr="00272DCE">
        <w:t>’</w:t>
      </w:r>
      <w:r w:rsidRPr="00272DCE">
        <w:t>un déchargement partiel d</w:t>
      </w:r>
      <w:r w:rsidR="00681934" w:rsidRPr="00272DCE">
        <w:t>’</w:t>
      </w:r>
      <w:r w:rsidRPr="00272DCE">
        <w:t>une cargaison dans différents lieux).</w:t>
      </w:r>
    </w:p>
    <w:p w14:paraId="5C521D14" w14:textId="77777777" w:rsidR="005B7F1A" w:rsidRPr="00272DCE" w:rsidRDefault="005B7F1A" w:rsidP="001F0F10">
      <w:pPr>
        <w:pStyle w:val="SingleTxtG"/>
      </w:pPr>
      <w:r w:rsidRPr="00272DCE">
        <w:t>77.</w:t>
      </w:r>
      <w:r w:rsidRPr="00272DCE">
        <w:tab/>
        <w:t>À l</w:t>
      </w:r>
      <w:r w:rsidR="00681934" w:rsidRPr="00272DCE">
        <w:t>’</w:t>
      </w:r>
      <w:r w:rsidRPr="00272DCE">
        <w:t>issue d</w:t>
      </w:r>
      <w:r w:rsidR="00681934" w:rsidRPr="00272DCE">
        <w:t>’</w:t>
      </w:r>
      <w:r w:rsidRPr="00272DCE">
        <w:t>un échange de vues, le Comité de sécurité a décidé de limiter le champ des travaux sur la question aux opérations déjà visées dans l</w:t>
      </w:r>
      <w:r w:rsidR="00681934" w:rsidRPr="00272DCE">
        <w:t>’</w:t>
      </w:r>
      <w:r w:rsidRPr="00272DCE">
        <w:t>ADN. Considérant que le chargement était l</w:t>
      </w:r>
      <w:r w:rsidR="00681934" w:rsidRPr="00272DCE">
        <w:t>’</w:t>
      </w:r>
      <w:r w:rsidRPr="00272DCE">
        <w:t>une des opérations réglementées par l</w:t>
      </w:r>
      <w:r w:rsidR="00681934" w:rsidRPr="00272DCE">
        <w:t>’</w:t>
      </w:r>
      <w:r w:rsidRPr="00272DCE">
        <w:t>ADN, le Comité de sécurité a décidé de constituer un groupe de travail informel chargé d</w:t>
      </w:r>
      <w:r w:rsidR="00681934" w:rsidRPr="00272DCE">
        <w:t>’</w:t>
      </w:r>
      <w:r w:rsidRPr="00272DCE">
        <w:t>étudier la question du chargement en sus d</w:t>
      </w:r>
      <w:r w:rsidR="00681934" w:rsidRPr="00272DCE">
        <w:t>’</w:t>
      </w:r>
      <w:r w:rsidRPr="00272DCE">
        <w:t>une même marchandise en procédant comme suit :</w:t>
      </w:r>
    </w:p>
    <w:p w14:paraId="553277C2" w14:textId="77777777" w:rsidR="005B7F1A" w:rsidRPr="00272DCE" w:rsidRDefault="005B7F1A" w:rsidP="001F0F10">
      <w:pPr>
        <w:pStyle w:val="Bullet1G"/>
      </w:pPr>
      <w:r w:rsidRPr="00272DCE">
        <w:t>Étape 1 : Recenser les points à examiner ;</w:t>
      </w:r>
    </w:p>
    <w:p w14:paraId="0C29321C" w14:textId="77777777" w:rsidR="005B7F1A" w:rsidRPr="00272DCE" w:rsidRDefault="005B7F1A" w:rsidP="001F0F10">
      <w:pPr>
        <w:pStyle w:val="Bullet1G"/>
      </w:pPr>
      <w:r w:rsidRPr="00272DCE">
        <w:t>Étape 2 : Rechercher des situations réelles donnant des informations sur les types de matières visés, les difficultés rencontrées, etc., en vue de déterminer si les dispositions actuelles doivent être modifiées et, si tel est le cas, de quelle manière.</w:t>
      </w:r>
    </w:p>
    <w:p w14:paraId="23740D7A" w14:textId="77777777" w:rsidR="005B7F1A" w:rsidRPr="00272DCE" w:rsidRDefault="005B7F1A" w:rsidP="001F0F10">
      <w:pPr>
        <w:pStyle w:val="SingleTxtG"/>
      </w:pPr>
      <w:r w:rsidRPr="00272DCE">
        <w:t>78.</w:t>
      </w:r>
      <w:r w:rsidRPr="00272DCE">
        <w:tab/>
        <w:t>Une fois que les étapes 1 et 2 auraient été franchies, le Comité de sécurité évaluerait les résultats et réfléchirait à la façon de procéder pour la suite.</w:t>
      </w:r>
    </w:p>
    <w:p w14:paraId="3635C8BA" w14:textId="77777777" w:rsidR="005B7F1A" w:rsidRPr="00272DCE" w:rsidRDefault="005B7F1A" w:rsidP="001F0F10">
      <w:pPr>
        <w:pStyle w:val="SingleTxtG"/>
      </w:pPr>
      <w:r w:rsidRPr="00272DCE">
        <w:t>79.</w:t>
      </w:r>
      <w:r w:rsidRPr="00272DCE">
        <w:tab/>
        <w:t>Le représentant des Pays-Bas s</w:t>
      </w:r>
      <w:r w:rsidR="00681934" w:rsidRPr="00272DCE">
        <w:t>’</w:t>
      </w:r>
      <w:r w:rsidRPr="00272DCE">
        <w:t>est porté volontaire pour diriger les travaux du groupe de travail informel avec l</w:t>
      </w:r>
      <w:r w:rsidR="00681934" w:rsidRPr="00272DCE">
        <w:t>’</w:t>
      </w:r>
      <w:r w:rsidRPr="00272DCE">
        <w:t>appui de représentants du secteur du transport.</w:t>
      </w:r>
    </w:p>
    <w:p w14:paraId="48626561" w14:textId="77777777" w:rsidR="005B7F1A" w:rsidRPr="00272DCE" w:rsidRDefault="005B7F1A" w:rsidP="008D7EAD">
      <w:pPr>
        <w:pStyle w:val="HChG"/>
      </w:pPr>
      <w:r w:rsidRPr="00272DCE">
        <w:t>VIII.</w:t>
      </w:r>
      <w:r w:rsidRPr="00272DCE">
        <w:tab/>
      </w:r>
      <w:r w:rsidRPr="00272DCE">
        <w:tab/>
        <w:t xml:space="preserve">Programme de travail et calendrier des réunions </w:t>
      </w:r>
      <w:r w:rsidR="008D7EAD" w:rsidRPr="00272DCE">
        <w:br/>
      </w:r>
      <w:r w:rsidRPr="00272DCE">
        <w:t>(point 7 de l</w:t>
      </w:r>
      <w:r w:rsidR="00681934" w:rsidRPr="00272DCE">
        <w:t>’</w:t>
      </w:r>
      <w:r w:rsidRPr="00272DCE">
        <w:t>ordre de jour)</w:t>
      </w:r>
    </w:p>
    <w:p w14:paraId="01D823F7" w14:textId="77777777" w:rsidR="005B7F1A" w:rsidRPr="00272DCE" w:rsidRDefault="005B7F1A" w:rsidP="008D7EAD">
      <w:pPr>
        <w:pStyle w:val="H1G"/>
      </w:pPr>
      <w:r w:rsidRPr="00272DCE">
        <w:tab/>
        <w:t>A.</w:t>
      </w:r>
      <w:r w:rsidRPr="00272DCE">
        <w:tab/>
        <w:t>Calendrier des réunions</w:t>
      </w:r>
    </w:p>
    <w:p w14:paraId="5BE87985" w14:textId="77777777" w:rsidR="005B7F1A" w:rsidRPr="00272DCE" w:rsidRDefault="005B7F1A" w:rsidP="008D7EAD">
      <w:pPr>
        <w:pStyle w:val="SingleTxtG"/>
      </w:pPr>
      <w:r w:rsidRPr="00272DCE">
        <w:t>80.</w:t>
      </w:r>
      <w:r w:rsidRPr="00272DCE">
        <w:tab/>
        <w:t>Le Comité de sécurité a noté que sa trente-cinquième session se tiendrait à Genève du 26 au 30 août 2019 et que la vingt-troisième session du Comité d</w:t>
      </w:r>
      <w:r w:rsidR="00681934" w:rsidRPr="00272DCE">
        <w:t>’</w:t>
      </w:r>
      <w:r w:rsidRPr="00272DCE">
        <w:t>administration de l</w:t>
      </w:r>
      <w:r w:rsidR="00681934" w:rsidRPr="00272DCE">
        <w:t>’</w:t>
      </w:r>
      <w:r w:rsidRPr="00272DCE">
        <w:t>ADN devrait avoir lieu le 30 août 2019 (de midi à 13 heures). La date limite de soumission des documents pour les deux réunions a été fixée au 31 mai 2019.</w:t>
      </w:r>
      <w:bookmarkStart w:id="11" w:name="_Hlk535782012"/>
    </w:p>
    <w:bookmarkEnd w:id="11"/>
    <w:p w14:paraId="008AC567" w14:textId="77777777" w:rsidR="005B7F1A" w:rsidRPr="00272DCE" w:rsidRDefault="005B7F1A" w:rsidP="005B7F1A">
      <w:pPr>
        <w:pStyle w:val="H1G"/>
        <w:spacing w:line="240" w:lineRule="auto"/>
        <w:rPr>
          <w:szCs w:val="24"/>
        </w:rPr>
      </w:pPr>
      <w:r w:rsidRPr="00272DCE">
        <w:rPr>
          <w:szCs w:val="24"/>
        </w:rPr>
        <w:lastRenderedPageBreak/>
        <w:tab/>
        <w:t>B.</w:t>
      </w:r>
      <w:r w:rsidRPr="00272DCE">
        <w:rPr>
          <w:szCs w:val="24"/>
        </w:rPr>
        <w:tab/>
        <w:t>Groupe de travail informel des normes</w:t>
      </w:r>
    </w:p>
    <w:p w14:paraId="66C3C1FA" w14:textId="77777777" w:rsidR="005B7F1A" w:rsidRPr="00272DCE" w:rsidRDefault="005B7F1A" w:rsidP="00A67219">
      <w:pPr>
        <w:pStyle w:val="SingleTxtG"/>
        <w:keepNext/>
        <w:tabs>
          <w:tab w:val="left" w:pos="3402"/>
        </w:tabs>
        <w:spacing w:line="240" w:lineRule="auto"/>
        <w:ind w:left="3402" w:hanging="2268"/>
        <w:jc w:val="left"/>
      </w:pPr>
      <w:r w:rsidRPr="00272DCE">
        <w:rPr>
          <w:i/>
        </w:rPr>
        <w:t>Document</w:t>
      </w:r>
      <w:r w:rsidRPr="00272DCE">
        <w:t> :</w:t>
      </w:r>
      <w:r w:rsidRPr="00272DCE">
        <w:tab/>
      </w:r>
      <w:r w:rsidRPr="00272DCE">
        <w:rPr>
          <w:spacing w:val="-2"/>
        </w:rPr>
        <w:t>ECE/TRANS/WP.15/AC.2/2019/5 (Allemagne et Luxembourg)</w:t>
      </w:r>
    </w:p>
    <w:p w14:paraId="7EF5918C" w14:textId="77777777" w:rsidR="005B7F1A" w:rsidRPr="00272DCE" w:rsidRDefault="005B7F1A" w:rsidP="008D7EAD">
      <w:pPr>
        <w:pStyle w:val="SingleTxtG"/>
      </w:pPr>
      <w:r w:rsidRPr="00272DCE">
        <w:t>81.</w:t>
      </w:r>
      <w:r w:rsidRPr="00272DCE">
        <w:tab/>
        <w:t>Le Comité de sécurité a approuvé la création d</w:t>
      </w:r>
      <w:r w:rsidR="00681934" w:rsidRPr="00272DCE">
        <w:t>’</w:t>
      </w:r>
      <w:r w:rsidRPr="00272DCE">
        <w:t>un groupe de travail informel des normes, dont le mandat est reproduit au paragraphe 6 du document ci-dessus.</w:t>
      </w:r>
    </w:p>
    <w:p w14:paraId="2DDDAB96" w14:textId="77777777" w:rsidR="005B7F1A" w:rsidRPr="00272DCE" w:rsidRDefault="005B7F1A" w:rsidP="008D7EAD">
      <w:pPr>
        <w:pStyle w:val="SingleTxtG"/>
      </w:pPr>
      <w:r w:rsidRPr="00272DCE">
        <w:t>82.</w:t>
      </w:r>
      <w:r w:rsidRPr="00272DCE">
        <w:tab/>
        <w:t>Le représentant de la Fédération de Russie a exprimé des réserves à cet égard. Selon lui, l</w:t>
      </w:r>
      <w:r w:rsidR="00681934" w:rsidRPr="00272DCE">
        <w:t>’</w:t>
      </w:r>
      <w:r w:rsidRPr="00272DCE">
        <w:t>introduction de renvois à des normes régionales (en l</w:t>
      </w:r>
      <w:r w:rsidR="00681934" w:rsidRPr="00272DCE">
        <w:t>’</w:t>
      </w:r>
      <w:r w:rsidRPr="00272DCE">
        <w:t>espèce, celles auxquelles il est fait référence dans la législation de l</w:t>
      </w:r>
      <w:r w:rsidR="00681934" w:rsidRPr="00272DCE">
        <w:t>’</w:t>
      </w:r>
      <w:r w:rsidRPr="00272DCE">
        <w:t>UE) dans le texte d</w:t>
      </w:r>
      <w:r w:rsidR="00681934" w:rsidRPr="00272DCE">
        <w:t>’</w:t>
      </w:r>
      <w:r w:rsidRPr="00272DCE">
        <w:t>instruments internationaux tels que l</w:t>
      </w:r>
      <w:r w:rsidR="00681934" w:rsidRPr="00272DCE">
        <w:t>’</w:t>
      </w:r>
      <w:r w:rsidRPr="00272DCE">
        <w:t>ADN ne devrait pas être encouragée, car les Parties contractantes non</w:t>
      </w:r>
      <w:r w:rsidR="00C27FF4" w:rsidRPr="00272DCE">
        <w:t xml:space="preserve"> </w:t>
      </w:r>
      <w:r w:rsidRPr="00272DCE">
        <w:t>membres de l</w:t>
      </w:r>
      <w:r w:rsidR="00681934" w:rsidRPr="00272DCE">
        <w:t>’</w:t>
      </w:r>
      <w:r w:rsidRPr="00272DCE">
        <w:t>UE pourraient ne pas être en mesure de respecter ces normes.</w:t>
      </w:r>
    </w:p>
    <w:p w14:paraId="2C0C598F" w14:textId="77777777" w:rsidR="005B7F1A" w:rsidRPr="00272DCE" w:rsidRDefault="00A24936" w:rsidP="00A24936">
      <w:pPr>
        <w:pStyle w:val="HChG"/>
      </w:pPr>
      <w:r w:rsidRPr="00272DCE">
        <w:tab/>
      </w:r>
      <w:r w:rsidR="005B7F1A" w:rsidRPr="00272DCE">
        <w:t>IX.</w:t>
      </w:r>
      <w:r w:rsidR="005B7F1A" w:rsidRPr="00272DCE">
        <w:tab/>
        <w:t>Questions diverses (point 8 de l</w:t>
      </w:r>
      <w:r w:rsidR="00681934" w:rsidRPr="00272DCE">
        <w:t>’</w:t>
      </w:r>
      <w:r w:rsidR="005B7F1A" w:rsidRPr="00272DCE">
        <w:t>ordre du jour)</w:t>
      </w:r>
    </w:p>
    <w:p w14:paraId="70D48209" w14:textId="77777777" w:rsidR="005B7F1A" w:rsidRPr="00272DCE" w:rsidRDefault="005B7F1A" w:rsidP="00A67219">
      <w:pPr>
        <w:pStyle w:val="H23G"/>
      </w:pPr>
      <w:r w:rsidRPr="00272DCE">
        <w:tab/>
      </w:r>
      <w:r w:rsidR="00A67219" w:rsidRPr="00272DCE">
        <w:t>1</w:t>
      </w:r>
      <w:r w:rsidR="008D7EAD" w:rsidRPr="00272DCE">
        <w:t>.</w:t>
      </w:r>
      <w:r w:rsidR="008D7EAD" w:rsidRPr="00272DCE">
        <w:tab/>
      </w:r>
      <w:r w:rsidRPr="00272DCE">
        <w:t>Plateforme européenne du transport par voies navigables intérieures</w:t>
      </w:r>
    </w:p>
    <w:p w14:paraId="238D913A" w14:textId="77777777" w:rsidR="005B7F1A" w:rsidRPr="00272DCE" w:rsidRDefault="005B7F1A" w:rsidP="00A24936">
      <w:pPr>
        <w:pStyle w:val="SingleTxtG"/>
      </w:pPr>
      <w:r w:rsidRPr="00272DCE">
        <w:t>83.</w:t>
      </w:r>
      <w:r w:rsidRPr="00272DCE">
        <w:tab/>
        <w:t>Le Comité de sécurité a été informé que l</w:t>
      </w:r>
      <w:r w:rsidR="00681934" w:rsidRPr="00272DCE">
        <w:t>’</w:t>
      </w:r>
      <w:r w:rsidRPr="00272DCE">
        <w:t>UENF et l</w:t>
      </w:r>
      <w:r w:rsidR="00681934" w:rsidRPr="00272DCE">
        <w:t>’</w:t>
      </w:r>
      <w:r w:rsidRPr="00272DCE">
        <w:t>OEB avaient créé le 1</w:t>
      </w:r>
      <w:r w:rsidRPr="00272DCE">
        <w:rPr>
          <w:vertAlign w:val="superscript"/>
        </w:rPr>
        <w:t>er </w:t>
      </w:r>
      <w:r w:rsidRPr="00272DCE">
        <w:t>janvier 2019 la « Plateforme européenne du transport par voies navigables intérieures » et pris note du fait que son comité de l</w:t>
      </w:r>
      <w:r w:rsidR="00681934" w:rsidRPr="00272DCE">
        <w:t>’</w:t>
      </w:r>
      <w:r w:rsidRPr="00272DCE">
        <w:t>environnement et de la sûreté tiendrait compte des questions relatives à l</w:t>
      </w:r>
      <w:r w:rsidR="00681934" w:rsidRPr="00272DCE">
        <w:t>’</w:t>
      </w:r>
      <w:r w:rsidRPr="00272DCE">
        <w:t>ADN. Cette plateforme d</w:t>
      </w:r>
      <w:r w:rsidR="00681934" w:rsidRPr="00272DCE">
        <w:t>’</w:t>
      </w:r>
      <w:r w:rsidRPr="00272DCE">
        <w:t>un type nouveau a pour objet d</w:t>
      </w:r>
      <w:r w:rsidR="00681934" w:rsidRPr="00272DCE">
        <w:t>’</w:t>
      </w:r>
      <w:r w:rsidRPr="00272DCE">
        <w:t>offrir des compétences spécialisées à l</w:t>
      </w:r>
      <w:r w:rsidR="00681934" w:rsidRPr="00272DCE">
        <w:t>’</w:t>
      </w:r>
      <w:r w:rsidRPr="00272DCE">
        <w:t>ensemble des professionnels de la navigation intérieure et des institutions concernées.</w:t>
      </w:r>
    </w:p>
    <w:p w14:paraId="09091E96" w14:textId="77777777" w:rsidR="005B7F1A" w:rsidRPr="00272DCE" w:rsidRDefault="005B7F1A" w:rsidP="00A67219">
      <w:pPr>
        <w:pStyle w:val="H23G"/>
      </w:pPr>
      <w:r w:rsidRPr="00272DCE">
        <w:tab/>
      </w:r>
      <w:r w:rsidR="00A67219" w:rsidRPr="00272DCE">
        <w:t>2</w:t>
      </w:r>
      <w:r w:rsidRPr="00272DCE">
        <w:t>.</w:t>
      </w:r>
      <w:r w:rsidRPr="00272DCE">
        <w:tab/>
        <w:t>Hommage à M. </w:t>
      </w:r>
      <w:proofErr w:type="spellStart"/>
      <w:r w:rsidRPr="00272DCE">
        <w:t>Roggeman</w:t>
      </w:r>
      <w:proofErr w:type="spellEnd"/>
      <w:r w:rsidRPr="00272DCE">
        <w:t xml:space="preserve"> (Belgique)</w:t>
      </w:r>
    </w:p>
    <w:p w14:paraId="3DE72307" w14:textId="77777777" w:rsidR="005B7F1A" w:rsidRPr="00272DCE" w:rsidRDefault="005B7F1A" w:rsidP="00A24936">
      <w:pPr>
        <w:pStyle w:val="SingleTxtG"/>
      </w:pPr>
      <w:r w:rsidRPr="00272DCE">
        <w:t>84.</w:t>
      </w:r>
      <w:r w:rsidRPr="00272DCE">
        <w:tab/>
        <w:t>Le Comité de sécurité a été informé que M. </w:t>
      </w:r>
      <w:proofErr w:type="spellStart"/>
      <w:r w:rsidRPr="00272DCE">
        <w:t>Roggeman</w:t>
      </w:r>
      <w:proofErr w:type="spellEnd"/>
      <w:r w:rsidRPr="00272DCE">
        <w:t xml:space="preserve"> assumerait bientôt de nouvelles responsabilités et n</w:t>
      </w:r>
      <w:r w:rsidR="00681934" w:rsidRPr="00272DCE">
        <w:t>’</w:t>
      </w:r>
      <w:r w:rsidRPr="00272DCE">
        <w:t>assisterait plus aux sessions du Comité de sécurité en tant que membre de la délégation belge. Il l</w:t>
      </w:r>
      <w:r w:rsidR="00681934" w:rsidRPr="00272DCE">
        <w:t>’</w:t>
      </w:r>
      <w:r w:rsidRPr="00272DCE">
        <w:t>a remercié pour sa contribution à ses travaux et lui a souhaité bonne chance dans ses futures fonctions.</w:t>
      </w:r>
    </w:p>
    <w:p w14:paraId="6737A8C5" w14:textId="77777777" w:rsidR="005B7F1A" w:rsidRPr="00272DCE" w:rsidRDefault="005B7F1A" w:rsidP="00A67219">
      <w:pPr>
        <w:pStyle w:val="H23G"/>
      </w:pPr>
      <w:r w:rsidRPr="00272DCE">
        <w:tab/>
      </w:r>
      <w:bookmarkStart w:id="12" w:name="_Hlk9321667"/>
      <w:r w:rsidR="00A67219" w:rsidRPr="00272DCE">
        <w:t>3</w:t>
      </w:r>
      <w:r w:rsidR="00A24936" w:rsidRPr="00272DCE">
        <w:t>.</w:t>
      </w:r>
      <w:r w:rsidRPr="00272DCE">
        <w:tab/>
        <w:t>Accord multilatéral M024</w:t>
      </w:r>
    </w:p>
    <w:p w14:paraId="5D52769D" w14:textId="77777777" w:rsidR="005B7F1A" w:rsidRPr="00272DCE" w:rsidRDefault="005B7F1A" w:rsidP="00A24936">
      <w:pPr>
        <w:pStyle w:val="SingleTxtG"/>
      </w:pPr>
      <w:r w:rsidRPr="00272DCE">
        <w:t>85.</w:t>
      </w:r>
      <w:r w:rsidRPr="00272DCE">
        <w:tab/>
        <w:t>Le représentant du CEFIC a invité les Parties contractantes à envisager de signer l</w:t>
      </w:r>
      <w:r w:rsidR="00681934" w:rsidRPr="00272DCE">
        <w:t>’</w:t>
      </w:r>
      <w:r w:rsidRPr="00272DCE">
        <w:t>accord multilatéral M024 établi par l</w:t>
      </w:r>
      <w:r w:rsidR="00681934" w:rsidRPr="00272DCE">
        <w:t>’</w:t>
      </w:r>
      <w:r w:rsidRPr="00272DCE">
        <w:t>Allemagne. Cet accord permettrait l</w:t>
      </w:r>
      <w:r w:rsidR="00681934" w:rsidRPr="00272DCE">
        <w:t>’</w:t>
      </w:r>
      <w:r w:rsidRPr="00272DCE">
        <w:t xml:space="preserve">inscription </w:t>
      </w:r>
      <w:proofErr w:type="spellStart"/>
      <w:r w:rsidRPr="00272DCE">
        <w:t>des</w:t>
      </w:r>
      <w:proofErr w:type="spellEnd"/>
      <w:r w:rsidRPr="00272DCE">
        <w:t xml:space="preserve"> Nos</w:t>
      </w:r>
      <w:r w:rsidR="00221FB9" w:rsidRPr="00272DCE">
        <w:t> </w:t>
      </w:r>
      <w:r w:rsidRPr="00272DCE">
        <w:t>ONU 1179, 1216 et 3256 sur les listes des matières transportables conformément au 1.16.1.2.5, avant l</w:t>
      </w:r>
      <w:r w:rsidR="00681934" w:rsidRPr="00272DCE">
        <w:t>’</w:t>
      </w:r>
      <w:r w:rsidRPr="00272DCE">
        <w:t>entrée en vigueur, le 1</w:t>
      </w:r>
      <w:r w:rsidRPr="00272DCE">
        <w:rPr>
          <w:vertAlign w:val="superscript"/>
        </w:rPr>
        <w:t>er</w:t>
      </w:r>
      <w:r w:rsidRPr="00272DCE">
        <w:t> janvier 2021, de l</w:t>
      </w:r>
      <w:r w:rsidR="00681934" w:rsidRPr="00272DCE">
        <w:t>’</w:t>
      </w:r>
      <w:r w:rsidRPr="00272DCE">
        <w:t xml:space="preserve">amendement correspondant </w:t>
      </w:r>
      <w:proofErr w:type="gramStart"/>
      <w:r w:rsidRPr="00272DCE">
        <w:t>adopté</w:t>
      </w:r>
      <w:proofErr w:type="gramEnd"/>
      <w:r w:rsidRPr="00272DCE">
        <w:t xml:space="preserve"> à la trente-troisième session du Comité de sécurité (voir ECE/TRANS/WP.15/ AC.2/68, par. 65).</w:t>
      </w:r>
    </w:p>
    <w:bookmarkEnd w:id="12"/>
    <w:p w14:paraId="3F9D5833" w14:textId="77777777" w:rsidR="005B7F1A" w:rsidRPr="00272DCE" w:rsidRDefault="00A67219" w:rsidP="00A67219">
      <w:pPr>
        <w:pStyle w:val="HChG"/>
      </w:pPr>
      <w:r w:rsidRPr="00272DCE">
        <w:tab/>
      </w:r>
      <w:r w:rsidR="005B7F1A" w:rsidRPr="00272DCE">
        <w:t>X.</w:t>
      </w:r>
      <w:r w:rsidR="005B7F1A" w:rsidRPr="00272DCE">
        <w:tab/>
        <w:t>Adoption du rapport (point 9 de l</w:t>
      </w:r>
      <w:r w:rsidR="00681934" w:rsidRPr="00272DCE">
        <w:t>’</w:t>
      </w:r>
      <w:r w:rsidR="005B7F1A" w:rsidRPr="00272DCE">
        <w:t>ordre du jour)</w:t>
      </w:r>
    </w:p>
    <w:p w14:paraId="124D7D56" w14:textId="77777777" w:rsidR="000A57E3" w:rsidRPr="00272DCE" w:rsidRDefault="005B7F1A" w:rsidP="00A67219">
      <w:pPr>
        <w:pStyle w:val="SingleTxtG"/>
      </w:pPr>
      <w:r w:rsidRPr="00272DCE">
        <w:t>86.</w:t>
      </w:r>
      <w:r w:rsidRPr="00272DCE">
        <w:tab/>
        <w:t>Le Comité de sécurité a adopté le rapport sur sa trente-quatrième session sur la base d</w:t>
      </w:r>
      <w:r w:rsidR="00681934" w:rsidRPr="00272DCE">
        <w:t>’</w:t>
      </w:r>
      <w:r w:rsidRPr="00272DCE">
        <w:t>un projet établi par le secrétariat.</w:t>
      </w:r>
    </w:p>
    <w:p w14:paraId="41CE19CB" w14:textId="77777777" w:rsidR="00EF26E6" w:rsidRPr="00272DCE" w:rsidRDefault="000A57E3" w:rsidP="00CD24D9">
      <w:pPr>
        <w:pStyle w:val="HChG"/>
      </w:pPr>
      <w:r w:rsidRPr="00272DCE">
        <w:br w:type="page"/>
      </w:r>
      <w:r w:rsidR="00CD24D9" w:rsidRPr="00272DCE">
        <w:lastRenderedPageBreak/>
        <w:t xml:space="preserve">Annexe </w:t>
      </w:r>
      <w:r w:rsidR="00637635" w:rsidRPr="00272DCE">
        <w:t>I</w:t>
      </w:r>
    </w:p>
    <w:p w14:paraId="1AC05A83" w14:textId="77777777" w:rsidR="00CD24D9" w:rsidRPr="00272DCE" w:rsidRDefault="00CD24D9" w:rsidP="00CD24D9">
      <w:pPr>
        <w:pStyle w:val="HChG"/>
      </w:pPr>
      <w:r w:rsidRPr="00272DCE">
        <w:tab/>
      </w:r>
      <w:r w:rsidRPr="00272DCE">
        <w:tab/>
        <w:t>Propositions d</w:t>
      </w:r>
      <w:r w:rsidR="00681934" w:rsidRPr="00272DCE">
        <w:t>’</w:t>
      </w:r>
      <w:r w:rsidRPr="00272DCE">
        <w:t>amendements au Règlement annexé à l</w:t>
      </w:r>
      <w:r w:rsidR="00681934" w:rsidRPr="00272DCE">
        <w:t>’</w:t>
      </w:r>
      <w:r w:rsidRPr="00272DCE">
        <w:t xml:space="preserve">ADN pour </w:t>
      </w:r>
      <w:proofErr w:type="spellStart"/>
      <w:r w:rsidRPr="00272DCE">
        <w:t>entrée</w:t>
      </w:r>
      <w:proofErr w:type="spellEnd"/>
      <w:r w:rsidRPr="00272DCE">
        <w:t xml:space="preserve"> en vigueur le 1</w:t>
      </w:r>
      <w:r w:rsidRPr="00272DCE">
        <w:rPr>
          <w:vertAlign w:val="superscript"/>
        </w:rPr>
        <w:t>er</w:t>
      </w:r>
      <w:r w:rsidRPr="00272DCE">
        <w:t xml:space="preserve"> janvier 2021</w:t>
      </w:r>
    </w:p>
    <w:p w14:paraId="605D1E4B" w14:textId="77777777" w:rsidR="00CD24D9" w:rsidRPr="00272DCE" w:rsidRDefault="00CD24D9" w:rsidP="00CD24D9">
      <w:pPr>
        <w:pStyle w:val="H1G"/>
      </w:pPr>
      <w:r w:rsidRPr="00272DCE">
        <w:tab/>
      </w:r>
      <w:r w:rsidRPr="00272DCE">
        <w:tab/>
        <w:t>Chapitre 1.1</w:t>
      </w:r>
    </w:p>
    <w:p w14:paraId="6F6000C1" w14:textId="77777777" w:rsidR="00CD24D9" w:rsidRPr="00272DCE" w:rsidRDefault="00CD24D9" w:rsidP="00FA22C6">
      <w:pPr>
        <w:pStyle w:val="SingleTxtG"/>
        <w:ind w:left="2268" w:hanging="1134"/>
      </w:pPr>
      <w:r w:rsidRPr="00272DCE">
        <w:t>1.1.3.6</w:t>
      </w:r>
      <w:r w:rsidRPr="00272DCE">
        <w:tab/>
      </w:r>
      <w:r w:rsidR="00FA22C6" w:rsidRPr="00272DCE">
        <w:t>M</w:t>
      </w:r>
      <w:r w:rsidRPr="00272DCE">
        <w:t>odifier comme suit :</w:t>
      </w:r>
    </w:p>
    <w:p w14:paraId="5109E054" w14:textId="77777777" w:rsidR="00CD24D9" w:rsidRPr="00272DCE" w:rsidRDefault="00CD24D9" w:rsidP="00FA22C6">
      <w:pPr>
        <w:pStyle w:val="SingleTxtG"/>
        <w:ind w:left="2268" w:hanging="1134"/>
      </w:pPr>
      <w:r w:rsidRPr="00272DCE">
        <w:t>« </w:t>
      </w:r>
      <w:r w:rsidRPr="00272DCE">
        <w:rPr>
          <w:b/>
        </w:rPr>
        <w:t>1.1.3.6</w:t>
      </w:r>
      <w:r w:rsidRPr="00272DCE">
        <w:rPr>
          <w:b/>
        </w:rPr>
        <w:tab/>
      </w:r>
      <w:r w:rsidRPr="00272DCE">
        <w:rPr>
          <w:b/>
          <w:i/>
        </w:rPr>
        <w:t>Exemptions liées aux quantités transportées à bord des bateaux</w:t>
      </w:r>
    </w:p>
    <w:p w14:paraId="02EFC5DE" w14:textId="77777777" w:rsidR="00CD24D9" w:rsidRPr="00272DCE" w:rsidRDefault="00CD24D9" w:rsidP="00FA22C6">
      <w:pPr>
        <w:pStyle w:val="SingleTxtG"/>
      </w:pPr>
      <w:r w:rsidRPr="00272DCE">
        <w:t>1.1.3.6.1</w:t>
      </w:r>
      <w:r w:rsidRPr="00272DCE">
        <w:tab/>
        <w:t>En cas de transport de marchandises dangereuses en colis, les dispositions de l</w:t>
      </w:r>
      <w:r w:rsidR="00681934" w:rsidRPr="00272DCE">
        <w:t>’</w:t>
      </w:r>
      <w:r w:rsidRPr="00272DCE">
        <w:t>ADN autres que celles du paragraphe 1.1.3.6.2 ne sont pas applicables lorsque la masse brute de toutes les marchandises dangereuses transportées ne dépasse pas 3 000 kg et, pour les différentes classes, ne dépasse pas la quantité indiquée dans le tableau ci-dessous.</w:t>
      </w:r>
    </w:p>
    <w:tbl>
      <w:tblPr>
        <w:tblW w:w="7370" w:type="dxa"/>
        <w:tblInd w:w="1134" w:type="dxa"/>
        <w:tblLayout w:type="fixed"/>
        <w:tblCellMar>
          <w:left w:w="0" w:type="dxa"/>
          <w:right w:w="0" w:type="dxa"/>
        </w:tblCellMar>
        <w:tblLook w:val="0000" w:firstRow="0" w:lastRow="0" w:firstColumn="0" w:lastColumn="0" w:noHBand="0" w:noVBand="0"/>
      </w:tblPr>
      <w:tblGrid>
        <w:gridCol w:w="735"/>
        <w:gridCol w:w="8"/>
        <w:gridCol w:w="4156"/>
        <w:gridCol w:w="823"/>
        <w:gridCol w:w="824"/>
        <w:gridCol w:w="824"/>
      </w:tblGrid>
      <w:tr w:rsidR="007541AB" w:rsidRPr="00272DCE" w14:paraId="274EB6A1" w14:textId="77777777" w:rsidTr="00A329CF">
        <w:trPr>
          <w:tblHeader/>
        </w:trPr>
        <w:tc>
          <w:tcPr>
            <w:tcW w:w="743" w:type="dxa"/>
            <w:gridSpan w:val="2"/>
            <w:tcBorders>
              <w:top w:val="single" w:sz="4" w:space="0" w:color="auto"/>
              <w:bottom w:val="single" w:sz="12" w:space="0" w:color="auto"/>
            </w:tcBorders>
            <w:shd w:val="clear" w:color="auto" w:fill="auto"/>
            <w:vAlign w:val="bottom"/>
          </w:tcPr>
          <w:p w14:paraId="438696D6" w14:textId="77777777" w:rsidR="007541AB" w:rsidRPr="00272DCE" w:rsidRDefault="007541AB" w:rsidP="00A329CF">
            <w:pPr>
              <w:spacing w:before="80" w:after="80" w:line="200" w:lineRule="exact"/>
              <w:rPr>
                <w:i/>
                <w:sz w:val="16"/>
              </w:rPr>
            </w:pPr>
            <w:r w:rsidRPr="00272DCE">
              <w:rPr>
                <w:i/>
                <w:sz w:val="16"/>
              </w:rPr>
              <w:t>Classe</w:t>
            </w:r>
          </w:p>
        </w:tc>
        <w:tc>
          <w:tcPr>
            <w:tcW w:w="4156" w:type="dxa"/>
            <w:tcBorders>
              <w:top w:val="single" w:sz="4" w:space="0" w:color="auto"/>
              <w:bottom w:val="single" w:sz="12" w:space="0" w:color="auto"/>
            </w:tcBorders>
            <w:shd w:val="clear" w:color="auto" w:fill="auto"/>
            <w:vAlign w:val="bottom"/>
          </w:tcPr>
          <w:p w14:paraId="1D556AA3" w14:textId="77777777" w:rsidR="007541AB" w:rsidRPr="00272DCE" w:rsidRDefault="007541AB" w:rsidP="00A329CF">
            <w:pPr>
              <w:spacing w:before="80" w:after="80" w:line="200" w:lineRule="exact"/>
              <w:rPr>
                <w:i/>
                <w:sz w:val="16"/>
              </w:rPr>
            </w:pPr>
            <w:r w:rsidRPr="00272DCE">
              <w:rPr>
                <w:i/>
                <w:sz w:val="16"/>
              </w:rPr>
              <w:t xml:space="preserve">Matières ou objets en colis </w:t>
            </w:r>
          </w:p>
        </w:tc>
        <w:tc>
          <w:tcPr>
            <w:tcW w:w="2471" w:type="dxa"/>
            <w:gridSpan w:val="3"/>
            <w:tcBorders>
              <w:top w:val="single" w:sz="4" w:space="0" w:color="auto"/>
              <w:bottom w:val="single" w:sz="12" w:space="0" w:color="auto"/>
            </w:tcBorders>
            <w:shd w:val="clear" w:color="auto" w:fill="auto"/>
            <w:vAlign w:val="bottom"/>
          </w:tcPr>
          <w:p w14:paraId="70E89FFE" w14:textId="77777777" w:rsidR="007541AB" w:rsidRPr="00272DCE" w:rsidRDefault="007541AB" w:rsidP="00A329CF">
            <w:pPr>
              <w:spacing w:before="80" w:after="80" w:line="200" w:lineRule="exact"/>
              <w:jc w:val="right"/>
              <w:rPr>
                <w:i/>
                <w:sz w:val="16"/>
              </w:rPr>
            </w:pPr>
            <w:r w:rsidRPr="00272DCE">
              <w:rPr>
                <w:i/>
                <w:sz w:val="16"/>
              </w:rPr>
              <w:t>Quantités exemptées (en kg)</w:t>
            </w:r>
          </w:p>
        </w:tc>
      </w:tr>
      <w:tr w:rsidR="007541AB" w:rsidRPr="00272DCE" w14:paraId="1B525982" w14:textId="77777777" w:rsidTr="00A329CF">
        <w:tc>
          <w:tcPr>
            <w:tcW w:w="735" w:type="dxa"/>
            <w:tcBorders>
              <w:top w:val="single" w:sz="12" w:space="0" w:color="auto"/>
              <w:bottom w:val="single" w:sz="4" w:space="0" w:color="auto"/>
            </w:tcBorders>
            <w:shd w:val="clear" w:color="auto" w:fill="auto"/>
          </w:tcPr>
          <w:p w14:paraId="11C112F0" w14:textId="77777777" w:rsidR="007541AB" w:rsidRPr="00272DCE" w:rsidRDefault="007541AB" w:rsidP="00870F99">
            <w:pPr>
              <w:spacing w:before="60" w:after="60" w:line="220" w:lineRule="exact"/>
              <w:rPr>
                <w:b/>
                <w:i/>
                <w:sz w:val="18"/>
              </w:rPr>
            </w:pPr>
            <w:r w:rsidRPr="00272DCE">
              <w:rPr>
                <w:b/>
                <w:i/>
                <w:sz w:val="18"/>
              </w:rPr>
              <w:t>Toutes</w:t>
            </w:r>
          </w:p>
        </w:tc>
        <w:tc>
          <w:tcPr>
            <w:tcW w:w="4164" w:type="dxa"/>
            <w:gridSpan w:val="2"/>
            <w:tcBorders>
              <w:top w:val="single" w:sz="12" w:space="0" w:color="auto"/>
              <w:bottom w:val="single" w:sz="4" w:space="0" w:color="auto"/>
            </w:tcBorders>
            <w:shd w:val="clear" w:color="auto" w:fill="auto"/>
          </w:tcPr>
          <w:p w14:paraId="37002980" w14:textId="77777777" w:rsidR="007541AB" w:rsidRPr="00272DCE" w:rsidRDefault="007541AB" w:rsidP="00870F99">
            <w:pPr>
              <w:spacing w:before="60" w:after="60" w:line="220" w:lineRule="exact"/>
              <w:rPr>
                <w:b/>
                <w:i/>
                <w:sz w:val="18"/>
              </w:rPr>
            </w:pPr>
            <w:r w:rsidRPr="00272DCE">
              <w:rPr>
                <w:b/>
                <w:i/>
                <w:sz w:val="18"/>
              </w:rPr>
              <w:t>Transport en citernes de toute classe</w:t>
            </w:r>
          </w:p>
        </w:tc>
        <w:tc>
          <w:tcPr>
            <w:tcW w:w="823" w:type="dxa"/>
            <w:tcBorders>
              <w:top w:val="single" w:sz="12" w:space="0" w:color="auto"/>
              <w:bottom w:val="single" w:sz="4" w:space="0" w:color="auto"/>
            </w:tcBorders>
            <w:shd w:val="clear" w:color="auto" w:fill="auto"/>
            <w:vAlign w:val="bottom"/>
          </w:tcPr>
          <w:p w14:paraId="1C44E2B4" w14:textId="77777777" w:rsidR="007541AB" w:rsidRPr="00272DCE" w:rsidRDefault="007541AB" w:rsidP="00870F99">
            <w:pPr>
              <w:spacing w:before="60" w:after="60" w:line="220" w:lineRule="exact"/>
              <w:jc w:val="right"/>
              <w:rPr>
                <w:b/>
                <w:i/>
                <w:sz w:val="18"/>
              </w:rPr>
            </w:pPr>
          </w:p>
        </w:tc>
        <w:tc>
          <w:tcPr>
            <w:tcW w:w="824" w:type="dxa"/>
            <w:tcBorders>
              <w:top w:val="single" w:sz="12" w:space="0" w:color="auto"/>
              <w:bottom w:val="single" w:sz="4" w:space="0" w:color="auto"/>
            </w:tcBorders>
            <w:shd w:val="clear" w:color="auto" w:fill="auto"/>
            <w:vAlign w:val="bottom"/>
          </w:tcPr>
          <w:p w14:paraId="19B9C6A5" w14:textId="77777777" w:rsidR="007541AB" w:rsidRPr="00272DCE" w:rsidRDefault="007541AB" w:rsidP="00870F99">
            <w:pPr>
              <w:spacing w:before="60" w:after="60" w:line="220" w:lineRule="exact"/>
              <w:jc w:val="right"/>
              <w:rPr>
                <w:b/>
                <w:i/>
                <w:sz w:val="18"/>
              </w:rPr>
            </w:pPr>
          </w:p>
        </w:tc>
        <w:tc>
          <w:tcPr>
            <w:tcW w:w="824" w:type="dxa"/>
            <w:tcBorders>
              <w:top w:val="single" w:sz="12" w:space="0" w:color="auto"/>
              <w:bottom w:val="single" w:sz="4" w:space="0" w:color="auto"/>
            </w:tcBorders>
            <w:shd w:val="clear" w:color="auto" w:fill="auto"/>
            <w:vAlign w:val="bottom"/>
          </w:tcPr>
          <w:p w14:paraId="070664B6" w14:textId="77777777" w:rsidR="007541AB" w:rsidRPr="00272DCE" w:rsidRDefault="007541AB" w:rsidP="00870F99">
            <w:pPr>
              <w:spacing w:before="60" w:after="60" w:line="220" w:lineRule="exact"/>
              <w:jc w:val="right"/>
              <w:rPr>
                <w:b/>
                <w:sz w:val="18"/>
              </w:rPr>
            </w:pPr>
            <w:r w:rsidRPr="00272DCE">
              <w:rPr>
                <w:b/>
                <w:sz w:val="18"/>
              </w:rPr>
              <w:t>0</w:t>
            </w:r>
          </w:p>
        </w:tc>
      </w:tr>
      <w:tr w:rsidR="007541AB" w:rsidRPr="00272DCE" w14:paraId="17C374A7" w14:textId="77777777" w:rsidTr="00A329CF">
        <w:tc>
          <w:tcPr>
            <w:tcW w:w="735" w:type="dxa"/>
            <w:tcBorders>
              <w:top w:val="single" w:sz="4" w:space="0" w:color="auto"/>
              <w:bottom w:val="single" w:sz="4" w:space="0" w:color="auto"/>
            </w:tcBorders>
            <w:shd w:val="clear" w:color="auto" w:fill="auto"/>
          </w:tcPr>
          <w:p w14:paraId="41409D54" w14:textId="77777777" w:rsidR="007541AB" w:rsidRPr="00272DCE" w:rsidRDefault="007541AB" w:rsidP="00870F99">
            <w:pPr>
              <w:spacing w:before="60" w:after="60" w:line="220" w:lineRule="exact"/>
              <w:rPr>
                <w:b/>
                <w:sz w:val="18"/>
              </w:rPr>
            </w:pPr>
            <w:r w:rsidRPr="00272DCE">
              <w:rPr>
                <w:b/>
                <w:sz w:val="18"/>
              </w:rPr>
              <w:t>1</w:t>
            </w:r>
          </w:p>
        </w:tc>
        <w:tc>
          <w:tcPr>
            <w:tcW w:w="4164" w:type="dxa"/>
            <w:gridSpan w:val="2"/>
            <w:tcBorders>
              <w:top w:val="single" w:sz="4" w:space="0" w:color="auto"/>
              <w:bottom w:val="single" w:sz="4" w:space="0" w:color="auto"/>
            </w:tcBorders>
            <w:shd w:val="clear" w:color="auto" w:fill="auto"/>
          </w:tcPr>
          <w:p w14:paraId="66E075D5" w14:textId="77777777" w:rsidR="007541AB" w:rsidRPr="00272DCE" w:rsidRDefault="007541AB" w:rsidP="00870F99">
            <w:pPr>
              <w:spacing w:before="60" w:after="60" w:line="220" w:lineRule="exact"/>
              <w:rPr>
                <w:sz w:val="18"/>
              </w:rPr>
            </w:pPr>
            <w:r w:rsidRPr="00272DCE">
              <w:rPr>
                <w:sz w:val="18"/>
              </w:rPr>
              <w:t>Matières et objets de la classe 1</w:t>
            </w:r>
          </w:p>
        </w:tc>
        <w:tc>
          <w:tcPr>
            <w:tcW w:w="823" w:type="dxa"/>
            <w:tcBorders>
              <w:top w:val="single" w:sz="4" w:space="0" w:color="auto"/>
              <w:bottom w:val="single" w:sz="4" w:space="0" w:color="auto"/>
            </w:tcBorders>
            <w:shd w:val="clear" w:color="auto" w:fill="auto"/>
            <w:vAlign w:val="bottom"/>
          </w:tcPr>
          <w:p w14:paraId="4C154FCF" w14:textId="77777777" w:rsidR="007541AB" w:rsidRPr="00272DCE" w:rsidRDefault="007541AB" w:rsidP="00870F99">
            <w:pPr>
              <w:spacing w:before="60" w:after="60" w:line="220" w:lineRule="exact"/>
              <w:jc w:val="right"/>
              <w:rPr>
                <w:sz w:val="18"/>
              </w:rPr>
            </w:pPr>
          </w:p>
        </w:tc>
        <w:tc>
          <w:tcPr>
            <w:tcW w:w="824" w:type="dxa"/>
            <w:tcBorders>
              <w:top w:val="single" w:sz="4" w:space="0" w:color="auto"/>
              <w:bottom w:val="single" w:sz="4" w:space="0" w:color="auto"/>
            </w:tcBorders>
            <w:shd w:val="clear" w:color="auto" w:fill="auto"/>
            <w:vAlign w:val="bottom"/>
          </w:tcPr>
          <w:p w14:paraId="68A39376" w14:textId="77777777" w:rsidR="007541AB" w:rsidRPr="00272DCE" w:rsidRDefault="007541AB" w:rsidP="00870F99">
            <w:pPr>
              <w:spacing w:before="60" w:after="60" w:line="220" w:lineRule="exact"/>
              <w:jc w:val="right"/>
              <w:rPr>
                <w:sz w:val="18"/>
              </w:rPr>
            </w:pPr>
          </w:p>
        </w:tc>
        <w:tc>
          <w:tcPr>
            <w:tcW w:w="824" w:type="dxa"/>
            <w:tcBorders>
              <w:top w:val="single" w:sz="4" w:space="0" w:color="auto"/>
              <w:bottom w:val="single" w:sz="4" w:space="0" w:color="auto"/>
            </w:tcBorders>
            <w:shd w:val="clear" w:color="auto" w:fill="auto"/>
            <w:vAlign w:val="bottom"/>
          </w:tcPr>
          <w:p w14:paraId="665CF8D8" w14:textId="77777777" w:rsidR="007541AB" w:rsidRPr="00272DCE" w:rsidRDefault="007541AB" w:rsidP="00870F99">
            <w:pPr>
              <w:spacing w:before="60" w:after="60" w:line="220" w:lineRule="exact"/>
              <w:jc w:val="right"/>
              <w:rPr>
                <w:sz w:val="18"/>
              </w:rPr>
            </w:pPr>
            <w:r w:rsidRPr="00272DCE">
              <w:rPr>
                <w:sz w:val="18"/>
              </w:rPr>
              <w:t>0</w:t>
            </w:r>
          </w:p>
        </w:tc>
      </w:tr>
      <w:tr w:rsidR="007541AB" w:rsidRPr="00272DCE" w14:paraId="50194A0E" w14:textId="77777777" w:rsidTr="00A329CF">
        <w:tc>
          <w:tcPr>
            <w:tcW w:w="735" w:type="dxa"/>
            <w:vMerge w:val="restart"/>
            <w:tcBorders>
              <w:top w:val="single" w:sz="4" w:space="0" w:color="auto"/>
            </w:tcBorders>
            <w:shd w:val="clear" w:color="auto" w:fill="auto"/>
          </w:tcPr>
          <w:p w14:paraId="405ED9A6" w14:textId="77777777" w:rsidR="007541AB" w:rsidRPr="00272DCE" w:rsidRDefault="007541AB" w:rsidP="00870F99">
            <w:pPr>
              <w:spacing w:before="60" w:after="60" w:line="220" w:lineRule="exact"/>
              <w:rPr>
                <w:b/>
                <w:sz w:val="18"/>
              </w:rPr>
            </w:pPr>
            <w:r w:rsidRPr="00272DCE">
              <w:rPr>
                <w:b/>
                <w:sz w:val="18"/>
              </w:rPr>
              <w:t>2</w:t>
            </w:r>
          </w:p>
        </w:tc>
        <w:tc>
          <w:tcPr>
            <w:tcW w:w="4164" w:type="dxa"/>
            <w:gridSpan w:val="2"/>
            <w:tcBorders>
              <w:top w:val="single" w:sz="4" w:space="0" w:color="auto"/>
              <w:bottom w:val="single" w:sz="4" w:space="0" w:color="auto"/>
            </w:tcBorders>
            <w:shd w:val="clear" w:color="auto" w:fill="auto"/>
          </w:tcPr>
          <w:p w14:paraId="11D08AE0" w14:textId="77777777" w:rsidR="007541AB" w:rsidRPr="00272DCE" w:rsidRDefault="007541AB" w:rsidP="00870F99">
            <w:pPr>
              <w:tabs>
                <w:tab w:val="left" w:pos="252"/>
              </w:tabs>
              <w:spacing w:before="60" w:after="60" w:line="220" w:lineRule="exact"/>
              <w:rPr>
                <w:sz w:val="18"/>
                <w:szCs w:val="18"/>
              </w:rPr>
            </w:pPr>
            <w:r w:rsidRPr="00272DCE">
              <w:rPr>
                <w:sz w:val="18"/>
                <w:szCs w:val="18"/>
              </w:rPr>
              <w:t>-</w:t>
            </w:r>
            <w:r w:rsidRPr="00272DCE">
              <w:rPr>
                <w:sz w:val="18"/>
                <w:szCs w:val="18"/>
              </w:rPr>
              <w:tab/>
              <w:t xml:space="preserve">Matières et objets de la classe 2, groupes T, F, TF, TC, TO, TFC ou TOC selon le paragraphe 2.2.2.1.3 et </w:t>
            </w:r>
          </w:p>
          <w:p w14:paraId="086C777D" w14:textId="77777777" w:rsidR="007541AB" w:rsidRPr="00272DCE" w:rsidRDefault="007541AB" w:rsidP="00870F99">
            <w:pPr>
              <w:tabs>
                <w:tab w:val="left" w:pos="252"/>
              </w:tabs>
              <w:spacing w:before="60" w:after="60" w:line="220" w:lineRule="exact"/>
              <w:rPr>
                <w:sz w:val="18"/>
              </w:rPr>
            </w:pPr>
            <w:r w:rsidRPr="00272DCE">
              <w:rPr>
                <w:sz w:val="18"/>
              </w:rPr>
              <w:t>-</w:t>
            </w:r>
            <w:r w:rsidRPr="00272DCE">
              <w:rPr>
                <w:sz w:val="18"/>
              </w:rPr>
              <w:tab/>
              <w:t>Aérosols des groupes C, CO, F, FC, T, TF, TC, TO, TFC et TOC selon le paragraphe 2.2.2.1.6</w:t>
            </w:r>
          </w:p>
        </w:tc>
        <w:tc>
          <w:tcPr>
            <w:tcW w:w="823" w:type="dxa"/>
            <w:tcBorders>
              <w:top w:val="single" w:sz="4" w:space="0" w:color="auto"/>
              <w:bottom w:val="single" w:sz="4" w:space="0" w:color="auto"/>
            </w:tcBorders>
            <w:shd w:val="clear" w:color="auto" w:fill="auto"/>
            <w:vAlign w:val="bottom"/>
          </w:tcPr>
          <w:p w14:paraId="4430AE28" w14:textId="77777777" w:rsidR="007541AB" w:rsidRPr="00272DCE" w:rsidRDefault="007541AB" w:rsidP="00870F99">
            <w:pPr>
              <w:spacing w:before="60" w:after="60" w:line="220" w:lineRule="exact"/>
              <w:jc w:val="right"/>
              <w:rPr>
                <w:sz w:val="18"/>
              </w:rPr>
            </w:pPr>
          </w:p>
        </w:tc>
        <w:tc>
          <w:tcPr>
            <w:tcW w:w="824" w:type="dxa"/>
            <w:tcBorders>
              <w:top w:val="single" w:sz="4" w:space="0" w:color="auto"/>
              <w:bottom w:val="single" w:sz="4" w:space="0" w:color="auto"/>
            </w:tcBorders>
            <w:shd w:val="clear" w:color="auto" w:fill="auto"/>
            <w:vAlign w:val="bottom"/>
          </w:tcPr>
          <w:p w14:paraId="1A9613C5" w14:textId="77777777" w:rsidR="007541AB" w:rsidRPr="00272DCE" w:rsidRDefault="007541AB" w:rsidP="00870F99">
            <w:pPr>
              <w:spacing w:before="60" w:after="60" w:line="220" w:lineRule="exact"/>
              <w:jc w:val="right"/>
              <w:rPr>
                <w:sz w:val="18"/>
              </w:rPr>
            </w:pPr>
          </w:p>
        </w:tc>
        <w:tc>
          <w:tcPr>
            <w:tcW w:w="824" w:type="dxa"/>
            <w:tcBorders>
              <w:top w:val="single" w:sz="4" w:space="0" w:color="auto"/>
              <w:bottom w:val="single" w:sz="4" w:space="0" w:color="auto"/>
            </w:tcBorders>
            <w:shd w:val="clear" w:color="auto" w:fill="auto"/>
            <w:vAlign w:val="bottom"/>
          </w:tcPr>
          <w:p w14:paraId="0A811AE0" w14:textId="77777777" w:rsidR="007541AB" w:rsidRPr="00272DCE" w:rsidRDefault="007541AB" w:rsidP="00870F99">
            <w:pPr>
              <w:spacing w:before="60" w:after="60" w:line="220" w:lineRule="exact"/>
              <w:jc w:val="right"/>
              <w:rPr>
                <w:sz w:val="18"/>
              </w:rPr>
            </w:pPr>
          </w:p>
          <w:p w14:paraId="15F0C098" w14:textId="77777777" w:rsidR="007541AB" w:rsidRPr="00272DCE" w:rsidRDefault="007541AB" w:rsidP="00870F99">
            <w:pPr>
              <w:spacing w:before="60" w:after="60" w:line="220" w:lineRule="exact"/>
              <w:jc w:val="right"/>
              <w:rPr>
                <w:sz w:val="18"/>
              </w:rPr>
            </w:pPr>
            <w:r w:rsidRPr="00272DCE">
              <w:rPr>
                <w:sz w:val="18"/>
              </w:rPr>
              <w:t>0</w:t>
            </w:r>
          </w:p>
        </w:tc>
      </w:tr>
      <w:tr w:rsidR="007541AB" w:rsidRPr="00272DCE" w14:paraId="2A74500D" w14:textId="77777777" w:rsidTr="00A329CF">
        <w:tc>
          <w:tcPr>
            <w:tcW w:w="735" w:type="dxa"/>
            <w:vMerge/>
            <w:shd w:val="clear" w:color="auto" w:fill="auto"/>
          </w:tcPr>
          <w:p w14:paraId="753AD5D2" w14:textId="77777777" w:rsidR="007541AB" w:rsidRPr="00272DCE" w:rsidRDefault="007541AB" w:rsidP="00870F99">
            <w:pPr>
              <w:spacing w:before="60" w:after="60" w:line="220" w:lineRule="exact"/>
              <w:rPr>
                <w:sz w:val="18"/>
              </w:rPr>
            </w:pPr>
          </w:p>
        </w:tc>
        <w:tc>
          <w:tcPr>
            <w:tcW w:w="4164" w:type="dxa"/>
            <w:gridSpan w:val="2"/>
            <w:tcBorders>
              <w:top w:val="single" w:sz="4" w:space="0" w:color="auto"/>
              <w:bottom w:val="single" w:sz="4" w:space="0" w:color="auto"/>
            </w:tcBorders>
            <w:shd w:val="clear" w:color="auto" w:fill="auto"/>
          </w:tcPr>
          <w:p w14:paraId="6D29D837" w14:textId="77777777" w:rsidR="007541AB" w:rsidRPr="00272DCE" w:rsidRDefault="007541AB" w:rsidP="00870F99">
            <w:pPr>
              <w:tabs>
                <w:tab w:val="left" w:pos="252"/>
              </w:tabs>
              <w:spacing w:before="60" w:after="60" w:line="220" w:lineRule="exact"/>
              <w:rPr>
                <w:sz w:val="18"/>
              </w:rPr>
            </w:pPr>
            <w:r w:rsidRPr="00272DCE">
              <w:rPr>
                <w:sz w:val="18"/>
              </w:rPr>
              <w:t>-</w:t>
            </w:r>
            <w:r w:rsidRPr="00272DCE">
              <w:rPr>
                <w:sz w:val="18"/>
              </w:rPr>
              <w:tab/>
              <w:t xml:space="preserve">Matières et objets de la classe 2 du groupe F selon le paragraphe 2.2.2.1.3 </w:t>
            </w:r>
            <w:proofErr w:type="gramStart"/>
            <w:r w:rsidRPr="00272DCE">
              <w:rPr>
                <w:sz w:val="18"/>
              </w:rPr>
              <w:t>ou</w:t>
            </w:r>
            <w:proofErr w:type="gramEnd"/>
          </w:p>
          <w:p w14:paraId="7958AACA" w14:textId="77777777" w:rsidR="007541AB" w:rsidRPr="00272DCE" w:rsidRDefault="007541AB" w:rsidP="00870F99">
            <w:pPr>
              <w:tabs>
                <w:tab w:val="left" w:pos="252"/>
              </w:tabs>
              <w:spacing w:before="60" w:after="60" w:line="220" w:lineRule="exact"/>
              <w:rPr>
                <w:sz w:val="18"/>
              </w:rPr>
            </w:pPr>
            <w:r w:rsidRPr="00272DCE">
              <w:rPr>
                <w:sz w:val="18"/>
              </w:rPr>
              <w:t>-</w:t>
            </w:r>
            <w:r w:rsidRPr="00272DCE">
              <w:rPr>
                <w:sz w:val="18"/>
              </w:rPr>
              <w:tab/>
              <w:t>Aérosols du groupe F selon le paragraphe 2.2.2.1.6</w:t>
            </w:r>
          </w:p>
        </w:tc>
        <w:tc>
          <w:tcPr>
            <w:tcW w:w="823" w:type="dxa"/>
            <w:tcBorders>
              <w:top w:val="single" w:sz="4" w:space="0" w:color="auto"/>
              <w:bottom w:val="single" w:sz="4" w:space="0" w:color="auto"/>
            </w:tcBorders>
            <w:shd w:val="clear" w:color="auto" w:fill="auto"/>
            <w:vAlign w:val="bottom"/>
          </w:tcPr>
          <w:p w14:paraId="599D0E7A" w14:textId="77777777" w:rsidR="007541AB" w:rsidRPr="00272DCE" w:rsidRDefault="007541AB" w:rsidP="00870F99">
            <w:pPr>
              <w:spacing w:before="60" w:after="60" w:line="220" w:lineRule="exact"/>
              <w:jc w:val="right"/>
              <w:rPr>
                <w:sz w:val="18"/>
              </w:rPr>
            </w:pPr>
          </w:p>
        </w:tc>
        <w:tc>
          <w:tcPr>
            <w:tcW w:w="824" w:type="dxa"/>
            <w:tcBorders>
              <w:top w:val="single" w:sz="4" w:space="0" w:color="auto"/>
              <w:bottom w:val="single" w:sz="4" w:space="0" w:color="auto"/>
            </w:tcBorders>
            <w:shd w:val="clear" w:color="auto" w:fill="auto"/>
            <w:vAlign w:val="bottom"/>
          </w:tcPr>
          <w:p w14:paraId="79414B56" w14:textId="77777777" w:rsidR="007541AB" w:rsidRPr="00272DCE" w:rsidRDefault="007541AB" w:rsidP="00870F99">
            <w:pPr>
              <w:spacing w:before="60" w:after="60" w:line="220" w:lineRule="exact"/>
              <w:jc w:val="right"/>
              <w:rPr>
                <w:sz w:val="18"/>
              </w:rPr>
            </w:pPr>
          </w:p>
          <w:p w14:paraId="58F42D75" w14:textId="77777777" w:rsidR="007541AB" w:rsidRPr="00272DCE" w:rsidRDefault="007541AB" w:rsidP="00870F99">
            <w:pPr>
              <w:spacing w:before="60" w:after="60" w:line="220" w:lineRule="exact"/>
              <w:jc w:val="right"/>
              <w:rPr>
                <w:sz w:val="18"/>
              </w:rPr>
            </w:pPr>
            <w:r w:rsidRPr="00272DCE">
              <w:rPr>
                <w:sz w:val="18"/>
              </w:rPr>
              <w:t>300</w:t>
            </w:r>
          </w:p>
        </w:tc>
        <w:tc>
          <w:tcPr>
            <w:tcW w:w="824" w:type="dxa"/>
            <w:tcBorders>
              <w:top w:val="single" w:sz="4" w:space="0" w:color="auto"/>
              <w:bottom w:val="single" w:sz="4" w:space="0" w:color="auto"/>
            </w:tcBorders>
            <w:shd w:val="clear" w:color="auto" w:fill="auto"/>
            <w:vAlign w:val="bottom"/>
          </w:tcPr>
          <w:p w14:paraId="2A80CE3A" w14:textId="77777777" w:rsidR="007541AB" w:rsidRPr="00272DCE" w:rsidRDefault="007541AB" w:rsidP="00870F99">
            <w:pPr>
              <w:spacing w:before="60" w:after="60" w:line="220" w:lineRule="exact"/>
              <w:jc w:val="right"/>
              <w:rPr>
                <w:sz w:val="18"/>
              </w:rPr>
            </w:pPr>
          </w:p>
        </w:tc>
      </w:tr>
      <w:tr w:rsidR="007541AB" w:rsidRPr="00272DCE" w14:paraId="37C3ABFD" w14:textId="77777777" w:rsidTr="00A329CF">
        <w:tc>
          <w:tcPr>
            <w:tcW w:w="735" w:type="dxa"/>
            <w:vMerge/>
            <w:tcBorders>
              <w:bottom w:val="single" w:sz="4" w:space="0" w:color="auto"/>
            </w:tcBorders>
            <w:shd w:val="clear" w:color="auto" w:fill="auto"/>
          </w:tcPr>
          <w:p w14:paraId="4B2FD96A" w14:textId="77777777" w:rsidR="007541AB" w:rsidRPr="00272DCE" w:rsidRDefault="007541AB" w:rsidP="00870F99">
            <w:pPr>
              <w:spacing w:before="60" w:after="60" w:line="220" w:lineRule="exact"/>
              <w:rPr>
                <w:sz w:val="18"/>
              </w:rPr>
            </w:pPr>
          </w:p>
        </w:tc>
        <w:tc>
          <w:tcPr>
            <w:tcW w:w="4164" w:type="dxa"/>
            <w:gridSpan w:val="2"/>
            <w:tcBorders>
              <w:top w:val="single" w:sz="4" w:space="0" w:color="auto"/>
              <w:bottom w:val="single" w:sz="4" w:space="0" w:color="auto"/>
            </w:tcBorders>
            <w:shd w:val="clear" w:color="auto" w:fill="auto"/>
          </w:tcPr>
          <w:p w14:paraId="05B4976B" w14:textId="77777777" w:rsidR="007541AB" w:rsidRPr="00272DCE" w:rsidRDefault="007541AB" w:rsidP="00870F99">
            <w:pPr>
              <w:spacing w:before="60" w:after="60" w:line="220" w:lineRule="exact"/>
              <w:rPr>
                <w:sz w:val="18"/>
              </w:rPr>
            </w:pPr>
            <w:r w:rsidRPr="00272DCE">
              <w:rPr>
                <w:sz w:val="18"/>
              </w:rPr>
              <w:t>Toute autre matière de la classe 2</w:t>
            </w:r>
          </w:p>
        </w:tc>
        <w:tc>
          <w:tcPr>
            <w:tcW w:w="823" w:type="dxa"/>
            <w:tcBorders>
              <w:top w:val="single" w:sz="4" w:space="0" w:color="auto"/>
              <w:bottom w:val="single" w:sz="4" w:space="0" w:color="auto"/>
            </w:tcBorders>
            <w:shd w:val="clear" w:color="auto" w:fill="auto"/>
            <w:vAlign w:val="bottom"/>
          </w:tcPr>
          <w:p w14:paraId="7C21AA86" w14:textId="77777777" w:rsidR="007541AB" w:rsidRPr="00272DCE" w:rsidRDefault="007541AB" w:rsidP="00870F99">
            <w:pPr>
              <w:spacing w:before="60" w:after="60" w:line="220" w:lineRule="exact"/>
              <w:jc w:val="right"/>
              <w:rPr>
                <w:sz w:val="18"/>
              </w:rPr>
            </w:pPr>
            <w:r w:rsidRPr="00272DCE">
              <w:rPr>
                <w:sz w:val="18"/>
              </w:rPr>
              <w:t>3 000</w:t>
            </w:r>
          </w:p>
        </w:tc>
        <w:tc>
          <w:tcPr>
            <w:tcW w:w="824" w:type="dxa"/>
            <w:tcBorders>
              <w:top w:val="single" w:sz="4" w:space="0" w:color="auto"/>
              <w:bottom w:val="single" w:sz="4" w:space="0" w:color="auto"/>
            </w:tcBorders>
            <w:shd w:val="clear" w:color="auto" w:fill="auto"/>
            <w:vAlign w:val="bottom"/>
          </w:tcPr>
          <w:p w14:paraId="3297E1E6" w14:textId="77777777" w:rsidR="007541AB" w:rsidRPr="00272DCE" w:rsidRDefault="007541AB" w:rsidP="00870F99">
            <w:pPr>
              <w:spacing w:before="60" w:after="60" w:line="220" w:lineRule="exact"/>
              <w:jc w:val="right"/>
              <w:rPr>
                <w:sz w:val="18"/>
              </w:rPr>
            </w:pPr>
          </w:p>
        </w:tc>
        <w:tc>
          <w:tcPr>
            <w:tcW w:w="824" w:type="dxa"/>
            <w:tcBorders>
              <w:top w:val="single" w:sz="4" w:space="0" w:color="auto"/>
              <w:bottom w:val="single" w:sz="4" w:space="0" w:color="auto"/>
            </w:tcBorders>
            <w:shd w:val="clear" w:color="auto" w:fill="auto"/>
            <w:vAlign w:val="bottom"/>
          </w:tcPr>
          <w:p w14:paraId="07C1FAEB" w14:textId="77777777" w:rsidR="007541AB" w:rsidRPr="00272DCE" w:rsidRDefault="007541AB" w:rsidP="00870F99">
            <w:pPr>
              <w:spacing w:before="60" w:after="60" w:line="220" w:lineRule="exact"/>
              <w:jc w:val="right"/>
              <w:rPr>
                <w:sz w:val="18"/>
              </w:rPr>
            </w:pPr>
          </w:p>
        </w:tc>
      </w:tr>
      <w:tr w:rsidR="007541AB" w:rsidRPr="00272DCE" w14:paraId="02E0E6C3" w14:textId="77777777" w:rsidTr="00A329CF">
        <w:tc>
          <w:tcPr>
            <w:tcW w:w="735" w:type="dxa"/>
            <w:vMerge w:val="restart"/>
            <w:tcBorders>
              <w:top w:val="single" w:sz="4" w:space="0" w:color="auto"/>
              <w:bottom w:val="single" w:sz="4" w:space="0" w:color="auto"/>
            </w:tcBorders>
            <w:shd w:val="clear" w:color="auto" w:fill="auto"/>
          </w:tcPr>
          <w:p w14:paraId="68A9DF9A" w14:textId="77777777" w:rsidR="007541AB" w:rsidRPr="00272DCE" w:rsidRDefault="007541AB" w:rsidP="00870F99">
            <w:pPr>
              <w:spacing w:before="60" w:after="60" w:line="220" w:lineRule="exact"/>
              <w:rPr>
                <w:b/>
                <w:sz w:val="18"/>
              </w:rPr>
            </w:pPr>
            <w:r w:rsidRPr="00272DCE">
              <w:rPr>
                <w:b/>
                <w:sz w:val="18"/>
              </w:rPr>
              <w:t>3</w:t>
            </w:r>
          </w:p>
        </w:tc>
        <w:tc>
          <w:tcPr>
            <w:tcW w:w="4164" w:type="dxa"/>
            <w:gridSpan w:val="2"/>
            <w:tcBorders>
              <w:top w:val="single" w:sz="4" w:space="0" w:color="auto"/>
              <w:bottom w:val="single" w:sz="4" w:space="0" w:color="auto"/>
            </w:tcBorders>
            <w:shd w:val="clear" w:color="auto" w:fill="auto"/>
          </w:tcPr>
          <w:p w14:paraId="57F3F6DA" w14:textId="77777777" w:rsidR="007541AB" w:rsidRPr="00272DCE" w:rsidRDefault="007541AB" w:rsidP="00870F99">
            <w:pPr>
              <w:spacing w:before="60" w:after="60" w:line="220" w:lineRule="exact"/>
              <w:rPr>
                <w:sz w:val="18"/>
              </w:rPr>
            </w:pPr>
            <w:r w:rsidRPr="00272DCE">
              <w:rPr>
                <w:sz w:val="18"/>
              </w:rPr>
              <w:t>Matières et objets de la classe 3, groupe d</w:t>
            </w:r>
            <w:r w:rsidR="00681934" w:rsidRPr="00272DCE">
              <w:rPr>
                <w:sz w:val="18"/>
              </w:rPr>
              <w:t>’</w:t>
            </w:r>
            <w:r w:rsidRPr="00272DCE">
              <w:rPr>
                <w:sz w:val="18"/>
              </w:rPr>
              <w:t>emballage I</w:t>
            </w:r>
          </w:p>
        </w:tc>
        <w:tc>
          <w:tcPr>
            <w:tcW w:w="823" w:type="dxa"/>
            <w:tcBorders>
              <w:top w:val="single" w:sz="4" w:space="0" w:color="auto"/>
              <w:bottom w:val="single" w:sz="4" w:space="0" w:color="auto"/>
            </w:tcBorders>
            <w:shd w:val="clear" w:color="auto" w:fill="auto"/>
            <w:vAlign w:val="bottom"/>
          </w:tcPr>
          <w:p w14:paraId="4551F637" w14:textId="77777777" w:rsidR="007541AB" w:rsidRPr="00272DCE" w:rsidRDefault="007541AB" w:rsidP="00870F99">
            <w:pPr>
              <w:spacing w:before="60" w:after="60" w:line="220" w:lineRule="exact"/>
              <w:jc w:val="right"/>
              <w:rPr>
                <w:sz w:val="18"/>
              </w:rPr>
            </w:pPr>
          </w:p>
        </w:tc>
        <w:tc>
          <w:tcPr>
            <w:tcW w:w="824" w:type="dxa"/>
            <w:tcBorders>
              <w:top w:val="single" w:sz="4" w:space="0" w:color="auto"/>
              <w:bottom w:val="single" w:sz="4" w:space="0" w:color="auto"/>
            </w:tcBorders>
            <w:shd w:val="clear" w:color="auto" w:fill="auto"/>
            <w:vAlign w:val="bottom"/>
          </w:tcPr>
          <w:p w14:paraId="745F80D5" w14:textId="77777777" w:rsidR="007541AB" w:rsidRPr="00272DCE" w:rsidRDefault="007541AB" w:rsidP="00870F99">
            <w:pPr>
              <w:spacing w:before="60" w:after="60" w:line="220" w:lineRule="exact"/>
              <w:jc w:val="right"/>
              <w:rPr>
                <w:sz w:val="18"/>
              </w:rPr>
            </w:pPr>
            <w:r w:rsidRPr="00272DCE">
              <w:rPr>
                <w:sz w:val="18"/>
              </w:rPr>
              <w:t>300</w:t>
            </w:r>
          </w:p>
        </w:tc>
        <w:tc>
          <w:tcPr>
            <w:tcW w:w="824" w:type="dxa"/>
            <w:tcBorders>
              <w:top w:val="single" w:sz="4" w:space="0" w:color="auto"/>
              <w:bottom w:val="single" w:sz="4" w:space="0" w:color="auto"/>
            </w:tcBorders>
            <w:shd w:val="clear" w:color="auto" w:fill="auto"/>
            <w:vAlign w:val="bottom"/>
          </w:tcPr>
          <w:p w14:paraId="0EDE57F4" w14:textId="77777777" w:rsidR="007541AB" w:rsidRPr="00272DCE" w:rsidRDefault="007541AB" w:rsidP="00870F99">
            <w:pPr>
              <w:spacing w:before="60" w:after="60" w:line="220" w:lineRule="exact"/>
              <w:jc w:val="right"/>
              <w:rPr>
                <w:sz w:val="18"/>
              </w:rPr>
            </w:pPr>
          </w:p>
        </w:tc>
      </w:tr>
      <w:tr w:rsidR="007541AB" w:rsidRPr="00272DCE" w14:paraId="37CF335B" w14:textId="77777777" w:rsidTr="00A329CF">
        <w:tc>
          <w:tcPr>
            <w:tcW w:w="735" w:type="dxa"/>
            <w:vMerge/>
            <w:tcBorders>
              <w:top w:val="single" w:sz="4" w:space="0" w:color="auto"/>
              <w:bottom w:val="single" w:sz="4" w:space="0" w:color="auto"/>
            </w:tcBorders>
            <w:shd w:val="clear" w:color="auto" w:fill="auto"/>
          </w:tcPr>
          <w:p w14:paraId="09018662" w14:textId="77777777" w:rsidR="007541AB" w:rsidRPr="00272DCE" w:rsidRDefault="007541AB" w:rsidP="00870F99">
            <w:pPr>
              <w:spacing w:before="60" w:after="60" w:line="220" w:lineRule="exact"/>
              <w:rPr>
                <w:b/>
                <w:sz w:val="18"/>
              </w:rPr>
            </w:pPr>
          </w:p>
        </w:tc>
        <w:tc>
          <w:tcPr>
            <w:tcW w:w="4164" w:type="dxa"/>
            <w:gridSpan w:val="2"/>
            <w:tcBorders>
              <w:top w:val="single" w:sz="4" w:space="0" w:color="auto"/>
              <w:bottom w:val="single" w:sz="4" w:space="0" w:color="auto"/>
            </w:tcBorders>
            <w:shd w:val="clear" w:color="auto" w:fill="auto"/>
          </w:tcPr>
          <w:p w14:paraId="1A8D1248" w14:textId="77777777" w:rsidR="007541AB" w:rsidRPr="00272DCE" w:rsidRDefault="007541AB" w:rsidP="00870F99">
            <w:pPr>
              <w:spacing w:before="60" w:after="60" w:line="220" w:lineRule="exact"/>
              <w:rPr>
                <w:sz w:val="18"/>
              </w:rPr>
            </w:pPr>
            <w:r w:rsidRPr="00272DCE">
              <w:rPr>
                <w:sz w:val="18"/>
              </w:rPr>
              <w:t>Toute autre matière de la classe 3</w:t>
            </w:r>
          </w:p>
        </w:tc>
        <w:tc>
          <w:tcPr>
            <w:tcW w:w="823" w:type="dxa"/>
            <w:tcBorders>
              <w:top w:val="single" w:sz="4" w:space="0" w:color="auto"/>
              <w:bottom w:val="single" w:sz="4" w:space="0" w:color="auto"/>
            </w:tcBorders>
            <w:shd w:val="clear" w:color="auto" w:fill="auto"/>
            <w:vAlign w:val="bottom"/>
          </w:tcPr>
          <w:p w14:paraId="310312DD" w14:textId="77777777" w:rsidR="007541AB" w:rsidRPr="00272DCE" w:rsidRDefault="007541AB" w:rsidP="00870F99">
            <w:pPr>
              <w:spacing w:before="60" w:after="60" w:line="220" w:lineRule="exact"/>
              <w:jc w:val="right"/>
              <w:rPr>
                <w:sz w:val="18"/>
              </w:rPr>
            </w:pPr>
            <w:r w:rsidRPr="00272DCE">
              <w:rPr>
                <w:sz w:val="18"/>
              </w:rPr>
              <w:t>3 000</w:t>
            </w:r>
          </w:p>
        </w:tc>
        <w:tc>
          <w:tcPr>
            <w:tcW w:w="824" w:type="dxa"/>
            <w:tcBorders>
              <w:top w:val="single" w:sz="4" w:space="0" w:color="auto"/>
              <w:bottom w:val="single" w:sz="4" w:space="0" w:color="auto"/>
            </w:tcBorders>
            <w:shd w:val="clear" w:color="auto" w:fill="auto"/>
            <w:vAlign w:val="bottom"/>
          </w:tcPr>
          <w:p w14:paraId="5DF77426" w14:textId="77777777" w:rsidR="007541AB" w:rsidRPr="00272DCE" w:rsidRDefault="007541AB" w:rsidP="00870F99">
            <w:pPr>
              <w:spacing w:before="60" w:after="60" w:line="220" w:lineRule="exact"/>
              <w:jc w:val="right"/>
              <w:rPr>
                <w:sz w:val="18"/>
              </w:rPr>
            </w:pPr>
          </w:p>
        </w:tc>
        <w:tc>
          <w:tcPr>
            <w:tcW w:w="824" w:type="dxa"/>
            <w:tcBorders>
              <w:top w:val="single" w:sz="4" w:space="0" w:color="auto"/>
              <w:bottom w:val="single" w:sz="4" w:space="0" w:color="auto"/>
            </w:tcBorders>
            <w:shd w:val="clear" w:color="auto" w:fill="auto"/>
            <w:vAlign w:val="bottom"/>
          </w:tcPr>
          <w:p w14:paraId="792FBF6A" w14:textId="77777777" w:rsidR="007541AB" w:rsidRPr="00272DCE" w:rsidRDefault="007541AB" w:rsidP="00870F99">
            <w:pPr>
              <w:spacing w:before="60" w:after="60" w:line="220" w:lineRule="exact"/>
              <w:jc w:val="right"/>
              <w:rPr>
                <w:sz w:val="18"/>
              </w:rPr>
            </w:pPr>
          </w:p>
        </w:tc>
      </w:tr>
      <w:tr w:rsidR="007541AB" w:rsidRPr="00272DCE" w14:paraId="0D3356FE" w14:textId="77777777" w:rsidTr="00A329CF">
        <w:tc>
          <w:tcPr>
            <w:tcW w:w="735" w:type="dxa"/>
            <w:vMerge w:val="restart"/>
            <w:tcBorders>
              <w:top w:val="single" w:sz="4" w:space="0" w:color="auto"/>
              <w:bottom w:val="single" w:sz="4" w:space="0" w:color="auto"/>
            </w:tcBorders>
            <w:shd w:val="clear" w:color="auto" w:fill="auto"/>
          </w:tcPr>
          <w:p w14:paraId="22F1E8A0" w14:textId="77777777" w:rsidR="007541AB" w:rsidRPr="00272DCE" w:rsidRDefault="007541AB" w:rsidP="00870F99">
            <w:pPr>
              <w:spacing w:before="60" w:after="60" w:line="220" w:lineRule="exact"/>
              <w:rPr>
                <w:b/>
                <w:sz w:val="18"/>
              </w:rPr>
            </w:pPr>
            <w:r w:rsidRPr="00272DCE">
              <w:rPr>
                <w:b/>
                <w:sz w:val="18"/>
              </w:rPr>
              <w:t>4.1</w:t>
            </w:r>
          </w:p>
        </w:tc>
        <w:tc>
          <w:tcPr>
            <w:tcW w:w="4164" w:type="dxa"/>
            <w:gridSpan w:val="2"/>
            <w:tcBorders>
              <w:top w:val="single" w:sz="4" w:space="0" w:color="auto"/>
              <w:bottom w:val="single" w:sz="4" w:space="0" w:color="auto"/>
            </w:tcBorders>
            <w:shd w:val="clear" w:color="auto" w:fill="auto"/>
          </w:tcPr>
          <w:p w14:paraId="35760F4D" w14:textId="77777777" w:rsidR="007541AB" w:rsidRPr="00272DCE" w:rsidRDefault="007541AB" w:rsidP="00870F99">
            <w:pPr>
              <w:spacing w:before="60" w:after="60" w:line="220" w:lineRule="exact"/>
              <w:rPr>
                <w:sz w:val="18"/>
              </w:rPr>
            </w:pPr>
            <w:r w:rsidRPr="00272DCE">
              <w:rPr>
                <w:sz w:val="18"/>
              </w:rPr>
              <w:t xml:space="preserve">Matières et objets de la classe 4.1 pour lesquelles une étiquette de danger du modèle </w:t>
            </w:r>
            <w:r w:rsidRPr="00272DCE">
              <w:rPr>
                <w:rFonts w:eastAsia="MS Mincho"/>
                <w:sz w:val="18"/>
                <w:szCs w:val="22"/>
              </w:rPr>
              <w:t>n</w:t>
            </w:r>
            <w:r w:rsidRPr="00272DCE">
              <w:rPr>
                <w:rFonts w:eastAsia="MS Mincho"/>
                <w:sz w:val="18"/>
                <w:szCs w:val="22"/>
                <w:vertAlign w:val="superscript"/>
              </w:rPr>
              <w:t>o</w:t>
            </w:r>
            <w:r w:rsidRPr="00272DCE">
              <w:rPr>
                <w:sz w:val="18"/>
              </w:rPr>
              <w:t xml:space="preserve"> 1 est requise </w:t>
            </w:r>
            <w:r w:rsidRPr="00272DCE">
              <w:rPr>
                <w:sz w:val="18"/>
              </w:rPr>
              <w:br/>
              <w:t>à la colonne (5) du tableau A du chapitre 3.2</w:t>
            </w:r>
          </w:p>
        </w:tc>
        <w:tc>
          <w:tcPr>
            <w:tcW w:w="823" w:type="dxa"/>
            <w:tcBorders>
              <w:top w:val="single" w:sz="4" w:space="0" w:color="auto"/>
              <w:bottom w:val="single" w:sz="4" w:space="0" w:color="auto"/>
            </w:tcBorders>
            <w:shd w:val="clear" w:color="auto" w:fill="auto"/>
            <w:vAlign w:val="bottom"/>
          </w:tcPr>
          <w:p w14:paraId="0D35DA43" w14:textId="77777777" w:rsidR="007541AB" w:rsidRPr="00272DCE" w:rsidRDefault="007541AB" w:rsidP="00870F99">
            <w:pPr>
              <w:spacing w:before="60" w:after="60" w:line="220" w:lineRule="exact"/>
              <w:jc w:val="right"/>
              <w:rPr>
                <w:sz w:val="18"/>
              </w:rPr>
            </w:pPr>
          </w:p>
        </w:tc>
        <w:tc>
          <w:tcPr>
            <w:tcW w:w="824" w:type="dxa"/>
            <w:tcBorders>
              <w:top w:val="single" w:sz="4" w:space="0" w:color="auto"/>
              <w:bottom w:val="single" w:sz="4" w:space="0" w:color="auto"/>
            </w:tcBorders>
            <w:shd w:val="clear" w:color="auto" w:fill="auto"/>
            <w:vAlign w:val="bottom"/>
          </w:tcPr>
          <w:p w14:paraId="6602F549" w14:textId="77777777" w:rsidR="007541AB" w:rsidRPr="00272DCE" w:rsidRDefault="007541AB" w:rsidP="00870F99">
            <w:pPr>
              <w:spacing w:before="60" w:after="60" w:line="220" w:lineRule="exact"/>
              <w:jc w:val="right"/>
              <w:rPr>
                <w:sz w:val="18"/>
              </w:rPr>
            </w:pPr>
          </w:p>
        </w:tc>
        <w:tc>
          <w:tcPr>
            <w:tcW w:w="824" w:type="dxa"/>
            <w:tcBorders>
              <w:top w:val="single" w:sz="4" w:space="0" w:color="auto"/>
              <w:bottom w:val="single" w:sz="4" w:space="0" w:color="auto"/>
            </w:tcBorders>
            <w:shd w:val="clear" w:color="auto" w:fill="auto"/>
            <w:vAlign w:val="bottom"/>
          </w:tcPr>
          <w:p w14:paraId="1A88CD29" w14:textId="77777777" w:rsidR="007541AB" w:rsidRPr="00272DCE" w:rsidRDefault="007541AB" w:rsidP="00870F99">
            <w:pPr>
              <w:spacing w:before="60" w:after="60" w:line="220" w:lineRule="exact"/>
              <w:jc w:val="right"/>
              <w:rPr>
                <w:sz w:val="18"/>
              </w:rPr>
            </w:pPr>
            <w:r w:rsidRPr="00272DCE">
              <w:rPr>
                <w:sz w:val="18"/>
              </w:rPr>
              <w:t>0</w:t>
            </w:r>
          </w:p>
        </w:tc>
      </w:tr>
      <w:tr w:rsidR="007541AB" w:rsidRPr="00272DCE" w14:paraId="1FA8E000" w14:textId="77777777" w:rsidTr="00A329CF">
        <w:tc>
          <w:tcPr>
            <w:tcW w:w="735" w:type="dxa"/>
            <w:vMerge/>
            <w:tcBorders>
              <w:top w:val="single" w:sz="4" w:space="0" w:color="auto"/>
              <w:bottom w:val="single" w:sz="4" w:space="0" w:color="auto"/>
            </w:tcBorders>
            <w:shd w:val="clear" w:color="auto" w:fill="auto"/>
          </w:tcPr>
          <w:p w14:paraId="059D117D" w14:textId="77777777" w:rsidR="007541AB" w:rsidRPr="00272DCE" w:rsidRDefault="007541AB" w:rsidP="00870F99">
            <w:pPr>
              <w:spacing w:before="60" w:after="60" w:line="220" w:lineRule="exact"/>
              <w:rPr>
                <w:sz w:val="18"/>
              </w:rPr>
            </w:pPr>
          </w:p>
        </w:tc>
        <w:tc>
          <w:tcPr>
            <w:tcW w:w="4164" w:type="dxa"/>
            <w:gridSpan w:val="2"/>
            <w:tcBorders>
              <w:top w:val="single" w:sz="4" w:space="0" w:color="auto"/>
              <w:bottom w:val="single" w:sz="4" w:space="0" w:color="auto"/>
            </w:tcBorders>
            <w:shd w:val="clear" w:color="auto" w:fill="auto"/>
          </w:tcPr>
          <w:p w14:paraId="75B49943" w14:textId="77777777" w:rsidR="007541AB" w:rsidRPr="00272DCE" w:rsidRDefault="007541AB" w:rsidP="00870F99">
            <w:pPr>
              <w:spacing w:before="60" w:after="60" w:line="220" w:lineRule="exact"/>
              <w:rPr>
                <w:sz w:val="18"/>
              </w:rPr>
            </w:pPr>
            <w:r w:rsidRPr="00272DCE">
              <w:rPr>
                <w:sz w:val="18"/>
              </w:rPr>
              <w:t>Toute autre matière et objet de la classe 4.1, groupe d</w:t>
            </w:r>
            <w:r w:rsidR="00681934" w:rsidRPr="00272DCE">
              <w:rPr>
                <w:sz w:val="18"/>
              </w:rPr>
              <w:t>’</w:t>
            </w:r>
            <w:r w:rsidRPr="00272DCE">
              <w:rPr>
                <w:sz w:val="18"/>
              </w:rPr>
              <w:t>emballage I</w:t>
            </w:r>
          </w:p>
        </w:tc>
        <w:tc>
          <w:tcPr>
            <w:tcW w:w="823" w:type="dxa"/>
            <w:tcBorders>
              <w:top w:val="single" w:sz="4" w:space="0" w:color="auto"/>
              <w:bottom w:val="single" w:sz="4" w:space="0" w:color="auto"/>
            </w:tcBorders>
            <w:shd w:val="clear" w:color="auto" w:fill="auto"/>
            <w:vAlign w:val="bottom"/>
          </w:tcPr>
          <w:p w14:paraId="2C6889AA" w14:textId="77777777" w:rsidR="007541AB" w:rsidRPr="00272DCE" w:rsidRDefault="007541AB" w:rsidP="00870F99">
            <w:pPr>
              <w:spacing w:before="60" w:after="60" w:line="220" w:lineRule="exact"/>
              <w:jc w:val="right"/>
              <w:rPr>
                <w:sz w:val="18"/>
              </w:rPr>
            </w:pPr>
          </w:p>
        </w:tc>
        <w:tc>
          <w:tcPr>
            <w:tcW w:w="824" w:type="dxa"/>
            <w:tcBorders>
              <w:top w:val="single" w:sz="4" w:space="0" w:color="auto"/>
              <w:bottom w:val="single" w:sz="4" w:space="0" w:color="auto"/>
            </w:tcBorders>
            <w:shd w:val="clear" w:color="auto" w:fill="auto"/>
            <w:vAlign w:val="bottom"/>
          </w:tcPr>
          <w:p w14:paraId="41760F02" w14:textId="77777777" w:rsidR="007541AB" w:rsidRPr="00272DCE" w:rsidRDefault="007541AB" w:rsidP="00870F99">
            <w:pPr>
              <w:spacing w:before="60" w:after="60" w:line="220" w:lineRule="exact"/>
              <w:jc w:val="right"/>
              <w:rPr>
                <w:sz w:val="18"/>
              </w:rPr>
            </w:pPr>
            <w:r w:rsidRPr="00272DCE">
              <w:rPr>
                <w:sz w:val="18"/>
              </w:rPr>
              <w:t>300</w:t>
            </w:r>
          </w:p>
        </w:tc>
        <w:tc>
          <w:tcPr>
            <w:tcW w:w="824" w:type="dxa"/>
            <w:tcBorders>
              <w:top w:val="single" w:sz="4" w:space="0" w:color="auto"/>
              <w:bottom w:val="single" w:sz="4" w:space="0" w:color="auto"/>
            </w:tcBorders>
            <w:shd w:val="clear" w:color="auto" w:fill="auto"/>
            <w:vAlign w:val="bottom"/>
          </w:tcPr>
          <w:p w14:paraId="692A87CE" w14:textId="77777777" w:rsidR="007541AB" w:rsidRPr="00272DCE" w:rsidRDefault="007541AB" w:rsidP="00870F99">
            <w:pPr>
              <w:spacing w:before="60" w:after="60" w:line="220" w:lineRule="exact"/>
              <w:jc w:val="right"/>
              <w:rPr>
                <w:sz w:val="18"/>
              </w:rPr>
            </w:pPr>
          </w:p>
        </w:tc>
      </w:tr>
      <w:tr w:rsidR="007541AB" w:rsidRPr="00272DCE" w14:paraId="005C424F" w14:textId="77777777" w:rsidTr="00A329CF">
        <w:tc>
          <w:tcPr>
            <w:tcW w:w="735" w:type="dxa"/>
            <w:vMerge/>
            <w:tcBorders>
              <w:top w:val="single" w:sz="4" w:space="0" w:color="auto"/>
              <w:bottom w:val="single" w:sz="4" w:space="0" w:color="auto"/>
            </w:tcBorders>
            <w:shd w:val="clear" w:color="auto" w:fill="auto"/>
          </w:tcPr>
          <w:p w14:paraId="2CA624A3" w14:textId="77777777" w:rsidR="007541AB" w:rsidRPr="00272DCE" w:rsidRDefault="007541AB" w:rsidP="00870F99">
            <w:pPr>
              <w:spacing w:before="60" w:after="60" w:line="220" w:lineRule="exact"/>
              <w:rPr>
                <w:sz w:val="18"/>
              </w:rPr>
            </w:pPr>
          </w:p>
        </w:tc>
        <w:tc>
          <w:tcPr>
            <w:tcW w:w="4164" w:type="dxa"/>
            <w:gridSpan w:val="2"/>
            <w:tcBorders>
              <w:top w:val="single" w:sz="4" w:space="0" w:color="auto"/>
              <w:bottom w:val="single" w:sz="4" w:space="0" w:color="auto"/>
            </w:tcBorders>
            <w:shd w:val="clear" w:color="auto" w:fill="auto"/>
          </w:tcPr>
          <w:p w14:paraId="7CD84360" w14:textId="77777777" w:rsidR="007541AB" w:rsidRPr="00272DCE" w:rsidRDefault="007541AB" w:rsidP="00870F99">
            <w:pPr>
              <w:spacing w:before="60" w:after="60" w:line="220" w:lineRule="exact"/>
              <w:rPr>
                <w:sz w:val="18"/>
              </w:rPr>
            </w:pPr>
            <w:r w:rsidRPr="00272DCE">
              <w:rPr>
                <w:sz w:val="18"/>
              </w:rPr>
              <w:t>Toute autre matière et objet de la classe 4.1</w:t>
            </w:r>
          </w:p>
        </w:tc>
        <w:tc>
          <w:tcPr>
            <w:tcW w:w="823" w:type="dxa"/>
            <w:tcBorders>
              <w:top w:val="single" w:sz="4" w:space="0" w:color="auto"/>
              <w:bottom w:val="single" w:sz="4" w:space="0" w:color="auto"/>
            </w:tcBorders>
            <w:shd w:val="clear" w:color="auto" w:fill="auto"/>
            <w:vAlign w:val="bottom"/>
          </w:tcPr>
          <w:p w14:paraId="0F9DA2A1" w14:textId="77777777" w:rsidR="007541AB" w:rsidRPr="00272DCE" w:rsidRDefault="007541AB" w:rsidP="00870F99">
            <w:pPr>
              <w:spacing w:before="60" w:after="60" w:line="220" w:lineRule="exact"/>
              <w:jc w:val="right"/>
              <w:rPr>
                <w:sz w:val="18"/>
              </w:rPr>
            </w:pPr>
            <w:r w:rsidRPr="00272DCE">
              <w:rPr>
                <w:sz w:val="18"/>
              </w:rPr>
              <w:t>3 000</w:t>
            </w:r>
          </w:p>
        </w:tc>
        <w:tc>
          <w:tcPr>
            <w:tcW w:w="824" w:type="dxa"/>
            <w:tcBorders>
              <w:top w:val="single" w:sz="4" w:space="0" w:color="auto"/>
              <w:bottom w:val="single" w:sz="4" w:space="0" w:color="auto"/>
            </w:tcBorders>
            <w:shd w:val="clear" w:color="auto" w:fill="auto"/>
            <w:vAlign w:val="bottom"/>
          </w:tcPr>
          <w:p w14:paraId="2D74AB91" w14:textId="77777777" w:rsidR="007541AB" w:rsidRPr="00272DCE" w:rsidRDefault="007541AB" w:rsidP="00870F99">
            <w:pPr>
              <w:spacing w:before="60" w:after="60" w:line="220" w:lineRule="exact"/>
              <w:jc w:val="right"/>
              <w:rPr>
                <w:sz w:val="18"/>
              </w:rPr>
            </w:pPr>
          </w:p>
        </w:tc>
        <w:tc>
          <w:tcPr>
            <w:tcW w:w="824" w:type="dxa"/>
            <w:tcBorders>
              <w:top w:val="single" w:sz="4" w:space="0" w:color="auto"/>
              <w:bottom w:val="single" w:sz="4" w:space="0" w:color="auto"/>
            </w:tcBorders>
            <w:shd w:val="clear" w:color="auto" w:fill="auto"/>
            <w:vAlign w:val="bottom"/>
          </w:tcPr>
          <w:p w14:paraId="6FE6B28A" w14:textId="77777777" w:rsidR="007541AB" w:rsidRPr="00272DCE" w:rsidRDefault="007541AB" w:rsidP="00870F99">
            <w:pPr>
              <w:spacing w:before="60" w:after="60" w:line="220" w:lineRule="exact"/>
              <w:jc w:val="right"/>
              <w:rPr>
                <w:sz w:val="18"/>
              </w:rPr>
            </w:pPr>
          </w:p>
        </w:tc>
      </w:tr>
      <w:tr w:rsidR="007541AB" w:rsidRPr="00272DCE" w14:paraId="111F04D1" w14:textId="77777777" w:rsidTr="00A329CF">
        <w:tc>
          <w:tcPr>
            <w:tcW w:w="735" w:type="dxa"/>
            <w:vMerge w:val="restart"/>
            <w:tcBorders>
              <w:top w:val="single" w:sz="4" w:space="0" w:color="auto"/>
              <w:bottom w:val="single" w:sz="4" w:space="0" w:color="auto"/>
            </w:tcBorders>
            <w:shd w:val="clear" w:color="auto" w:fill="auto"/>
          </w:tcPr>
          <w:p w14:paraId="6E689302" w14:textId="77777777" w:rsidR="007541AB" w:rsidRPr="00272DCE" w:rsidRDefault="007541AB" w:rsidP="00870F99">
            <w:pPr>
              <w:spacing w:before="60" w:after="60" w:line="220" w:lineRule="exact"/>
              <w:rPr>
                <w:b/>
                <w:sz w:val="18"/>
              </w:rPr>
            </w:pPr>
            <w:r w:rsidRPr="00272DCE">
              <w:rPr>
                <w:b/>
                <w:sz w:val="18"/>
              </w:rPr>
              <w:t>4.2</w:t>
            </w:r>
          </w:p>
        </w:tc>
        <w:tc>
          <w:tcPr>
            <w:tcW w:w="4164" w:type="dxa"/>
            <w:gridSpan w:val="2"/>
            <w:tcBorders>
              <w:top w:val="single" w:sz="4" w:space="0" w:color="auto"/>
              <w:bottom w:val="single" w:sz="4" w:space="0" w:color="auto"/>
            </w:tcBorders>
            <w:shd w:val="clear" w:color="auto" w:fill="auto"/>
          </w:tcPr>
          <w:p w14:paraId="3CDCAA6A" w14:textId="77777777" w:rsidR="007541AB" w:rsidRPr="00272DCE" w:rsidRDefault="007541AB" w:rsidP="00870F99">
            <w:pPr>
              <w:spacing w:before="60" w:after="60" w:line="220" w:lineRule="exact"/>
              <w:rPr>
                <w:sz w:val="18"/>
              </w:rPr>
            </w:pPr>
            <w:r w:rsidRPr="00272DCE">
              <w:rPr>
                <w:sz w:val="18"/>
              </w:rPr>
              <w:t>Matières et objets de la classe 4.2, groupe d</w:t>
            </w:r>
            <w:r w:rsidR="00681934" w:rsidRPr="00272DCE">
              <w:rPr>
                <w:sz w:val="18"/>
              </w:rPr>
              <w:t>’</w:t>
            </w:r>
            <w:r w:rsidRPr="00272DCE">
              <w:rPr>
                <w:sz w:val="18"/>
              </w:rPr>
              <w:t>emballage I</w:t>
            </w:r>
          </w:p>
        </w:tc>
        <w:tc>
          <w:tcPr>
            <w:tcW w:w="823" w:type="dxa"/>
            <w:tcBorders>
              <w:top w:val="single" w:sz="4" w:space="0" w:color="auto"/>
              <w:bottom w:val="single" w:sz="4" w:space="0" w:color="auto"/>
            </w:tcBorders>
            <w:shd w:val="clear" w:color="auto" w:fill="auto"/>
            <w:vAlign w:val="bottom"/>
          </w:tcPr>
          <w:p w14:paraId="788281F1" w14:textId="77777777" w:rsidR="007541AB" w:rsidRPr="00272DCE" w:rsidRDefault="007541AB" w:rsidP="00870F99">
            <w:pPr>
              <w:spacing w:before="60" w:after="60" w:line="220" w:lineRule="exact"/>
              <w:jc w:val="right"/>
              <w:rPr>
                <w:sz w:val="18"/>
              </w:rPr>
            </w:pPr>
          </w:p>
        </w:tc>
        <w:tc>
          <w:tcPr>
            <w:tcW w:w="824" w:type="dxa"/>
            <w:tcBorders>
              <w:top w:val="single" w:sz="4" w:space="0" w:color="auto"/>
              <w:bottom w:val="single" w:sz="4" w:space="0" w:color="auto"/>
            </w:tcBorders>
            <w:shd w:val="clear" w:color="auto" w:fill="auto"/>
            <w:vAlign w:val="bottom"/>
          </w:tcPr>
          <w:p w14:paraId="41BFE7CC" w14:textId="77777777" w:rsidR="007541AB" w:rsidRPr="00272DCE" w:rsidRDefault="007541AB" w:rsidP="00870F99">
            <w:pPr>
              <w:spacing w:before="60" w:after="60" w:line="220" w:lineRule="exact"/>
              <w:jc w:val="right"/>
              <w:rPr>
                <w:sz w:val="18"/>
              </w:rPr>
            </w:pPr>
            <w:r w:rsidRPr="00272DCE">
              <w:rPr>
                <w:sz w:val="18"/>
              </w:rPr>
              <w:t>300</w:t>
            </w:r>
          </w:p>
        </w:tc>
        <w:tc>
          <w:tcPr>
            <w:tcW w:w="824" w:type="dxa"/>
            <w:tcBorders>
              <w:top w:val="single" w:sz="4" w:space="0" w:color="auto"/>
              <w:bottom w:val="single" w:sz="4" w:space="0" w:color="auto"/>
            </w:tcBorders>
            <w:shd w:val="clear" w:color="auto" w:fill="auto"/>
            <w:vAlign w:val="bottom"/>
          </w:tcPr>
          <w:p w14:paraId="7A2C50A7" w14:textId="77777777" w:rsidR="007541AB" w:rsidRPr="00272DCE" w:rsidRDefault="007541AB" w:rsidP="00870F99">
            <w:pPr>
              <w:spacing w:before="60" w:after="60" w:line="220" w:lineRule="exact"/>
              <w:jc w:val="right"/>
              <w:rPr>
                <w:sz w:val="18"/>
              </w:rPr>
            </w:pPr>
          </w:p>
        </w:tc>
      </w:tr>
      <w:tr w:rsidR="007541AB" w:rsidRPr="00272DCE" w14:paraId="6928B504" w14:textId="77777777" w:rsidTr="00A329CF">
        <w:tc>
          <w:tcPr>
            <w:tcW w:w="735" w:type="dxa"/>
            <w:vMerge/>
            <w:tcBorders>
              <w:top w:val="single" w:sz="4" w:space="0" w:color="auto"/>
              <w:bottom w:val="single" w:sz="4" w:space="0" w:color="auto"/>
            </w:tcBorders>
            <w:shd w:val="clear" w:color="auto" w:fill="auto"/>
          </w:tcPr>
          <w:p w14:paraId="6E087A00" w14:textId="77777777" w:rsidR="007541AB" w:rsidRPr="00272DCE" w:rsidRDefault="007541AB" w:rsidP="00870F99">
            <w:pPr>
              <w:spacing w:before="60" w:after="60" w:line="220" w:lineRule="exact"/>
              <w:rPr>
                <w:b/>
                <w:sz w:val="18"/>
              </w:rPr>
            </w:pPr>
          </w:p>
        </w:tc>
        <w:tc>
          <w:tcPr>
            <w:tcW w:w="4164" w:type="dxa"/>
            <w:gridSpan w:val="2"/>
            <w:tcBorders>
              <w:top w:val="single" w:sz="4" w:space="0" w:color="auto"/>
              <w:bottom w:val="single" w:sz="4" w:space="0" w:color="auto"/>
            </w:tcBorders>
            <w:shd w:val="clear" w:color="auto" w:fill="auto"/>
          </w:tcPr>
          <w:p w14:paraId="563D350E" w14:textId="77777777" w:rsidR="007541AB" w:rsidRPr="00272DCE" w:rsidRDefault="007541AB" w:rsidP="00870F99">
            <w:pPr>
              <w:spacing w:before="60" w:after="60" w:line="220" w:lineRule="exact"/>
              <w:rPr>
                <w:sz w:val="18"/>
              </w:rPr>
            </w:pPr>
            <w:r w:rsidRPr="00272DCE">
              <w:rPr>
                <w:sz w:val="18"/>
              </w:rPr>
              <w:t>Toute autre matière et objet de la classe 4.2</w:t>
            </w:r>
          </w:p>
        </w:tc>
        <w:tc>
          <w:tcPr>
            <w:tcW w:w="823" w:type="dxa"/>
            <w:tcBorders>
              <w:top w:val="single" w:sz="4" w:space="0" w:color="auto"/>
              <w:bottom w:val="single" w:sz="4" w:space="0" w:color="auto"/>
            </w:tcBorders>
            <w:shd w:val="clear" w:color="auto" w:fill="auto"/>
            <w:vAlign w:val="bottom"/>
          </w:tcPr>
          <w:p w14:paraId="05293906" w14:textId="77777777" w:rsidR="007541AB" w:rsidRPr="00272DCE" w:rsidRDefault="007541AB" w:rsidP="00870F99">
            <w:pPr>
              <w:spacing w:before="60" w:after="60" w:line="220" w:lineRule="exact"/>
              <w:jc w:val="right"/>
              <w:rPr>
                <w:sz w:val="18"/>
              </w:rPr>
            </w:pPr>
            <w:r w:rsidRPr="00272DCE">
              <w:rPr>
                <w:sz w:val="18"/>
              </w:rPr>
              <w:t>3 000</w:t>
            </w:r>
          </w:p>
        </w:tc>
        <w:tc>
          <w:tcPr>
            <w:tcW w:w="824" w:type="dxa"/>
            <w:tcBorders>
              <w:top w:val="single" w:sz="4" w:space="0" w:color="auto"/>
              <w:bottom w:val="single" w:sz="4" w:space="0" w:color="auto"/>
            </w:tcBorders>
            <w:shd w:val="clear" w:color="auto" w:fill="auto"/>
            <w:vAlign w:val="bottom"/>
          </w:tcPr>
          <w:p w14:paraId="197D53FA" w14:textId="77777777" w:rsidR="007541AB" w:rsidRPr="00272DCE" w:rsidRDefault="007541AB" w:rsidP="00870F99">
            <w:pPr>
              <w:spacing w:before="60" w:after="60" w:line="220" w:lineRule="exact"/>
              <w:jc w:val="right"/>
              <w:rPr>
                <w:sz w:val="18"/>
              </w:rPr>
            </w:pPr>
          </w:p>
        </w:tc>
        <w:tc>
          <w:tcPr>
            <w:tcW w:w="824" w:type="dxa"/>
            <w:tcBorders>
              <w:top w:val="single" w:sz="4" w:space="0" w:color="auto"/>
              <w:bottom w:val="single" w:sz="4" w:space="0" w:color="auto"/>
            </w:tcBorders>
            <w:shd w:val="clear" w:color="auto" w:fill="auto"/>
            <w:vAlign w:val="bottom"/>
          </w:tcPr>
          <w:p w14:paraId="780B6B85" w14:textId="77777777" w:rsidR="007541AB" w:rsidRPr="00272DCE" w:rsidRDefault="007541AB" w:rsidP="00870F99">
            <w:pPr>
              <w:spacing w:before="60" w:after="60" w:line="220" w:lineRule="exact"/>
              <w:jc w:val="right"/>
              <w:rPr>
                <w:sz w:val="18"/>
              </w:rPr>
            </w:pPr>
          </w:p>
        </w:tc>
      </w:tr>
      <w:tr w:rsidR="007541AB" w:rsidRPr="00272DCE" w14:paraId="2262B7BA" w14:textId="77777777" w:rsidTr="00A329CF">
        <w:tc>
          <w:tcPr>
            <w:tcW w:w="735" w:type="dxa"/>
            <w:vMerge w:val="restart"/>
            <w:tcBorders>
              <w:top w:val="single" w:sz="4" w:space="0" w:color="auto"/>
              <w:bottom w:val="single" w:sz="4" w:space="0" w:color="auto"/>
            </w:tcBorders>
            <w:shd w:val="clear" w:color="auto" w:fill="auto"/>
          </w:tcPr>
          <w:p w14:paraId="59B54347" w14:textId="77777777" w:rsidR="007541AB" w:rsidRPr="00272DCE" w:rsidRDefault="007541AB" w:rsidP="00870F99">
            <w:pPr>
              <w:spacing w:before="60" w:after="60" w:line="220" w:lineRule="exact"/>
              <w:rPr>
                <w:b/>
                <w:sz w:val="18"/>
              </w:rPr>
            </w:pPr>
            <w:r w:rsidRPr="00272DCE">
              <w:rPr>
                <w:b/>
                <w:sz w:val="18"/>
              </w:rPr>
              <w:t>4.3</w:t>
            </w:r>
          </w:p>
        </w:tc>
        <w:tc>
          <w:tcPr>
            <w:tcW w:w="4164" w:type="dxa"/>
            <w:gridSpan w:val="2"/>
            <w:tcBorders>
              <w:top w:val="single" w:sz="4" w:space="0" w:color="auto"/>
              <w:bottom w:val="single" w:sz="4" w:space="0" w:color="auto"/>
            </w:tcBorders>
            <w:shd w:val="clear" w:color="auto" w:fill="auto"/>
          </w:tcPr>
          <w:p w14:paraId="19E2D90E" w14:textId="77777777" w:rsidR="007541AB" w:rsidRPr="00272DCE" w:rsidRDefault="007541AB" w:rsidP="00870F99">
            <w:pPr>
              <w:spacing w:before="60" w:after="60" w:line="220" w:lineRule="exact"/>
              <w:rPr>
                <w:sz w:val="18"/>
              </w:rPr>
            </w:pPr>
            <w:r w:rsidRPr="00272DCE">
              <w:rPr>
                <w:sz w:val="18"/>
              </w:rPr>
              <w:t>Matières et objets de la classe 4.3, groupe d</w:t>
            </w:r>
            <w:r w:rsidR="00681934" w:rsidRPr="00272DCE">
              <w:rPr>
                <w:sz w:val="18"/>
              </w:rPr>
              <w:t>’</w:t>
            </w:r>
            <w:r w:rsidRPr="00272DCE">
              <w:rPr>
                <w:sz w:val="18"/>
              </w:rPr>
              <w:t>emballage I</w:t>
            </w:r>
          </w:p>
        </w:tc>
        <w:tc>
          <w:tcPr>
            <w:tcW w:w="823" w:type="dxa"/>
            <w:tcBorders>
              <w:top w:val="single" w:sz="4" w:space="0" w:color="auto"/>
              <w:bottom w:val="single" w:sz="4" w:space="0" w:color="auto"/>
            </w:tcBorders>
            <w:shd w:val="clear" w:color="auto" w:fill="auto"/>
            <w:vAlign w:val="bottom"/>
          </w:tcPr>
          <w:p w14:paraId="2EADB4E5" w14:textId="77777777" w:rsidR="007541AB" w:rsidRPr="00272DCE" w:rsidRDefault="007541AB" w:rsidP="00870F99">
            <w:pPr>
              <w:spacing w:before="60" w:after="60" w:line="220" w:lineRule="exact"/>
              <w:jc w:val="right"/>
              <w:rPr>
                <w:sz w:val="18"/>
              </w:rPr>
            </w:pPr>
          </w:p>
        </w:tc>
        <w:tc>
          <w:tcPr>
            <w:tcW w:w="824" w:type="dxa"/>
            <w:tcBorders>
              <w:top w:val="single" w:sz="4" w:space="0" w:color="auto"/>
              <w:bottom w:val="single" w:sz="4" w:space="0" w:color="auto"/>
            </w:tcBorders>
            <w:shd w:val="clear" w:color="auto" w:fill="auto"/>
            <w:vAlign w:val="bottom"/>
          </w:tcPr>
          <w:p w14:paraId="5901819E" w14:textId="77777777" w:rsidR="007541AB" w:rsidRPr="00272DCE" w:rsidRDefault="007541AB" w:rsidP="00870F99">
            <w:pPr>
              <w:spacing w:before="60" w:after="60" w:line="220" w:lineRule="exact"/>
              <w:jc w:val="right"/>
              <w:rPr>
                <w:sz w:val="18"/>
              </w:rPr>
            </w:pPr>
            <w:r w:rsidRPr="00272DCE">
              <w:rPr>
                <w:sz w:val="18"/>
              </w:rPr>
              <w:t>300</w:t>
            </w:r>
          </w:p>
        </w:tc>
        <w:tc>
          <w:tcPr>
            <w:tcW w:w="824" w:type="dxa"/>
            <w:tcBorders>
              <w:top w:val="single" w:sz="4" w:space="0" w:color="auto"/>
              <w:bottom w:val="single" w:sz="4" w:space="0" w:color="auto"/>
            </w:tcBorders>
            <w:shd w:val="clear" w:color="auto" w:fill="auto"/>
            <w:vAlign w:val="bottom"/>
          </w:tcPr>
          <w:p w14:paraId="29D66EBB" w14:textId="77777777" w:rsidR="007541AB" w:rsidRPr="00272DCE" w:rsidRDefault="007541AB" w:rsidP="00870F99">
            <w:pPr>
              <w:spacing w:before="60" w:after="60" w:line="220" w:lineRule="exact"/>
              <w:jc w:val="right"/>
              <w:rPr>
                <w:sz w:val="18"/>
              </w:rPr>
            </w:pPr>
          </w:p>
        </w:tc>
      </w:tr>
      <w:tr w:rsidR="007541AB" w:rsidRPr="00272DCE" w14:paraId="4FCE3489" w14:textId="77777777" w:rsidTr="00A329CF">
        <w:tc>
          <w:tcPr>
            <w:tcW w:w="735" w:type="dxa"/>
            <w:vMerge/>
            <w:tcBorders>
              <w:top w:val="single" w:sz="4" w:space="0" w:color="auto"/>
              <w:bottom w:val="single" w:sz="4" w:space="0" w:color="auto"/>
            </w:tcBorders>
            <w:shd w:val="clear" w:color="auto" w:fill="auto"/>
          </w:tcPr>
          <w:p w14:paraId="402F3276" w14:textId="77777777" w:rsidR="007541AB" w:rsidRPr="00272DCE" w:rsidRDefault="007541AB" w:rsidP="00870F99">
            <w:pPr>
              <w:spacing w:before="60" w:after="60" w:line="220" w:lineRule="exact"/>
              <w:rPr>
                <w:b/>
                <w:sz w:val="18"/>
              </w:rPr>
            </w:pPr>
          </w:p>
        </w:tc>
        <w:tc>
          <w:tcPr>
            <w:tcW w:w="4164" w:type="dxa"/>
            <w:gridSpan w:val="2"/>
            <w:tcBorders>
              <w:top w:val="single" w:sz="4" w:space="0" w:color="auto"/>
              <w:bottom w:val="single" w:sz="4" w:space="0" w:color="auto"/>
            </w:tcBorders>
            <w:shd w:val="clear" w:color="auto" w:fill="auto"/>
          </w:tcPr>
          <w:p w14:paraId="6DAFB52D" w14:textId="77777777" w:rsidR="007541AB" w:rsidRPr="00272DCE" w:rsidRDefault="007541AB" w:rsidP="00870F99">
            <w:pPr>
              <w:spacing w:before="60" w:after="60" w:line="220" w:lineRule="exact"/>
              <w:rPr>
                <w:sz w:val="18"/>
              </w:rPr>
            </w:pPr>
            <w:r w:rsidRPr="00272DCE">
              <w:rPr>
                <w:sz w:val="18"/>
              </w:rPr>
              <w:t>Toute autre matière et objet de la classe 4.3</w:t>
            </w:r>
          </w:p>
        </w:tc>
        <w:tc>
          <w:tcPr>
            <w:tcW w:w="823" w:type="dxa"/>
            <w:tcBorders>
              <w:top w:val="single" w:sz="4" w:space="0" w:color="auto"/>
              <w:bottom w:val="single" w:sz="4" w:space="0" w:color="auto"/>
            </w:tcBorders>
            <w:shd w:val="clear" w:color="auto" w:fill="auto"/>
            <w:vAlign w:val="bottom"/>
          </w:tcPr>
          <w:p w14:paraId="08C67729" w14:textId="77777777" w:rsidR="007541AB" w:rsidRPr="00272DCE" w:rsidRDefault="007541AB" w:rsidP="00870F99">
            <w:pPr>
              <w:spacing w:before="60" w:after="60" w:line="220" w:lineRule="exact"/>
              <w:jc w:val="right"/>
              <w:rPr>
                <w:sz w:val="18"/>
              </w:rPr>
            </w:pPr>
            <w:r w:rsidRPr="00272DCE">
              <w:rPr>
                <w:sz w:val="18"/>
              </w:rPr>
              <w:t>3 000</w:t>
            </w:r>
          </w:p>
        </w:tc>
        <w:tc>
          <w:tcPr>
            <w:tcW w:w="824" w:type="dxa"/>
            <w:tcBorders>
              <w:top w:val="single" w:sz="4" w:space="0" w:color="auto"/>
              <w:bottom w:val="single" w:sz="4" w:space="0" w:color="auto"/>
            </w:tcBorders>
            <w:shd w:val="clear" w:color="auto" w:fill="auto"/>
            <w:vAlign w:val="bottom"/>
          </w:tcPr>
          <w:p w14:paraId="40D62474" w14:textId="77777777" w:rsidR="007541AB" w:rsidRPr="00272DCE" w:rsidRDefault="007541AB" w:rsidP="00870F99">
            <w:pPr>
              <w:spacing w:before="60" w:after="60" w:line="220" w:lineRule="exact"/>
              <w:jc w:val="right"/>
              <w:rPr>
                <w:sz w:val="18"/>
              </w:rPr>
            </w:pPr>
          </w:p>
        </w:tc>
        <w:tc>
          <w:tcPr>
            <w:tcW w:w="824" w:type="dxa"/>
            <w:tcBorders>
              <w:top w:val="single" w:sz="4" w:space="0" w:color="auto"/>
              <w:bottom w:val="single" w:sz="4" w:space="0" w:color="auto"/>
            </w:tcBorders>
            <w:shd w:val="clear" w:color="auto" w:fill="auto"/>
            <w:vAlign w:val="bottom"/>
          </w:tcPr>
          <w:p w14:paraId="724157B2" w14:textId="77777777" w:rsidR="007541AB" w:rsidRPr="00272DCE" w:rsidRDefault="007541AB" w:rsidP="00870F99">
            <w:pPr>
              <w:spacing w:before="60" w:after="60" w:line="220" w:lineRule="exact"/>
              <w:jc w:val="right"/>
              <w:rPr>
                <w:sz w:val="18"/>
              </w:rPr>
            </w:pPr>
          </w:p>
        </w:tc>
      </w:tr>
      <w:tr w:rsidR="007541AB" w:rsidRPr="00272DCE" w14:paraId="0D2F07FC" w14:textId="77777777" w:rsidTr="00A329CF">
        <w:tc>
          <w:tcPr>
            <w:tcW w:w="735" w:type="dxa"/>
            <w:vMerge w:val="restart"/>
            <w:tcBorders>
              <w:top w:val="single" w:sz="4" w:space="0" w:color="auto"/>
              <w:bottom w:val="single" w:sz="4" w:space="0" w:color="auto"/>
            </w:tcBorders>
            <w:shd w:val="clear" w:color="auto" w:fill="auto"/>
          </w:tcPr>
          <w:p w14:paraId="34C242C3" w14:textId="77777777" w:rsidR="007541AB" w:rsidRPr="00272DCE" w:rsidRDefault="007541AB" w:rsidP="00870F99">
            <w:pPr>
              <w:spacing w:before="60" w:after="60" w:line="220" w:lineRule="exact"/>
              <w:rPr>
                <w:b/>
                <w:sz w:val="18"/>
              </w:rPr>
            </w:pPr>
            <w:r w:rsidRPr="00272DCE">
              <w:rPr>
                <w:b/>
                <w:sz w:val="18"/>
              </w:rPr>
              <w:t>5.1</w:t>
            </w:r>
          </w:p>
        </w:tc>
        <w:tc>
          <w:tcPr>
            <w:tcW w:w="4164" w:type="dxa"/>
            <w:gridSpan w:val="2"/>
            <w:tcBorders>
              <w:top w:val="single" w:sz="4" w:space="0" w:color="auto"/>
              <w:bottom w:val="single" w:sz="4" w:space="0" w:color="auto"/>
            </w:tcBorders>
            <w:shd w:val="clear" w:color="auto" w:fill="auto"/>
          </w:tcPr>
          <w:p w14:paraId="1B880843" w14:textId="77777777" w:rsidR="007541AB" w:rsidRPr="00272DCE" w:rsidRDefault="007541AB" w:rsidP="00870F99">
            <w:pPr>
              <w:spacing w:before="60" w:after="60" w:line="220" w:lineRule="exact"/>
              <w:rPr>
                <w:sz w:val="18"/>
              </w:rPr>
            </w:pPr>
            <w:r w:rsidRPr="00272DCE">
              <w:rPr>
                <w:sz w:val="18"/>
              </w:rPr>
              <w:t>Matières et objets de la classe 5.1, groupe d</w:t>
            </w:r>
            <w:r w:rsidR="00681934" w:rsidRPr="00272DCE">
              <w:rPr>
                <w:sz w:val="18"/>
              </w:rPr>
              <w:t>’</w:t>
            </w:r>
            <w:r w:rsidRPr="00272DCE">
              <w:rPr>
                <w:sz w:val="18"/>
              </w:rPr>
              <w:t>emballage I</w:t>
            </w:r>
          </w:p>
        </w:tc>
        <w:tc>
          <w:tcPr>
            <w:tcW w:w="823" w:type="dxa"/>
            <w:tcBorders>
              <w:top w:val="single" w:sz="4" w:space="0" w:color="auto"/>
              <w:bottom w:val="single" w:sz="4" w:space="0" w:color="auto"/>
            </w:tcBorders>
            <w:shd w:val="clear" w:color="auto" w:fill="auto"/>
            <w:vAlign w:val="bottom"/>
          </w:tcPr>
          <w:p w14:paraId="4CB1A883" w14:textId="77777777" w:rsidR="007541AB" w:rsidRPr="00272DCE" w:rsidRDefault="007541AB" w:rsidP="00870F99">
            <w:pPr>
              <w:spacing w:before="60" w:after="60" w:line="220" w:lineRule="exact"/>
              <w:jc w:val="right"/>
              <w:rPr>
                <w:sz w:val="18"/>
              </w:rPr>
            </w:pPr>
          </w:p>
        </w:tc>
        <w:tc>
          <w:tcPr>
            <w:tcW w:w="824" w:type="dxa"/>
            <w:tcBorders>
              <w:top w:val="single" w:sz="4" w:space="0" w:color="auto"/>
              <w:bottom w:val="single" w:sz="4" w:space="0" w:color="auto"/>
            </w:tcBorders>
            <w:shd w:val="clear" w:color="auto" w:fill="auto"/>
            <w:vAlign w:val="bottom"/>
          </w:tcPr>
          <w:p w14:paraId="569A8FF1" w14:textId="77777777" w:rsidR="007541AB" w:rsidRPr="00272DCE" w:rsidRDefault="007541AB" w:rsidP="00870F99">
            <w:pPr>
              <w:spacing w:before="60" w:after="60" w:line="220" w:lineRule="exact"/>
              <w:jc w:val="right"/>
              <w:rPr>
                <w:sz w:val="18"/>
              </w:rPr>
            </w:pPr>
            <w:r w:rsidRPr="00272DCE">
              <w:rPr>
                <w:sz w:val="18"/>
              </w:rPr>
              <w:t>300</w:t>
            </w:r>
          </w:p>
        </w:tc>
        <w:tc>
          <w:tcPr>
            <w:tcW w:w="824" w:type="dxa"/>
            <w:tcBorders>
              <w:top w:val="single" w:sz="4" w:space="0" w:color="auto"/>
              <w:bottom w:val="single" w:sz="4" w:space="0" w:color="auto"/>
            </w:tcBorders>
            <w:shd w:val="clear" w:color="auto" w:fill="auto"/>
            <w:vAlign w:val="bottom"/>
          </w:tcPr>
          <w:p w14:paraId="0290EF0A" w14:textId="77777777" w:rsidR="007541AB" w:rsidRPr="00272DCE" w:rsidRDefault="007541AB" w:rsidP="00870F99">
            <w:pPr>
              <w:spacing w:before="60" w:after="60" w:line="220" w:lineRule="exact"/>
              <w:jc w:val="right"/>
              <w:rPr>
                <w:sz w:val="18"/>
              </w:rPr>
            </w:pPr>
          </w:p>
        </w:tc>
      </w:tr>
      <w:tr w:rsidR="007541AB" w:rsidRPr="00272DCE" w14:paraId="4CC5B220" w14:textId="77777777" w:rsidTr="00A329CF">
        <w:tc>
          <w:tcPr>
            <w:tcW w:w="735" w:type="dxa"/>
            <w:vMerge/>
            <w:tcBorders>
              <w:top w:val="single" w:sz="4" w:space="0" w:color="auto"/>
              <w:bottom w:val="single" w:sz="4" w:space="0" w:color="auto"/>
            </w:tcBorders>
            <w:shd w:val="clear" w:color="auto" w:fill="auto"/>
          </w:tcPr>
          <w:p w14:paraId="60520E9C" w14:textId="77777777" w:rsidR="007541AB" w:rsidRPr="00272DCE" w:rsidRDefault="007541AB" w:rsidP="00870F99">
            <w:pPr>
              <w:spacing w:before="60" w:after="60" w:line="220" w:lineRule="exact"/>
              <w:rPr>
                <w:b/>
                <w:sz w:val="18"/>
              </w:rPr>
            </w:pPr>
          </w:p>
        </w:tc>
        <w:tc>
          <w:tcPr>
            <w:tcW w:w="4164" w:type="dxa"/>
            <w:gridSpan w:val="2"/>
            <w:tcBorders>
              <w:top w:val="single" w:sz="4" w:space="0" w:color="auto"/>
              <w:bottom w:val="single" w:sz="4" w:space="0" w:color="auto"/>
            </w:tcBorders>
            <w:shd w:val="clear" w:color="auto" w:fill="auto"/>
          </w:tcPr>
          <w:p w14:paraId="4707731E" w14:textId="77777777" w:rsidR="007541AB" w:rsidRPr="00272DCE" w:rsidRDefault="007541AB" w:rsidP="00870F99">
            <w:pPr>
              <w:spacing w:before="60" w:after="60" w:line="220" w:lineRule="exact"/>
              <w:rPr>
                <w:sz w:val="18"/>
              </w:rPr>
            </w:pPr>
            <w:r w:rsidRPr="00272DCE">
              <w:rPr>
                <w:sz w:val="18"/>
              </w:rPr>
              <w:t xml:space="preserve">Toute autre matière et objet de la classe 5.1 </w:t>
            </w:r>
          </w:p>
        </w:tc>
        <w:tc>
          <w:tcPr>
            <w:tcW w:w="823" w:type="dxa"/>
            <w:tcBorders>
              <w:top w:val="single" w:sz="4" w:space="0" w:color="auto"/>
              <w:bottom w:val="single" w:sz="4" w:space="0" w:color="auto"/>
            </w:tcBorders>
            <w:shd w:val="clear" w:color="auto" w:fill="auto"/>
            <w:vAlign w:val="bottom"/>
          </w:tcPr>
          <w:p w14:paraId="03D82B81" w14:textId="77777777" w:rsidR="007541AB" w:rsidRPr="00272DCE" w:rsidRDefault="007541AB" w:rsidP="00870F99">
            <w:pPr>
              <w:spacing w:before="60" w:after="60" w:line="220" w:lineRule="exact"/>
              <w:jc w:val="right"/>
              <w:rPr>
                <w:sz w:val="18"/>
              </w:rPr>
            </w:pPr>
            <w:r w:rsidRPr="00272DCE">
              <w:rPr>
                <w:sz w:val="18"/>
              </w:rPr>
              <w:t>3 000</w:t>
            </w:r>
          </w:p>
        </w:tc>
        <w:tc>
          <w:tcPr>
            <w:tcW w:w="824" w:type="dxa"/>
            <w:tcBorders>
              <w:top w:val="single" w:sz="4" w:space="0" w:color="auto"/>
              <w:bottom w:val="single" w:sz="4" w:space="0" w:color="auto"/>
            </w:tcBorders>
            <w:shd w:val="clear" w:color="auto" w:fill="auto"/>
            <w:vAlign w:val="bottom"/>
          </w:tcPr>
          <w:p w14:paraId="1709B308" w14:textId="77777777" w:rsidR="007541AB" w:rsidRPr="00272DCE" w:rsidRDefault="007541AB" w:rsidP="00870F99">
            <w:pPr>
              <w:spacing w:before="60" w:after="60" w:line="220" w:lineRule="exact"/>
              <w:jc w:val="right"/>
              <w:rPr>
                <w:sz w:val="18"/>
              </w:rPr>
            </w:pPr>
          </w:p>
        </w:tc>
        <w:tc>
          <w:tcPr>
            <w:tcW w:w="824" w:type="dxa"/>
            <w:tcBorders>
              <w:top w:val="single" w:sz="4" w:space="0" w:color="auto"/>
              <w:bottom w:val="single" w:sz="4" w:space="0" w:color="auto"/>
            </w:tcBorders>
            <w:shd w:val="clear" w:color="auto" w:fill="auto"/>
            <w:vAlign w:val="bottom"/>
          </w:tcPr>
          <w:p w14:paraId="6A25F21A" w14:textId="77777777" w:rsidR="007541AB" w:rsidRPr="00272DCE" w:rsidRDefault="007541AB" w:rsidP="00870F99">
            <w:pPr>
              <w:spacing w:before="60" w:after="60" w:line="220" w:lineRule="exact"/>
              <w:jc w:val="right"/>
              <w:rPr>
                <w:sz w:val="18"/>
              </w:rPr>
            </w:pPr>
          </w:p>
        </w:tc>
      </w:tr>
      <w:tr w:rsidR="007541AB" w:rsidRPr="00272DCE" w14:paraId="141E4C53" w14:textId="77777777" w:rsidTr="00A329CF">
        <w:tc>
          <w:tcPr>
            <w:tcW w:w="735" w:type="dxa"/>
            <w:vMerge w:val="restart"/>
            <w:tcBorders>
              <w:top w:val="single" w:sz="4" w:space="0" w:color="auto"/>
              <w:bottom w:val="single" w:sz="4" w:space="0" w:color="auto"/>
            </w:tcBorders>
            <w:shd w:val="clear" w:color="auto" w:fill="auto"/>
          </w:tcPr>
          <w:p w14:paraId="574F57EE" w14:textId="77777777" w:rsidR="007541AB" w:rsidRPr="00272DCE" w:rsidRDefault="007541AB" w:rsidP="00870F99">
            <w:pPr>
              <w:spacing w:before="60" w:after="60" w:line="220" w:lineRule="exact"/>
              <w:rPr>
                <w:b/>
                <w:sz w:val="18"/>
              </w:rPr>
            </w:pPr>
            <w:r w:rsidRPr="00272DCE">
              <w:rPr>
                <w:b/>
                <w:sz w:val="18"/>
              </w:rPr>
              <w:t>5.2</w:t>
            </w:r>
          </w:p>
        </w:tc>
        <w:tc>
          <w:tcPr>
            <w:tcW w:w="4164" w:type="dxa"/>
            <w:gridSpan w:val="2"/>
            <w:tcBorders>
              <w:top w:val="single" w:sz="4" w:space="0" w:color="auto"/>
              <w:bottom w:val="single" w:sz="4" w:space="0" w:color="auto"/>
            </w:tcBorders>
            <w:shd w:val="clear" w:color="auto" w:fill="auto"/>
          </w:tcPr>
          <w:p w14:paraId="19ED2B4B" w14:textId="77777777" w:rsidR="007541AB" w:rsidRPr="00272DCE" w:rsidRDefault="007541AB" w:rsidP="00870F99">
            <w:pPr>
              <w:spacing w:before="60" w:after="60" w:line="220" w:lineRule="exact"/>
              <w:rPr>
                <w:sz w:val="18"/>
              </w:rPr>
            </w:pPr>
            <w:r w:rsidRPr="00272DCE">
              <w:rPr>
                <w:sz w:val="18"/>
              </w:rPr>
              <w:t xml:space="preserve">Matières et objets de la classe 5.2 pour lesquelles une étiquette de danger du modèle </w:t>
            </w:r>
            <w:r w:rsidRPr="00272DCE">
              <w:rPr>
                <w:rFonts w:eastAsia="MS Mincho"/>
                <w:sz w:val="18"/>
                <w:szCs w:val="22"/>
              </w:rPr>
              <w:t>n</w:t>
            </w:r>
            <w:r w:rsidRPr="00272DCE">
              <w:rPr>
                <w:rFonts w:eastAsia="MS Mincho"/>
                <w:sz w:val="18"/>
                <w:szCs w:val="22"/>
                <w:vertAlign w:val="superscript"/>
              </w:rPr>
              <w:t>o</w:t>
            </w:r>
            <w:r w:rsidRPr="00272DCE">
              <w:rPr>
                <w:sz w:val="18"/>
              </w:rPr>
              <w:t xml:space="preserve"> 1 est requise </w:t>
            </w:r>
            <w:r w:rsidRPr="00272DCE">
              <w:rPr>
                <w:sz w:val="18"/>
              </w:rPr>
              <w:br/>
              <w:t>à la colonne (5) du tableau A du chapitre 3.2 </w:t>
            </w:r>
          </w:p>
        </w:tc>
        <w:tc>
          <w:tcPr>
            <w:tcW w:w="823" w:type="dxa"/>
            <w:tcBorders>
              <w:top w:val="single" w:sz="4" w:space="0" w:color="auto"/>
              <w:bottom w:val="single" w:sz="4" w:space="0" w:color="auto"/>
            </w:tcBorders>
            <w:shd w:val="clear" w:color="auto" w:fill="auto"/>
            <w:vAlign w:val="bottom"/>
          </w:tcPr>
          <w:p w14:paraId="3AA289F4" w14:textId="77777777" w:rsidR="007541AB" w:rsidRPr="00272DCE" w:rsidRDefault="007541AB" w:rsidP="00870F99">
            <w:pPr>
              <w:spacing w:before="60" w:after="60" w:line="220" w:lineRule="exact"/>
              <w:jc w:val="right"/>
              <w:rPr>
                <w:sz w:val="18"/>
              </w:rPr>
            </w:pPr>
          </w:p>
        </w:tc>
        <w:tc>
          <w:tcPr>
            <w:tcW w:w="824" w:type="dxa"/>
            <w:tcBorders>
              <w:top w:val="single" w:sz="4" w:space="0" w:color="auto"/>
              <w:bottom w:val="single" w:sz="4" w:space="0" w:color="auto"/>
            </w:tcBorders>
            <w:shd w:val="clear" w:color="auto" w:fill="auto"/>
            <w:vAlign w:val="bottom"/>
          </w:tcPr>
          <w:p w14:paraId="089327D7" w14:textId="77777777" w:rsidR="007541AB" w:rsidRPr="00272DCE" w:rsidRDefault="007541AB" w:rsidP="00870F99">
            <w:pPr>
              <w:spacing w:before="60" w:after="60" w:line="220" w:lineRule="exact"/>
              <w:jc w:val="right"/>
              <w:rPr>
                <w:sz w:val="18"/>
              </w:rPr>
            </w:pPr>
          </w:p>
        </w:tc>
        <w:tc>
          <w:tcPr>
            <w:tcW w:w="824" w:type="dxa"/>
            <w:tcBorders>
              <w:top w:val="single" w:sz="4" w:space="0" w:color="auto"/>
              <w:bottom w:val="single" w:sz="4" w:space="0" w:color="auto"/>
            </w:tcBorders>
            <w:shd w:val="clear" w:color="auto" w:fill="auto"/>
            <w:vAlign w:val="bottom"/>
          </w:tcPr>
          <w:p w14:paraId="106C208D" w14:textId="77777777" w:rsidR="007541AB" w:rsidRPr="00272DCE" w:rsidRDefault="007541AB" w:rsidP="00870F99">
            <w:pPr>
              <w:spacing w:before="60" w:after="60" w:line="220" w:lineRule="exact"/>
              <w:jc w:val="right"/>
              <w:rPr>
                <w:sz w:val="18"/>
              </w:rPr>
            </w:pPr>
          </w:p>
          <w:p w14:paraId="1F29729A" w14:textId="77777777" w:rsidR="007541AB" w:rsidRPr="00272DCE" w:rsidRDefault="007541AB" w:rsidP="00870F99">
            <w:pPr>
              <w:spacing w:before="60" w:after="60" w:line="220" w:lineRule="exact"/>
              <w:jc w:val="right"/>
              <w:rPr>
                <w:sz w:val="18"/>
              </w:rPr>
            </w:pPr>
            <w:r w:rsidRPr="00272DCE">
              <w:rPr>
                <w:sz w:val="18"/>
              </w:rPr>
              <w:t>0</w:t>
            </w:r>
          </w:p>
        </w:tc>
      </w:tr>
      <w:tr w:rsidR="007541AB" w:rsidRPr="00272DCE" w14:paraId="02231340" w14:textId="77777777" w:rsidTr="00A329CF">
        <w:tc>
          <w:tcPr>
            <w:tcW w:w="735" w:type="dxa"/>
            <w:vMerge/>
            <w:tcBorders>
              <w:top w:val="single" w:sz="4" w:space="0" w:color="auto"/>
              <w:bottom w:val="single" w:sz="4" w:space="0" w:color="auto"/>
            </w:tcBorders>
            <w:shd w:val="clear" w:color="auto" w:fill="auto"/>
          </w:tcPr>
          <w:p w14:paraId="6962BF7A" w14:textId="77777777" w:rsidR="007541AB" w:rsidRPr="00272DCE" w:rsidRDefault="007541AB" w:rsidP="00870F99">
            <w:pPr>
              <w:spacing w:before="60" w:after="60" w:line="220" w:lineRule="exact"/>
              <w:rPr>
                <w:b/>
                <w:sz w:val="18"/>
              </w:rPr>
            </w:pPr>
          </w:p>
        </w:tc>
        <w:tc>
          <w:tcPr>
            <w:tcW w:w="4164" w:type="dxa"/>
            <w:gridSpan w:val="2"/>
            <w:tcBorders>
              <w:top w:val="single" w:sz="4" w:space="0" w:color="auto"/>
              <w:bottom w:val="single" w:sz="4" w:space="0" w:color="auto"/>
            </w:tcBorders>
            <w:shd w:val="clear" w:color="auto" w:fill="auto"/>
          </w:tcPr>
          <w:p w14:paraId="0C58956C" w14:textId="77777777" w:rsidR="007541AB" w:rsidRPr="00272DCE" w:rsidRDefault="007541AB" w:rsidP="00870F99">
            <w:pPr>
              <w:spacing w:before="60" w:after="60" w:line="220" w:lineRule="exact"/>
              <w:rPr>
                <w:sz w:val="18"/>
              </w:rPr>
            </w:pPr>
            <w:r w:rsidRPr="00272DCE">
              <w:rPr>
                <w:sz w:val="18"/>
              </w:rPr>
              <w:t>Toute autre matière et objet de la classe 5.2</w:t>
            </w:r>
          </w:p>
        </w:tc>
        <w:tc>
          <w:tcPr>
            <w:tcW w:w="823" w:type="dxa"/>
            <w:tcBorders>
              <w:top w:val="single" w:sz="4" w:space="0" w:color="auto"/>
              <w:bottom w:val="single" w:sz="4" w:space="0" w:color="auto"/>
            </w:tcBorders>
            <w:shd w:val="clear" w:color="auto" w:fill="auto"/>
            <w:vAlign w:val="bottom"/>
          </w:tcPr>
          <w:p w14:paraId="3D690B81" w14:textId="77777777" w:rsidR="007541AB" w:rsidRPr="00272DCE" w:rsidRDefault="007541AB" w:rsidP="00870F99">
            <w:pPr>
              <w:spacing w:before="60" w:after="60" w:line="220" w:lineRule="exact"/>
              <w:jc w:val="right"/>
              <w:rPr>
                <w:sz w:val="18"/>
              </w:rPr>
            </w:pPr>
            <w:r w:rsidRPr="00272DCE">
              <w:rPr>
                <w:sz w:val="18"/>
              </w:rPr>
              <w:t>3 000</w:t>
            </w:r>
          </w:p>
        </w:tc>
        <w:tc>
          <w:tcPr>
            <w:tcW w:w="824" w:type="dxa"/>
            <w:tcBorders>
              <w:top w:val="single" w:sz="4" w:space="0" w:color="auto"/>
              <w:bottom w:val="single" w:sz="4" w:space="0" w:color="auto"/>
            </w:tcBorders>
            <w:shd w:val="clear" w:color="auto" w:fill="auto"/>
            <w:vAlign w:val="bottom"/>
          </w:tcPr>
          <w:p w14:paraId="01EB2158" w14:textId="77777777" w:rsidR="007541AB" w:rsidRPr="00272DCE" w:rsidRDefault="007541AB" w:rsidP="00870F99">
            <w:pPr>
              <w:spacing w:before="60" w:after="60" w:line="220" w:lineRule="exact"/>
              <w:jc w:val="right"/>
              <w:rPr>
                <w:sz w:val="18"/>
              </w:rPr>
            </w:pPr>
          </w:p>
        </w:tc>
        <w:tc>
          <w:tcPr>
            <w:tcW w:w="824" w:type="dxa"/>
            <w:tcBorders>
              <w:top w:val="single" w:sz="4" w:space="0" w:color="auto"/>
              <w:bottom w:val="single" w:sz="4" w:space="0" w:color="auto"/>
            </w:tcBorders>
            <w:shd w:val="clear" w:color="auto" w:fill="auto"/>
            <w:vAlign w:val="bottom"/>
          </w:tcPr>
          <w:p w14:paraId="346AD967" w14:textId="77777777" w:rsidR="007541AB" w:rsidRPr="00272DCE" w:rsidRDefault="007541AB" w:rsidP="00870F99">
            <w:pPr>
              <w:spacing w:before="60" w:after="60" w:line="220" w:lineRule="exact"/>
              <w:jc w:val="right"/>
              <w:rPr>
                <w:sz w:val="18"/>
              </w:rPr>
            </w:pPr>
          </w:p>
        </w:tc>
      </w:tr>
      <w:tr w:rsidR="007541AB" w:rsidRPr="00272DCE" w14:paraId="42A31A67" w14:textId="77777777" w:rsidTr="00A329CF">
        <w:tc>
          <w:tcPr>
            <w:tcW w:w="735" w:type="dxa"/>
            <w:vMerge w:val="restart"/>
            <w:tcBorders>
              <w:top w:val="single" w:sz="4" w:space="0" w:color="auto"/>
              <w:bottom w:val="single" w:sz="4" w:space="0" w:color="auto"/>
            </w:tcBorders>
            <w:shd w:val="clear" w:color="auto" w:fill="auto"/>
          </w:tcPr>
          <w:p w14:paraId="16A625AA" w14:textId="77777777" w:rsidR="007541AB" w:rsidRPr="00272DCE" w:rsidRDefault="007541AB" w:rsidP="00870F99">
            <w:pPr>
              <w:spacing w:before="60" w:after="60" w:line="220" w:lineRule="exact"/>
              <w:rPr>
                <w:b/>
                <w:sz w:val="18"/>
              </w:rPr>
            </w:pPr>
            <w:r w:rsidRPr="00272DCE">
              <w:rPr>
                <w:b/>
                <w:sz w:val="18"/>
              </w:rPr>
              <w:t>6.1</w:t>
            </w:r>
          </w:p>
        </w:tc>
        <w:tc>
          <w:tcPr>
            <w:tcW w:w="4164" w:type="dxa"/>
            <w:gridSpan w:val="2"/>
            <w:tcBorders>
              <w:top w:val="single" w:sz="4" w:space="0" w:color="auto"/>
              <w:bottom w:val="single" w:sz="4" w:space="0" w:color="auto"/>
            </w:tcBorders>
            <w:shd w:val="clear" w:color="auto" w:fill="auto"/>
          </w:tcPr>
          <w:p w14:paraId="7EFFB310" w14:textId="77777777" w:rsidR="007541AB" w:rsidRPr="00272DCE" w:rsidRDefault="007541AB" w:rsidP="00870F99">
            <w:pPr>
              <w:spacing w:before="60" w:after="60" w:line="220" w:lineRule="exact"/>
              <w:rPr>
                <w:sz w:val="18"/>
              </w:rPr>
            </w:pPr>
            <w:r w:rsidRPr="00272DCE">
              <w:rPr>
                <w:sz w:val="18"/>
              </w:rPr>
              <w:t>Matières et objets de la classe 6.1, groupe d</w:t>
            </w:r>
            <w:r w:rsidR="00681934" w:rsidRPr="00272DCE">
              <w:rPr>
                <w:sz w:val="18"/>
              </w:rPr>
              <w:t>’</w:t>
            </w:r>
            <w:r w:rsidRPr="00272DCE">
              <w:rPr>
                <w:sz w:val="18"/>
              </w:rPr>
              <w:t>emballage I</w:t>
            </w:r>
          </w:p>
        </w:tc>
        <w:tc>
          <w:tcPr>
            <w:tcW w:w="823" w:type="dxa"/>
            <w:tcBorders>
              <w:top w:val="single" w:sz="4" w:space="0" w:color="auto"/>
              <w:bottom w:val="single" w:sz="4" w:space="0" w:color="auto"/>
            </w:tcBorders>
            <w:shd w:val="clear" w:color="auto" w:fill="auto"/>
            <w:vAlign w:val="bottom"/>
          </w:tcPr>
          <w:p w14:paraId="32856885" w14:textId="77777777" w:rsidR="007541AB" w:rsidRPr="00272DCE" w:rsidRDefault="007541AB" w:rsidP="00870F99">
            <w:pPr>
              <w:spacing w:before="60" w:after="60" w:line="220" w:lineRule="exact"/>
              <w:jc w:val="right"/>
              <w:rPr>
                <w:sz w:val="18"/>
              </w:rPr>
            </w:pPr>
          </w:p>
        </w:tc>
        <w:tc>
          <w:tcPr>
            <w:tcW w:w="824" w:type="dxa"/>
            <w:tcBorders>
              <w:top w:val="single" w:sz="4" w:space="0" w:color="auto"/>
              <w:bottom w:val="single" w:sz="4" w:space="0" w:color="auto"/>
            </w:tcBorders>
            <w:shd w:val="clear" w:color="auto" w:fill="auto"/>
            <w:vAlign w:val="bottom"/>
          </w:tcPr>
          <w:p w14:paraId="43078BF6" w14:textId="77777777" w:rsidR="007541AB" w:rsidRPr="00272DCE" w:rsidRDefault="007541AB" w:rsidP="00870F99">
            <w:pPr>
              <w:spacing w:before="60" w:after="60" w:line="220" w:lineRule="exact"/>
              <w:jc w:val="right"/>
              <w:rPr>
                <w:sz w:val="18"/>
              </w:rPr>
            </w:pPr>
          </w:p>
        </w:tc>
        <w:tc>
          <w:tcPr>
            <w:tcW w:w="824" w:type="dxa"/>
            <w:tcBorders>
              <w:top w:val="single" w:sz="4" w:space="0" w:color="auto"/>
              <w:bottom w:val="single" w:sz="4" w:space="0" w:color="auto"/>
            </w:tcBorders>
            <w:shd w:val="clear" w:color="auto" w:fill="auto"/>
            <w:vAlign w:val="bottom"/>
          </w:tcPr>
          <w:p w14:paraId="13912773" w14:textId="77777777" w:rsidR="007541AB" w:rsidRPr="00272DCE" w:rsidRDefault="007541AB" w:rsidP="00870F99">
            <w:pPr>
              <w:spacing w:before="60" w:after="60" w:line="220" w:lineRule="exact"/>
              <w:jc w:val="right"/>
              <w:rPr>
                <w:sz w:val="18"/>
              </w:rPr>
            </w:pPr>
            <w:r w:rsidRPr="00272DCE">
              <w:rPr>
                <w:sz w:val="18"/>
              </w:rPr>
              <w:t>0</w:t>
            </w:r>
          </w:p>
        </w:tc>
      </w:tr>
      <w:tr w:rsidR="007541AB" w:rsidRPr="00272DCE" w14:paraId="1903E8E8" w14:textId="77777777" w:rsidTr="00A329CF">
        <w:tc>
          <w:tcPr>
            <w:tcW w:w="735" w:type="dxa"/>
            <w:vMerge/>
            <w:tcBorders>
              <w:top w:val="single" w:sz="4" w:space="0" w:color="auto"/>
              <w:bottom w:val="single" w:sz="4" w:space="0" w:color="auto"/>
            </w:tcBorders>
            <w:shd w:val="clear" w:color="auto" w:fill="auto"/>
          </w:tcPr>
          <w:p w14:paraId="0638C108" w14:textId="77777777" w:rsidR="007541AB" w:rsidRPr="00272DCE" w:rsidRDefault="007541AB" w:rsidP="00870F99">
            <w:pPr>
              <w:spacing w:before="60" w:after="60" w:line="220" w:lineRule="exact"/>
              <w:rPr>
                <w:sz w:val="18"/>
              </w:rPr>
            </w:pPr>
          </w:p>
        </w:tc>
        <w:tc>
          <w:tcPr>
            <w:tcW w:w="4164" w:type="dxa"/>
            <w:gridSpan w:val="2"/>
            <w:tcBorders>
              <w:top w:val="single" w:sz="4" w:space="0" w:color="auto"/>
              <w:bottom w:val="single" w:sz="4" w:space="0" w:color="auto"/>
            </w:tcBorders>
            <w:shd w:val="clear" w:color="auto" w:fill="auto"/>
          </w:tcPr>
          <w:p w14:paraId="4A51FAB1" w14:textId="77777777" w:rsidR="007541AB" w:rsidRPr="00272DCE" w:rsidRDefault="007541AB" w:rsidP="00870F99">
            <w:pPr>
              <w:spacing w:before="60" w:after="60" w:line="220" w:lineRule="exact"/>
              <w:rPr>
                <w:sz w:val="18"/>
              </w:rPr>
            </w:pPr>
            <w:r w:rsidRPr="00272DCE">
              <w:rPr>
                <w:sz w:val="18"/>
              </w:rPr>
              <w:t>Toute autre matière et objet de la classe 6.1</w:t>
            </w:r>
          </w:p>
        </w:tc>
        <w:tc>
          <w:tcPr>
            <w:tcW w:w="823" w:type="dxa"/>
            <w:tcBorders>
              <w:top w:val="single" w:sz="4" w:space="0" w:color="auto"/>
              <w:bottom w:val="single" w:sz="4" w:space="0" w:color="auto"/>
            </w:tcBorders>
            <w:shd w:val="clear" w:color="auto" w:fill="auto"/>
            <w:vAlign w:val="bottom"/>
          </w:tcPr>
          <w:p w14:paraId="460B2746" w14:textId="77777777" w:rsidR="007541AB" w:rsidRPr="00272DCE" w:rsidRDefault="007541AB" w:rsidP="00870F99">
            <w:pPr>
              <w:spacing w:before="60" w:after="60" w:line="220" w:lineRule="exact"/>
              <w:jc w:val="right"/>
              <w:rPr>
                <w:sz w:val="18"/>
              </w:rPr>
            </w:pPr>
            <w:r w:rsidRPr="00272DCE">
              <w:rPr>
                <w:sz w:val="18"/>
              </w:rPr>
              <w:t>3 000</w:t>
            </w:r>
          </w:p>
        </w:tc>
        <w:tc>
          <w:tcPr>
            <w:tcW w:w="824" w:type="dxa"/>
            <w:tcBorders>
              <w:top w:val="single" w:sz="4" w:space="0" w:color="auto"/>
              <w:bottom w:val="single" w:sz="4" w:space="0" w:color="auto"/>
            </w:tcBorders>
            <w:shd w:val="clear" w:color="auto" w:fill="auto"/>
            <w:vAlign w:val="bottom"/>
          </w:tcPr>
          <w:p w14:paraId="34EE9381" w14:textId="77777777" w:rsidR="007541AB" w:rsidRPr="00272DCE" w:rsidRDefault="007541AB" w:rsidP="00870F99">
            <w:pPr>
              <w:spacing w:before="60" w:after="60" w:line="220" w:lineRule="exact"/>
              <w:jc w:val="right"/>
              <w:rPr>
                <w:sz w:val="18"/>
              </w:rPr>
            </w:pPr>
          </w:p>
        </w:tc>
        <w:tc>
          <w:tcPr>
            <w:tcW w:w="824" w:type="dxa"/>
            <w:tcBorders>
              <w:top w:val="single" w:sz="4" w:space="0" w:color="auto"/>
              <w:bottom w:val="single" w:sz="4" w:space="0" w:color="auto"/>
            </w:tcBorders>
            <w:shd w:val="clear" w:color="auto" w:fill="auto"/>
            <w:vAlign w:val="bottom"/>
          </w:tcPr>
          <w:p w14:paraId="3F9D84FE" w14:textId="77777777" w:rsidR="007541AB" w:rsidRPr="00272DCE" w:rsidRDefault="007541AB" w:rsidP="00870F99">
            <w:pPr>
              <w:spacing w:before="60" w:after="60" w:line="220" w:lineRule="exact"/>
              <w:jc w:val="right"/>
              <w:rPr>
                <w:sz w:val="18"/>
              </w:rPr>
            </w:pPr>
          </w:p>
        </w:tc>
      </w:tr>
      <w:tr w:rsidR="007541AB" w:rsidRPr="00272DCE" w14:paraId="7E685F51" w14:textId="77777777" w:rsidTr="00870F99">
        <w:tc>
          <w:tcPr>
            <w:tcW w:w="735" w:type="dxa"/>
            <w:tcBorders>
              <w:top w:val="single" w:sz="4" w:space="0" w:color="auto"/>
              <w:bottom w:val="single" w:sz="4" w:space="0" w:color="auto"/>
            </w:tcBorders>
            <w:shd w:val="clear" w:color="auto" w:fill="auto"/>
          </w:tcPr>
          <w:p w14:paraId="460ABD96" w14:textId="77777777" w:rsidR="007541AB" w:rsidRPr="00272DCE" w:rsidRDefault="007541AB" w:rsidP="00870F99">
            <w:pPr>
              <w:keepNext/>
              <w:keepLines/>
              <w:spacing w:before="60" w:after="60" w:line="220" w:lineRule="exact"/>
              <w:rPr>
                <w:b/>
                <w:sz w:val="18"/>
              </w:rPr>
            </w:pPr>
            <w:r w:rsidRPr="00272DCE">
              <w:rPr>
                <w:b/>
                <w:sz w:val="18"/>
              </w:rPr>
              <w:lastRenderedPageBreak/>
              <w:t>6.2</w:t>
            </w:r>
          </w:p>
        </w:tc>
        <w:tc>
          <w:tcPr>
            <w:tcW w:w="4164" w:type="dxa"/>
            <w:gridSpan w:val="2"/>
            <w:tcBorders>
              <w:top w:val="single" w:sz="4" w:space="0" w:color="auto"/>
              <w:bottom w:val="single" w:sz="4" w:space="0" w:color="auto"/>
            </w:tcBorders>
            <w:shd w:val="clear" w:color="auto" w:fill="auto"/>
          </w:tcPr>
          <w:p w14:paraId="2517EAE7" w14:textId="77777777" w:rsidR="007541AB" w:rsidRPr="00272DCE" w:rsidRDefault="007541AB" w:rsidP="00870F99">
            <w:pPr>
              <w:keepNext/>
              <w:keepLines/>
              <w:spacing w:before="60" w:after="60" w:line="220" w:lineRule="exact"/>
              <w:rPr>
                <w:sz w:val="18"/>
              </w:rPr>
            </w:pPr>
            <w:r w:rsidRPr="00272DCE">
              <w:rPr>
                <w:sz w:val="18"/>
              </w:rPr>
              <w:t xml:space="preserve">Matières et objets de la classe 6.2, catégorie A </w:t>
            </w:r>
          </w:p>
        </w:tc>
        <w:tc>
          <w:tcPr>
            <w:tcW w:w="823" w:type="dxa"/>
            <w:tcBorders>
              <w:top w:val="single" w:sz="4" w:space="0" w:color="auto"/>
              <w:bottom w:val="single" w:sz="4" w:space="0" w:color="auto"/>
            </w:tcBorders>
            <w:shd w:val="clear" w:color="auto" w:fill="auto"/>
            <w:vAlign w:val="bottom"/>
          </w:tcPr>
          <w:p w14:paraId="219B575E" w14:textId="77777777" w:rsidR="007541AB" w:rsidRPr="00272DCE" w:rsidRDefault="007541AB" w:rsidP="00870F99">
            <w:pPr>
              <w:keepNext/>
              <w:keepLines/>
              <w:spacing w:before="60" w:after="60" w:line="220" w:lineRule="exact"/>
              <w:jc w:val="right"/>
              <w:rPr>
                <w:sz w:val="18"/>
              </w:rPr>
            </w:pPr>
          </w:p>
        </w:tc>
        <w:tc>
          <w:tcPr>
            <w:tcW w:w="824" w:type="dxa"/>
            <w:tcBorders>
              <w:top w:val="single" w:sz="4" w:space="0" w:color="auto"/>
              <w:bottom w:val="single" w:sz="4" w:space="0" w:color="auto"/>
            </w:tcBorders>
            <w:shd w:val="clear" w:color="auto" w:fill="auto"/>
            <w:vAlign w:val="bottom"/>
          </w:tcPr>
          <w:p w14:paraId="5F737482" w14:textId="77777777" w:rsidR="007541AB" w:rsidRPr="00272DCE" w:rsidRDefault="007541AB" w:rsidP="00870F99">
            <w:pPr>
              <w:keepNext/>
              <w:keepLines/>
              <w:spacing w:before="60" w:after="60" w:line="220" w:lineRule="exact"/>
              <w:jc w:val="right"/>
              <w:rPr>
                <w:sz w:val="18"/>
              </w:rPr>
            </w:pPr>
          </w:p>
        </w:tc>
        <w:tc>
          <w:tcPr>
            <w:tcW w:w="824" w:type="dxa"/>
            <w:tcBorders>
              <w:top w:val="single" w:sz="4" w:space="0" w:color="auto"/>
              <w:bottom w:val="single" w:sz="4" w:space="0" w:color="auto"/>
            </w:tcBorders>
            <w:shd w:val="clear" w:color="auto" w:fill="auto"/>
            <w:vAlign w:val="bottom"/>
          </w:tcPr>
          <w:p w14:paraId="6B498461" w14:textId="77777777" w:rsidR="007541AB" w:rsidRPr="00272DCE" w:rsidRDefault="007541AB" w:rsidP="00870F99">
            <w:pPr>
              <w:keepNext/>
              <w:keepLines/>
              <w:spacing w:before="60" w:after="60" w:line="220" w:lineRule="exact"/>
              <w:jc w:val="right"/>
              <w:rPr>
                <w:sz w:val="18"/>
              </w:rPr>
            </w:pPr>
            <w:r w:rsidRPr="00272DCE">
              <w:rPr>
                <w:sz w:val="18"/>
              </w:rPr>
              <w:t>0</w:t>
            </w:r>
          </w:p>
        </w:tc>
      </w:tr>
      <w:tr w:rsidR="007541AB" w:rsidRPr="00272DCE" w14:paraId="2A197477" w14:textId="77777777" w:rsidTr="00A329CF">
        <w:tc>
          <w:tcPr>
            <w:tcW w:w="735" w:type="dxa"/>
            <w:tcBorders>
              <w:top w:val="single" w:sz="4" w:space="0" w:color="auto"/>
              <w:bottom w:val="single" w:sz="4" w:space="0" w:color="auto"/>
            </w:tcBorders>
            <w:shd w:val="clear" w:color="auto" w:fill="auto"/>
          </w:tcPr>
          <w:p w14:paraId="051D9DCA" w14:textId="77777777" w:rsidR="007541AB" w:rsidRPr="00272DCE" w:rsidRDefault="007541AB" w:rsidP="00870F99">
            <w:pPr>
              <w:spacing w:before="60" w:after="60" w:line="220" w:lineRule="exact"/>
              <w:rPr>
                <w:b/>
                <w:sz w:val="18"/>
              </w:rPr>
            </w:pPr>
          </w:p>
        </w:tc>
        <w:tc>
          <w:tcPr>
            <w:tcW w:w="4164" w:type="dxa"/>
            <w:gridSpan w:val="2"/>
            <w:tcBorders>
              <w:top w:val="single" w:sz="4" w:space="0" w:color="auto"/>
              <w:bottom w:val="single" w:sz="4" w:space="0" w:color="auto"/>
            </w:tcBorders>
            <w:shd w:val="clear" w:color="auto" w:fill="auto"/>
          </w:tcPr>
          <w:p w14:paraId="5C3B0F7E" w14:textId="77777777" w:rsidR="007541AB" w:rsidRPr="00272DCE" w:rsidRDefault="007541AB" w:rsidP="00870F99">
            <w:pPr>
              <w:spacing w:before="60" w:after="60" w:line="220" w:lineRule="exact"/>
              <w:rPr>
                <w:sz w:val="18"/>
              </w:rPr>
            </w:pPr>
            <w:r w:rsidRPr="00272DCE">
              <w:rPr>
                <w:sz w:val="18"/>
              </w:rPr>
              <w:t>Toute autre matière et objet de la classe 6.2</w:t>
            </w:r>
          </w:p>
        </w:tc>
        <w:tc>
          <w:tcPr>
            <w:tcW w:w="823" w:type="dxa"/>
            <w:tcBorders>
              <w:top w:val="single" w:sz="4" w:space="0" w:color="auto"/>
              <w:bottom w:val="single" w:sz="4" w:space="0" w:color="auto"/>
            </w:tcBorders>
            <w:shd w:val="clear" w:color="auto" w:fill="auto"/>
            <w:vAlign w:val="bottom"/>
          </w:tcPr>
          <w:p w14:paraId="60CE4F0E" w14:textId="77777777" w:rsidR="007541AB" w:rsidRPr="00272DCE" w:rsidRDefault="007541AB" w:rsidP="00870F99">
            <w:pPr>
              <w:spacing w:before="60" w:after="60" w:line="220" w:lineRule="exact"/>
              <w:jc w:val="right"/>
              <w:rPr>
                <w:sz w:val="18"/>
              </w:rPr>
            </w:pPr>
            <w:r w:rsidRPr="00272DCE">
              <w:rPr>
                <w:sz w:val="18"/>
              </w:rPr>
              <w:t>3 000</w:t>
            </w:r>
          </w:p>
        </w:tc>
        <w:tc>
          <w:tcPr>
            <w:tcW w:w="824" w:type="dxa"/>
            <w:tcBorders>
              <w:top w:val="single" w:sz="4" w:space="0" w:color="auto"/>
              <w:bottom w:val="single" w:sz="4" w:space="0" w:color="auto"/>
            </w:tcBorders>
            <w:shd w:val="clear" w:color="auto" w:fill="auto"/>
            <w:vAlign w:val="bottom"/>
          </w:tcPr>
          <w:p w14:paraId="65BBB6B5" w14:textId="77777777" w:rsidR="007541AB" w:rsidRPr="00272DCE" w:rsidRDefault="007541AB" w:rsidP="00870F99">
            <w:pPr>
              <w:spacing w:before="60" w:after="60" w:line="220" w:lineRule="exact"/>
              <w:jc w:val="right"/>
              <w:rPr>
                <w:sz w:val="18"/>
              </w:rPr>
            </w:pPr>
          </w:p>
        </w:tc>
        <w:tc>
          <w:tcPr>
            <w:tcW w:w="824" w:type="dxa"/>
            <w:tcBorders>
              <w:top w:val="single" w:sz="4" w:space="0" w:color="auto"/>
              <w:bottom w:val="single" w:sz="4" w:space="0" w:color="auto"/>
            </w:tcBorders>
            <w:shd w:val="clear" w:color="auto" w:fill="auto"/>
            <w:vAlign w:val="bottom"/>
          </w:tcPr>
          <w:p w14:paraId="6D5D29CC" w14:textId="77777777" w:rsidR="007541AB" w:rsidRPr="00272DCE" w:rsidRDefault="007541AB" w:rsidP="00870F99">
            <w:pPr>
              <w:spacing w:before="60" w:after="60" w:line="220" w:lineRule="exact"/>
              <w:jc w:val="right"/>
              <w:rPr>
                <w:sz w:val="18"/>
              </w:rPr>
            </w:pPr>
          </w:p>
        </w:tc>
      </w:tr>
      <w:tr w:rsidR="007541AB" w:rsidRPr="00272DCE" w14:paraId="39226C19" w14:textId="77777777" w:rsidTr="00A329CF">
        <w:tc>
          <w:tcPr>
            <w:tcW w:w="735" w:type="dxa"/>
            <w:vMerge w:val="restart"/>
            <w:tcBorders>
              <w:top w:val="single" w:sz="4" w:space="0" w:color="auto"/>
              <w:bottom w:val="single" w:sz="4" w:space="0" w:color="auto"/>
            </w:tcBorders>
            <w:shd w:val="clear" w:color="auto" w:fill="auto"/>
          </w:tcPr>
          <w:p w14:paraId="2D95CEBA" w14:textId="77777777" w:rsidR="007541AB" w:rsidRPr="00272DCE" w:rsidRDefault="007541AB" w:rsidP="00870F99">
            <w:pPr>
              <w:spacing w:before="60" w:after="60" w:line="220" w:lineRule="exact"/>
              <w:rPr>
                <w:b/>
                <w:sz w:val="18"/>
              </w:rPr>
            </w:pPr>
            <w:r w:rsidRPr="00272DCE">
              <w:rPr>
                <w:b/>
                <w:sz w:val="18"/>
              </w:rPr>
              <w:t>7</w:t>
            </w:r>
          </w:p>
        </w:tc>
        <w:tc>
          <w:tcPr>
            <w:tcW w:w="4164" w:type="dxa"/>
            <w:gridSpan w:val="2"/>
            <w:tcBorders>
              <w:top w:val="single" w:sz="4" w:space="0" w:color="auto"/>
              <w:bottom w:val="single" w:sz="4" w:space="0" w:color="auto"/>
            </w:tcBorders>
            <w:shd w:val="clear" w:color="auto" w:fill="auto"/>
          </w:tcPr>
          <w:p w14:paraId="672872B6" w14:textId="77777777" w:rsidR="007541AB" w:rsidRPr="00272DCE" w:rsidRDefault="007541AB" w:rsidP="00870F99">
            <w:pPr>
              <w:spacing w:before="60" w:after="60" w:line="220" w:lineRule="exact"/>
              <w:rPr>
                <w:sz w:val="18"/>
              </w:rPr>
            </w:pPr>
            <w:r w:rsidRPr="00272DCE">
              <w:rPr>
                <w:sz w:val="18"/>
              </w:rPr>
              <w:t>Matières et objets de la classe 7 pour les numéros ONU 2908, 2909, 2910 et 2911</w:t>
            </w:r>
          </w:p>
        </w:tc>
        <w:tc>
          <w:tcPr>
            <w:tcW w:w="823" w:type="dxa"/>
            <w:tcBorders>
              <w:top w:val="single" w:sz="4" w:space="0" w:color="auto"/>
              <w:bottom w:val="single" w:sz="4" w:space="0" w:color="auto"/>
            </w:tcBorders>
            <w:shd w:val="clear" w:color="auto" w:fill="auto"/>
            <w:vAlign w:val="bottom"/>
          </w:tcPr>
          <w:p w14:paraId="15C5925A" w14:textId="77777777" w:rsidR="007541AB" w:rsidRPr="00272DCE" w:rsidRDefault="007541AB" w:rsidP="00870F99">
            <w:pPr>
              <w:spacing w:before="60" w:after="60" w:line="220" w:lineRule="exact"/>
              <w:jc w:val="right"/>
              <w:rPr>
                <w:sz w:val="18"/>
              </w:rPr>
            </w:pPr>
          </w:p>
        </w:tc>
        <w:tc>
          <w:tcPr>
            <w:tcW w:w="824" w:type="dxa"/>
            <w:tcBorders>
              <w:top w:val="single" w:sz="4" w:space="0" w:color="auto"/>
              <w:bottom w:val="single" w:sz="4" w:space="0" w:color="auto"/>
            </w:tcBorders>
            <w:shd w:val="clear" w:color="auto" w:fill="auto"/>
            <w:vAlign w:val="bottom"/>
          </w:tcPr>
          <w:p w14:paraId="578C3F31" w14:textId="77777777" w:rsidR="007541AB" w:rsidRPr="00272DCE" w:rsidRDefault="007541AB" w:rsidP="00870F99">
            <w:pPr>
              <w:spacing w:before="60" w:after="60" w:line="220" w:lineRule="exact"/>
              <w:jc w:val="right"/>
              <w:rPr>
                <w:sz w:val="18"/>
              </w:rPr>
            </w:pPr>
          </w:p>
        </w:tc>
        <w:tc>
          <w:tcPr>
            <w:tcW w:w="824" w:type="dxa"/>
            <w:tcBorders>
              <w:top w:val="single" w:sz="4" w:space="0" w:color="auto"/>
              <w:bottom w:val="single" w:sz="4" w:space="0" w:color="auto"/>
            </w:tcBorders>
            <w:shd w:val="clear" w:color="auto" w:fill="auto"/>
            <w:vAlign w:val="bottom"/>
          </w:tcPr>
          <w:p w14:paraId="3A6112FE" w14:textId="77777777" w:rsidR="007541AB" w:rsidRPr="00272DCE" w:rsidRDefault="007541AB" w:rsidP="00870F99">
            <w:pPr>
              <w:spacing w:before="60" w:after="60" w:line="220" w:lineRule="exact"/>
              <w:jc w:val="right"/>
              <w:rPr>
                <w:sz w:val="18"/>
              </w:rPr>
            </w:pPr>
            <w:r w:rsidRPr="00272DCE">
              <w:rPr>
                <w:sz w:val="18"/>
              </w:rPr>
              <w:t>0</w:t>
            </w:r>
          </w:p>
        </w:tc>
      </w:tr>
      <w:tr w:rsidR="007541AB" w:rsidRPr="00272DCE" w14:paraId="42853EF5" w14:textId="77777777" w:rsidTr="00A329CF">
        <w:tc>
          <w:tcPr>
            <w:tcW w:w="735" w:type="dxa"/>
            <w:vMerge/>
            <w:tcBorders>
              <w:top w:val="single" w:sz="4" w:space="0" w:color="auto"/>
              <w:bottom w:val="single" w:sz="4" w:space="0" w:color="auto"/>
            </w:tcBorders>
            <w:shd w:val="clear" w:color="auto" w:fill="auto"/>
          </w:tcPr>
          <w:p w14:paraId="7899BC0B" w14:textId="77777777" w:rsidR="007541AB" w:rsidRPr="00272DCE" w:rsidRDefault="007541AB" w:rsidP="00870F99">
            <w:pPr>
              <w:spacing w:before="60" w:after="60" w:line="220" w:lineRule="exact"/>
              <w:rPr>
                <w:b/>
                <w:sz w:val="18"/>
              </w:rPr>
            </w:pPr>
          </w:p>
        </w:tc>
        <w:tc>
          <w:tcPr>
            <w:tcW w:w="4164" w:type="dxa"/>
            <w:gridSpan w:val="2"/>
            <w:tcBorders>
              <w:top w:val="single" w:sz="4" w:space="0" w:color="auto"/>
              <w:bottom w:val="single" w:sz="4" w:space="0" w:color="auto"/>
            </w:tcBorders>
            <w:shd w:val="clear" w:color="auto" w:fill="auto"/>
          </w:tcPr>
          <w:p w14:paraId="3CCFDE58" w14:textId="77777777" w:rsidR="007541AB" w:rsidRPr="00272DCE" w:rsidRDefault="007541AB" w:rsidP="00870F99">
            <w:pPr>
              <w:spacing w:before="60" w:after="60" w:line="220" w:lineRule="exact"/>
              <w:rPr>
                <w:sz w:val="18"/>
              </w:rPr>
            </w:pPr>
            <w:r w:rsidRPr="00272DCE">
              <w:rPr>
                <w:sz w:val="18"/>
              </w:rPr>
              <w:t>Toute autre matière et objet de la classe 7</w:t>
            </w:r>
          </w:p>
        </w:tc>
        <w:tc>
          <w:tcPr>
            <w:tcW w:w="823" w:type="dxa"/>
            <w:tcBorders>
              <w:top w:val="single" w:sz="4" w:space="0" w:color="auto"/>
              <w:bottom w:val="single" w:sz="4" w:space="0" w:color="auto"/>
            </w:tcBorders>
            <w:shd w:val="clear" w:color="auto" w:fill="auto"/>
            <w:vAlign w:val="bottom"/>
          </w:tcPr>
          <w:p w14:paraId="0D91A2A0" w14:textId="77777777" w:rsidR="007541AB" w:rsidRPr="00272DCE" w:rsidRDefault="007541AB" w:rsidP="00870F99">
            <w:pPr>
              <w:spacing w:before="60" w:after="60" w:line="220" w:lineRule="exact"/>
              <w:jc w:val="right"/>
              <w:rPr>
                <w:sz w:val="18"/>
              </w:rPr>
            </w:pPr>
            <w:r w:rsidRPr="00272DCE">
              <w:rPr>
                <w:sz w:val="18"/>
              </w:rPr>
              <w:t>3 000</w:t>
            </w:r>
          </w:p>
        </w:tc>
        <w:tc>
          <w:tcPr>
            <w:tcW w:w="824" w:type="dxa"/>
            <w:tcBorders>
              <w:top w:val="single" w:sz="4" w:space="0" w:color="auto"/>
              <w:bottom w:val="single" w:sz="4" w:space="0" w:color="auto"/>
            </w:tcBorders>
            <w:shd w:val="clear" w:color="auto" w:fill="auto"/>
            <w:vAlign w:val="bottom"/>
          </w:tcPr>
          <w:p w14:paraId="271880A2" w14:textId="77777777" w:rsidR="007541AB" w:rsidRPr="00272DCE" w:rsidRDefault="007541AB" w:rsidP="00870F99">
            <w:pPr>
              <w:spacing w:before="60" w:after="60" w:line="220" w:lineRule="exact"/>
              <w:jc w:val="right"/>
              <w:rPr>
                <w:sz w:val="18"/>
              </w:rPr>
            </w:pPr>
          </w:p>
        </w:tc>
        <w:tc>
          <w:tcPr>
            <w:tcW w:w="824" w:type="dxa"/>
            <w:tcBorders>
              <w:top w:val="single" w:sz="4" w:space="0" w:color="auto"/>
              <w:bottom w:val="single" w:sz="4" w:space="0" w:color="auto"/>
            </w:tcBorders>
            <w:shd w:val="clear" w:color="auto" w:fill="auto"/>
            <w:vAlign w:val="bottom"/>
          </w:tcPr>
          <w:p w14:paraId="720B9CA4" w14:textId="77777777" w:rsidR="007541AB" w:rsidRPr="00272DCE" w:rsidRDefault="007541AB" w:rsidP="00870F99">
            <w:pPr>
              <w:spacing w:before="60" w:after="60" w:line="220" w:lineRule="exact"/>
              <w:jc w:val="right"/>
              <w:rPr>
                <w:sz w:val="18"/>
              </w:rPr>
            </w:pPr>
          </w:p>
        </w:tc>
      </w:tr>
      <w:tr w:rsidR="007541AB" w:rsidRPr="00272DCE" w14:paraId="27AC8114" w14:textId="77777777" w:rsidTr="00A329CF">
        <w:tc>
          <w:tcPr>
            <w:tcW w:w="735" w:type="dxa"/>
            <w:vMerge w:val="restart"/>
            <w:tcBorders>
              <w:top w:val="single" w:sz="4" w:space="0" w:color="auto"/>
              <w:bottom w:val="single" w:sz="4" w:space="0" w:color="auto"/>
            </w:tcBorders>
            <w:shd w:val="clear" w:color="auto" w:fill="auto"/>
          </w:tcPr>
          <w:p w14:paraId="0CCD0EC1" w14:textId="77777777" w:rsidR="007541AB" w:rsidRPr="00272DCE" w:rsidRDefault="007541AB" w:rsidP="00870F99">
            <w:pPr>
              <w:spacing w:before="60" w:after="60" w:line="220" w:lineRule="exact"/>
              <w:rPr>
                <w:b/>
                <w:sz w:val="18"/>
              </w:rPr>
            </w:pPr>
            <w:r w:rsidRPr="00272DCE">
              <w:rPr>
                <w:b/>
                <w:sz w:val="18"/>
              </w:rPr>
              <w:t>8</w:t>
            </w:r>
          </w:p>
        </w:tc>
        <w:tc>
          <w:tcPr>
            <w:tcW w:w="4164" w:type="dxa"/>
            <w:gridSpan w:val="2"/>
            <w:tcBorders>
              <w:top w:val="single" w:sz="4" w:space="0" w:color="auto"/>
              <w:bottom w:val="single" w:sz="4" w:space="0" w:color="auto"/>
            </w:tcBorders>
            <w:shd w:val="clear" w:color="auto" w:fill="auto"/>
          </w:tcPr>
          <w:p w14:paraId="31BBBC1C" w14:textId="77777777" w:rsidR="007541AB" w:rsidRPr="00272DCE" w:rsidRDefault="007541AB" w:rsidP="00870F99">
            <w:pPr>
              <w:spacing w:before="60" w:after="60" w:line="220" w:lineRule="exact"/>
              <w:rPr>
                <w:sz w:val="18"/>
              </w:rPr>
            </w:pPr>
            <w:r w:rsidRPr="00272DCE">
              <w:rPr>
                <w:sz w:val="18"/>
              </w:rPr>
              <w:t>Matières et objets de la classe 8, groupe d</w:t>
            </w:r>
            <w:r w:rsidR="00681934" w:rsidRPr="00272DCE">
              <w:rPr>
                <w:sz w:val="18"/>
              </w:rPr>
              <w:t>’</w:t>
            </w:r>
            <w:r w:rsidRPr="00272DCE">
              <w:rPr>
                <w:sz w:val="18"/>
              </w:rPr>
              <w:t xml:space="preserve">emballage I </w:t>
            </w:r>
          </w:p>
        </w:tc>
        <w:tc>
          <w:tcPr>
            <w:tcW w:w="823" w:type="dxa"/>
            <w:tcBorders>
              <w:top w:val="single" w:sz="4" w:space="0" w:color="auto"/>
              <w:bottom w:val="single" w:sz="4" w:space="0" w:color="auto"/>
            </w:tcBorders>
            <w:shd w:val="clear" w:color="auto" w:fill="auto"/>
            <w:vAlign w:val="bottom"/>
          </w:tcPr>
          <w:p w14:paraId="0A2C4848" w14:textId="77777777" w:rsidR="007541AB" w:rsidRPr="00272DCE" w:rsidRDefault="007541AB" w:rsidP="00870F99">
            <w:pPr>
              <w:spacing w:before="60" w:after="60" w:line="220" w:lineRule="exact"/>
              <w:jc w:val="right"/>
              <w:rPr>
                <w:sz w:val="18"/>
              </w:rPr>
            </w:pPr>
          </w:p>
        </w:tc>
        <w:tc>
          <w:tcPr>
            <w:tcW w:w="824" w:type="dxa"/>
            <w:tcBorders>
              <w:top w:val="single" w:sz="4" w:space="0" w:color="auto"/>
              <w:bottom w:val="single" w:sz="4" w:space="0" w:color="auto"/>
            </w:tcBorders>
            <w:shd w:val="clear" w:color="auto" w:fill="auto"/>
            <w:vAlign w:val="bottom"/>
          </w:tcPr>
          <w:p w14:paraId="5FDD97EB" w14:textId="77777777" w:rsidR="007541AB" w:rsidRPr="00272DCE" w:rsidRDefault="007541AB" w:rsidP="00870F99">
            <w:pPr>
              <w:spacing w:before="60" w:after="60" w:line="220" w:lineRule="exact"/>
              <w:jc w:val="right"/>
              <w:rPr>
                <w:sz w:val="18"/>
              </w:rPr>
            </w:pPr>
            <w:r w:rsidRPr="00272DCE">
              <w:rPr>
                <w:sz w:val="18"/>
              </w:rPr>
              <w:t>300</w:t>
            </w:r>
          </w:p>
        </w:tc>
        <w:tc>
          <w:tcPr>
            <w:tcW w:w="824" w:type="dxa"/>
            <w:tcBorders>
              <w:top w:val="single" w:sz="4" w:space="0" w:color="auto"/>
              <w:bottom w:val="single" w:sz="4" w:space="0" w:color="auto"/>
            </w:tcBorders>
            <w:shd w:val="clear" w:color="auto" w:fill="auto"/>
            <w:vAlign w:val="bottom"/>
          </w:tcPr>
          <w:p w14:paraId="531A0130" w14:textId="77777777" w:rsidR="007541AB" w:rsidRPr="00272DCE" w:rsidRDefault="007541AB" w:rsidP="00870F99">
            <w:pPr>
              <w:spacing w:before="60" w:after="60" w:line="220" w:lineRule="exact"/>
              <w:jc w:val="right"/>
              <w:rPr>
                <w:sz w:val="18"/>
              </w:rPr>
            </w:pPr>
          </w:p>
        </w:tc>
      </w:tr>
      <w:tr w:rsidR="007541AB" w:rsidRPr="00272DCE" w14:paraId="051A5A4F" w14:textId="77777777" w:rsidTr="00A329CF">
        <w:tc>
          <w:tcPr>
            <w:tcW w:w="735" w:type="dxa"/>
            <w:vMerge/>
            <w:tcBorders>
              <w:top w:val="single" w:sz="4" w:space="0" w:color="auto"/>
              <w:bottom w:val="single" w:sz="4" w:space="0" w:color="auto"/>
            </w:tcBorders>
            <w:shd w:val="clear" w:color="auto" w:fill="auto"/>
          </w:tcPr>
          <w:p w14:paraId="1FE0B2A9" w14:textId="77777777" w:rsidR="007541AB" w:rsidRPr="00272DCE" w:rsidRDefault="007541AB" w:rsidP="00870F99">
            <w:pPr>
              <w:spacing w:before="60" w:after="60" w:line="220" w:lineRule="exact"/>
              <w:rPr>
                <w:b/>
                <w:sz w:val="18"/>
              </w:rPr>
            </w:pPr>
          </w:p>
        </w:tc>
        <w:tc>
          <w:tcPr>
            <w:tcW w:w="4164" w:type="dxa"/>
            <w:gridSpan w:val="2"/>
            <w:tcBorders>
              <w:top w:val="single" w:sz="4" w:space="0" w:color="auto"/>
              <w:bottom w:val="single" w:sz="4" w:space="0" w:color="auto"/>
            </w:tcBorders>
            <w:shd w:val="clear" w:color="auto" w:fill="auto"/>
          </w:tcPr>
          <w:p w14:paraId="0A32C16F" w14:textId="77777777" w:rsidR="007541AB" w:rsidRPr="00272DCE" w:rsidRDefault="007541AB" w:rsidP="00870F99">
            <w:pPr>
              <w:spacing w:before="60" w:after="60" w:line="220" w:lineRule="exact"/>
              <w:rPr>
                <w:sz w:val="18"/>
              </w:rPr>
            </w:pPr>
            <w:r w:rsidRPr="00272DCE">
              <w:rPr>
                <w:sz w:val="18"/>
              </w:rPr>
              <w:t>Toute autre matière et objet de la classe 8</w:t>
            </w:r>
          </w:p>
        </w:tc>
        <w:tc>
          <w:tcPr>
            <w:tcW w:w="823" w:type="dxa"/>
            <w:tcBorders>
              <w:top w:val="single" w:sz="4" w:space="0" w:color="auto"/>
              <w:bottom w:val="single" w:sz="4" w:space="0" w:color="auto"/>
            </w:tcBorders>
            <w:shd w:val="clear" w:color="auto" w:fill="auto"/>
            <w:vAlign w:val="bottom"/>
          </w:tcPr>
          <w:p w14:paraId="5833701A" w14:textId="77777777" w:rsidR="007541AB" w:rsidRPr="00272DCE" w:rsidRDefault="007541AB" w:rsidP="00870F99">
            <w:pPr>
              <w:spacing w:before="60" w:after="60" w:line="220" w:lineRule="exact"/>
              <w:jc w:val="right"/>
              <w:rPr>
                <w:sz w:val="18"/>
              </w:rPr>
            </w:pPr>
            <w:r w:rsidRPr="00272DCE">
              <w:rPr>
                <w:sz w:val="18"/>
              </w:rPr>
              <w:t>3 000</w:t>
            </w:r>
          </w:p>
        </w:tc>
        <w:tc>
          <w:tcPr>
            <w:tcW w:w="824" w:type="dxa"/>
            <w:tcBorders>
              <w:top w:val="single" w:sz="4" w:space="0" w:color="auto"/>
              <w:bottom w:val="single" w:sz="4" w:space="0" w:color="auto"/>
            </w:tcBorders>
            <w:shd w:val="clear" w:color="auto" w:fill="auto"/>
            <w:vAlign w:val="bottom"/>
          </w:tcPr>
          <w:p w14:paraId="486078CD" w14:textId="77777777" w:rsidR="007541AB" w:rsidRPr="00272DCE" w:rsidRDefault="007541AB" w:rsidP="00870F99">
            <w:pPr>
              <w:spacing w:before="60" w:after="60" w:line="220" w:lineRule="exact"/>
              <w:jc w:val="right"/>
              <w:rPr>
                <w:sz w:val="18"/>
              </w:rPr>
            </w:pPr>
          </w:p>
        </w:tc>
        <w:tc>
          <w:tcPr>
            <w:tcW w:w="824" w:type="dxa"/>
            <w:tcBorders>
              <w:top w:val="single" w:sz="4" w:space="0" w:color="auto"/>
              <w:bottom w:val="single" w:sz="4" w:space="0" w:color="auto"/>
            </w:tcBorders>
            <w:shd w:val="clear" w:color="auto" w:fill="auto"/>
            <w:vAlign w:val="bottom"/>
          </w:tcPr>
          <w:p w14:paraId="380724C5" w14:textId="77777777" w:rsidR="007541AB" w:rsidRPr="00272DCE" w:rsidRDefault="007541AB" w:rsidP="00870F99">
            <w:pPr>
              <w:spacing w:before="60" w:after="60" w:line="220" w:lineRule="exact"/>
              <w:jc w:val="right"/>
              <w:rPr>
                <w:sz w:val="18"/>
              </w:rPr>
            </w:pPr>
          </w:p>
        </w:tc>
      </w:tr>
      <w:tr w:rsidR="007541AB" w:rsidRPr="00272DCE" w14:paraId="6E0D59A8" w14:textId="77777777" w:rsidTr="00A329CF">
        <w:tc>
          <w:tcPr>
            <w:tcW w:w="735" w:type="dxa"/>
            <w:tcBorders>
              <w:top w:val="single" w:sz="4" w:space="0" w:color="auto"/>
              <w:bottom w:val="single" w:sz="12" w:space="0" w:color="auto"/>
            </w:tcBorders>
            <w:shd w:val="clear" w:color="auto" w:fill="auto"/>
          </w:tcPr>
          <w:p w14:paraId="5F0739C7" w14:textId="77777777" w:rsidR="007541AB" w:rsidRPr="00272DCE" w:rsidRDefault="007541AB" w:rsidP="00870F99">
            <w:pPr>
              <w:spacing w:before="60" w:after="60" w:line="220" w:lineRule="exact"/>
              <w:rPr>
                <w:b/>
                <w:sz w:val="18"/>
              </w:rPr>
            </w:pPr>
            <w:r w:rsidRPr="00272DCE">
              <w:rPr>
                <w:b/>
                <w:sz w:val="18"/>
              </w:rPr>
              <w:t>9</w:t>
            </w:r>
          </w:p>
        </w:tc>
        <w:tc>
          <w:tcPr>
            <w:tcW w:w="4164" w:type="dxa"/>
            <w:gridSpan w:val="2"/>
            <w:tcBorders>
              <w:top w:val="single" w:sz="4" w:space="0" w:color="auto"/>
              <w:bottom w:val="single" w:sz="12" w:space="0" w:color="auto"/>
            </w:tcBorders>
            <w:shd w:val="clear" w:color="auto" w:fill="auto"/>
          </w:tcPr>
          <w:p w14:paraId="33406029" w14:textId="77777777" w:rsidR="007541AB" w:rsidRPr="00272DCE" w:rsidRDefault="007541AB" w:rsidP="00870F99">
            <w:pPr>
              <w:spacing w:before="60" w:after="60" w:line="220" w:lineRule="exact"/>
              <w:rPr>
                <w:sz w:val="18"/>
              </w:rPr>
            </w:pPr>
            <w:r w:rsidRPr="00272DCE">
              <w:rPr>
                <w:sz w:val="18"/>
              </w:rPr>
              <w:t>Toutes les matières et tous les objets de la classe 9</w:t>
            </w:r>
          </w:p>
        </w:tc>
        <w:tc>
          <w:tcPr>
            <w:tcW w:w="823" w:type="dxa"/>
            <w:tcBorders>
              <w:top w:val="single" w:sz="4" w:space="0" w:color="auto"/>
              <w:bottom w:val="single" w:sz="12" w:space="0" w:color="auto"/>
            </w:tcBorders>
            <w:shd w:val="clear" w:color="auto" w:fill="auto"/>
            <w:vAlign w:val="bottom"/>
          </w:tcPr>
          <w:p w14:paraId="47B5C8B4" w14:textId="77777777" w:rsidR="007541AB" w:rsidRPr="00272DCE" w:rsidRDefault="007541AB" w:rsidP="00870F99">
            <w:pPr>
              <w:spacing w:before="60" w:after="60" w:line="220" w:lineRule="exact"/>
              <w:jc w:val="right"/>
              <w:rPr>
                <w:sz w:val="18"/>
              </w:rPr>
            </w:pPr>
            <w:r w:rsidRPr="00272DCE">
              <w:rPr>
                <w:sz w:val="18"/>
              </w:rPr>
              <w:t>3 000</w:t>
            </w:r>
          </w:p>
        </w:tc>
        <w:tc>
          <w:tcPr>
            <w:tcW w:w="824" w:type="dxa"/>
            <w:tcBorders>
              <w:top w:val="single" w:sz="4" w:space="0" w:color="auto"/>
              <w:bottom w:val="single" w:sz="12" w:space="0" w:color="auto"/>
            </w:tcBorders>
            <w:shd w:val="clear" w:color="auto" w:fill="auto"/>
            <w:vAlign w:val="bottom"/>
          </w:tcPr>
          <w:p w14:paraId="23E189FE" w14:textId="77777777" w:rsidR="007541AB" w:rsidRPr="00272DCE" w:rsidRDefault="007541AB" w:rsidP="00870F99">
            <w:pPr>
              <w:spacing w:before="60" w:after="60" w:line="220" w:lineRule="exact"/>
              <w:jc w:val="right"/>
              <w:rPr>
                <w:sz w:val="18"/>
              </w:rPr>
            </w:pPr>
          </w:p>
        </w:tc>
        <w:tc>
          <w:tcPr>
            <w:tcW w:w="824" w:type="dxa"/>
            <w:tcBorders>
              <w:top w:val="single" w:sz="4" w:space="0" w:color="auto"/>
              <w:bottom w:val="single" w:sz="12" w:space="0" w:color="auto"/>
            </w:tcBorders>
            <w:shd w:val="clear" w:color="auto" w:fill="auto"/>
            <w:vAlign w:val="bottom"/>
          </w:tcPr>
          <w:p w14:paraId="1E779EA1" w14:textId="77777777" w:rsidR="007541AB" w:rsidRPr="00272DCE" w:rsidRDefault="007541AB" w:rsidP="00870F99">
            <w:pPr>
              <w:spacing w:before="60" w:after="60" w:line="220" w:lineRule="exact"/>
              <w:jc w:val="right"/>
              <w:rPr>
                <w:sz w:val="18"/>
              </w:rPr>
            </w:pPr>
          </w:p>
        </w:tc>
      </w:tr>
    </w:tbl>
    <w:p w14:paraId="113573B3" w14:textId="77777777" w:rsidR="002C4BD8" w:rsidRPr="00272DCE" w:rsidRDefault="002C4BD8" w:rsidP="000705F5">
      <w:pPr>
        <w:pStyle w:val="SingleTxtG"/>
        <w:spacing w:before="120"/>
        <w:rPr>
          <w:i/>
        </w:rPr>
      </w:pPr>
      <w:r w:rsidRPr="00272DCE">
        <w:rPr>
          <w:i/>
        </w:rPr>
        <w:t>(Document de référence : ECE/TRANS/WP.15/AC.2/2019/10 tel qu</w:t>
      </w:r>
      <w:r w:rsidR="00681934" w:rsidRPr="00272DCE">
        <w:rPr>
          <w:i/>
        </w:rPr>
        <w:t>’</w:t>
      </w:r>
      <w:r w:rsidRPr="00272DCE">
        <w:rPr>
          <w:i/>
        </w:rPr>
        <w:t>amendé)</w:t>
      </w:r>
    </w:p>
    <w:p w14:paraId="4AA462A2" w14:textId="77777777" w:rsidR="00FA22C6" w:rsidRPr="00272DCE" w:rsidRDefault="002C4BD8" w:rsidP="002C4BD8">
      <w:pPr>
        <w:pStyle w:val="SingleTxtG"/>
        <w:jc w:val="right"/>
      </w:pPr>
      <w:r w:rsidRPr="00272DCE">
        <w:t>. ».</w:t>
      </w:r>
    </w:p>
    <w:p w14:paraId="1F68BB11" w14:textId="77777777" w:rsidR="000705F5" w:rsidRPr="00272DCE" w:rsidRDefault="000705F5" w:rsidP="00272DCE">
      <w:pPr>
        <w:pStyle w:val="H1G"/>
        <w:spacing w:before="320" w:after="200"/>
      </w:pPr>
      <w:r w:rsidRPr="00272DCE">
        <w:tab/>
      </w:r>
      <w:r w:rsidRPr="00272DCE">
        <w:tab/>
        <w:t>Chapitre 1.2</w:t>
      </w:r>
    </w:p>
    <w:p w14:paraId="0FDD4954" w14:textId="77777777" w:rsidR="000705F5" w:rsidRPr="00272DCE" w:rsidRDefault="000705F5" w:rsidP="000705F5">
      <w:pPr>
        <w:pStyle w:val="SingleTxtG"/>
        <w:ind w:left="2268" w:hanging="1134"/>
      </w:pPr>
      <w:r w:rsidRPr="00272DCE">
        <w:t>1.2.1</w:t>
      </w:r>
      <w:r w:rsidRPr="00272DCE">
        <w:tab/>
        <w:t>Modifier la définition de « </w:t>
      </w:r>
      <w:proofErr w:type="spellStart"/>
      <w:r w:rsidRPr="00272DCE">
        <w:rPr>
          <w:i/>
        </w:rPr>
        <w:t>Slops</w:t>
      </w:r>
      <w:proofErr w:type="spellEnd"/>
      <w:r w:rsidRPr="00272DCE">
        <w:t> » comme suit :</w:t>
      </w:r>
    </w:p>
    <w:p w14:paraId="3752E04D" w14:textId="77777777" w:rsidR="000705F5" w:rsidRPr="00272DCE" w:rsidRDefault="000705F5" w:rsidP="000705F5">
      <w:pPr>
        <w:pStyle w:val="SingleTxtG"/>
      </w:pPr>
      <w:r w:rsidRPr="00272DCE">
        <w:t>« </w:t>
      </w:r>
      <w:proofErr w:type="spellStart"/>
      <w:r w:rsidRPr="00272DCE">
        <w:rPr>
          <w:i/>
        </w:rPr>
        <w:t>Slops</w:t>
      </w:r>
      <w:proofErr w:type="spellEnd"/>
      <w:r w:rsidRPr="00272DCE">
        <w:t> : mélange de résidus de cargaison, contenant des restes d</w:t>
      </w:r>
      <w:r w:rsidR="00681934" w:rsidRPr="00272DCE">
        <w:t>’</w:t>
      </w:r>
      <w:r w:rsidRPr="00272DCE">
        <w:t>eau de lavage, de la rouille ou de la boue, apte ou non à être pompé ; ».</w:t>
      </w:r>
    </w:p>
    <w:p w14:paraId="0173BA13" w14:textId="77777777" w:rsidR="000705F5" w:rsidRPr="00272DCE" w:rsidRDefault="000705F5" w:rsidP="00F25248">
      <w:pPr>
        <w:pStyle w:val="SingleTxtG"/>
        <w:rPr>
          <w:i/>
        </w:rPr>
      </w:pPr>
      <w:r w:rsidRPr="00272DCE">
        <w:rPr>
          <w:i/>
        </w:rPr>
        <w:t>(Document de référence : ECE/TRANS/WP.15/AC.2/2019/17)</w:t>
      </w:r>
    </w:p>
    <w:p w14:paraId="4FB6250C" w14:textId="77777777" w:rsidR="000705F5" w:rsidRPr="00272DCE" w:rsidRDefault="00F25248" w:rsidP="00272DCE">
      <w:pPr>
        <w:pStyle w:val="H1G"/>
        <w:spacing w:before="320" w:after="200"/>
      </w:pPr>
      <w:r w:rsidRPr="00272DCE">
        <w:tab/>
      </w:r>
      <w:r w:rsidRPr="00272DCE">
        <w:tab/>
      </w:r>
      <w:r w:rsidR="000705F5" w:rsidRPr="00272DCE">
        <w:t>Chapitre 1.6</w:t>
      </w:r>
    </w:p>
    <w:p w14:paraId="19B81567" w14:textId="77777777" w:rsidR="000705F5" w:rsidRPr="00272DCE" w:rsidRDefault="000705F5" w:rsidP="00F25248">
      <w:pPr>
        <w:pStyle w:val="SingleTxtG"/>
        <w:ind w:left="2268" w:hanging="1134"/>
      </w:pPr>
      <w:r w:rsidRPr="00272DCE">
        <w:t>1.6.7.2.2.2</w:t>
      </w:r>
      <w:r w:rsidRPr="00272DCE">
        <w:tab/>
        <w:t>Supprimer la disposition transitoire pour les 9.3.1.8.4, 9.3.2.8.4 et 9.3.3.8.4.</w:t>
      </w:r>
    </w:p>
    <w:p w14:paraId="4619DFC4" w14:textId="77777777" w:rsidR="000705F5" w:rsidRPr="00272DCE" w:rsidRDefault="000705F5" w:rsidP="000705F5">
      <w:pPr>
        <w:pStyle w:val="SingleTxtG"/>
        <w:rPr>
          <w:i/>
          <w:iCs/>
        </w:rPr>
      </w:pPr>
      <w:r w:rsidRPr="00272DCE">
        <w:rPr>
          <w:i/>
        </w:rPr>
        <w:t>(Document de référence : ECE/TRANS/WP.15/AC.2/2019/9)</w:t>
      </w:r>
    </w:p>
    <w:p w14:paraId="69AA49C0" w14:textId="77777777" w:rsidR="000705F5" w:rsidRPr="00272DCE" w:rsidRDefault="000705F5" w:rsidP="00F25248">
      <w:pPr>
        <w:pStyle w:val="SingleTxtG"/>
        <w:ind w:left="2268" w:hanging="1134"/>
      </w:pPr>
      <w:r w:rsidRPr="00272DCE">
        <w:t>1.6.7.5</w:t>
      </w:r>
      <w:r w:rsidRPr="00272DCE">
        <w:tab/>
      </w:r>
      <w:r w:rsidRPr="00272DCE">
        <w:tab/>
        <w:t>Lire comme suit :</w:t>
      </w:r>
    </w:p>
    <w:p w14:paraId="44DC4C00" w14:textId="77777777" w:rsidR="000705F5" w:rsidRPr="00272DCE" w:rsidRDefault="000705F5" w:rsidP="00F25248">
      <w:pPr>
        <w:pStyle w:val="SingleTxtG"/>
        <w:ind w:left="2268" w:hanging="1134"/>
      </w:pPr>
      <w:r w:rsidRPr="00272DCE">
        <w:t>« 1.6.7.5</w:t>
      </w:r>
      <w:r w:rsidRPr="00272DCE">
        <w:tab/>
        <w:t>Dispositions transitoires concernant la modification des bateaux-citernes</w:t>
      </w:r>
    </w:p>
    <w:p w14:paraId="525C8280" w14:textId="77777777" w:rsidR="000705F5" w:rsidRPr="00272DCE" w:rsidRDefault="000705F5" w:rsidP="00F25248">
      <w:pPr>
        <w:pStyle w:val="SingleTxtG"/>
      </w:pPr>
      <w:r w:rsidRPr="00272DCE">
        <w:t>1.6.7.5.1</w:t>
      </w:r>
      <w:r w:rsidRPr="00272DCE">
        <w:tab/>
        <w:t>Pour les bateaux dont la modification de la zone de cargaison afin d</w:t>
      </w:r>
      <w:r w:rsidR="00681934" w:rsidRPr="00272DCE">
        <w:t>’</w:t>
      </w:r>
      <w:r w:rsidRPr="00272DCE">
        <w:t>obtenir un bateau à double coque de type N était permise jusqu</w:t>
      </w:r>
      <w:r w:rsidR="00681934" w:rsidRPr="00272DCE">
        <w:t>’</w:t>
      </w:r>
      <w:r w:rsidRPr="00272DCE">
        <w:t>au 31 décembre 2018, les conditions suivantes s</w:t>
      </w:r>
      <w:r w:rsidR="00681934" w:rsidRPr="00272DCE">
        <w:t>’</w:t>
      </w:r>
      <w:r w:rsidRPr="00272DCE">
        <w:t>appliquent :</w:t>
      </w:r>
    </w:p>
    <w:p w14:paraId="420754EC" w14:textId="77777777" w:rsidR="000705F5" w:rsidRPr="00272DCE" w:rsidRDefault="000705F5" w:rsidP="00F25248">
      <w:pPr>
        <w:pStyle w:val="SingleTxtG"/>
        <w:ind w:left="2268" w:hanging="567"/>
      </w:pPr>
      <w:r w:rsidRPr="00272DCE">
        <w:t>a)</w:t>
      </w:r>
      <w:r w:rsidRPr="00272DCE">
        <w:tab/>
        <w:t>La zone de cargaison modifiée ou nouvelle doit être conforme aux dispositions du présent Règlement. Les dispositions transitoires du paragraphe 1.6.7.2.2 ne doivent pas s</w:t>
      </w:r>
      <w:r w:rsidR="00681934" w:rsidRPr="00272DCE">
        <w:t>’</w:t>
      </w:r>
      <w:r w:rsidRPr="00272DCE">
        <w:t>appliquer pour la zone de cargaison ;</w:t>
      </w:r>
      <w:bookmarkStart w:id="13" w:name="_Hlk528743038"/>
    </w:p>
    <w:p w14:paraId="2E51B535" w14:textId="77777777" w:rsidR="000705F5" w:rsidRPr="00272DCE" w:rsidRDefault="000705F5" w:rsidP="00F25248">
      <w:pPr>
        <w:pStyle w:val="SingleTxtG"/>
        <w:ind w:left="2268" w:hanging="567"/>
      </w:pPr>
      <w:r w:rsidRPr="00272DCE">
        <w:t>b)</w:t>
      </w:r>
      <w:r w:rsidRPr="00272DCE">
        <w:tab/>
        <w:t>Les parties du bateau situées en dehors de la zone de cargaison doivent être conformes aux dispositions du présent Règlement. Cependant, les dispositions transitoires suivantes au titre du paragraphe 1.6.7.2.2, applicables jusqu</w:t>
      </w:r>
      <w:r w:rsidR="00681934" w:rsidRPr="00272DCE">
        <w:t>’</w:t>
      </w:r>
      <w:r w:rsidRPr="00272DCE">
        <w:t>au 31 décembre 2018, peuvent être appliquées : 1.2.1, 9.3.3.0.3 d), 9.3.3.51.3 et 9.3.3.52.4, dernière phrase ;</w:t>
      </w:r>
    </w:p>
    <w:p w14:paraId="0FA17312" w14:textId="77777777" w:rsidR="000705F5" w:rsidRPr="00272DCE" w:rsidRDefault="000705F5" w:rsidP="00F25248">
      <w:pPr>
        <w:pStyle w:val="SingleTxtG"/>
        <w:ind w:left="2268" w:hanging="567"/>
      </w:pPr>
      <w:r w:rsidRPr="00272DCE">
        <w:t>c)</w:t>
      </w:r>
      <w:r w:rsidRPr="00272DCE">
        <w:tab/>
        <w:t>Si les marchandises nécessitant une protection contre les explosions sont énumérées dans la liste conformément au paragraphe 1.16.1.2.5, les logements et les timoneries doivent être équipés d</w:t>
      </w:r>
      <w:r w:rsidR="00681934" w:rsidRPr="00272DCE">
        <w:t>’</w:t>
      </w:r>
      <w:r w:rsidRPr="00272DCE">
        <w:t>un système d</w:t>
      </w:r>
      <w:r w:rsidR="00681934" w:rsidRPr="00272DCE">
        <w:t>’</w:t>
      </w:r>
      <w:r w:rsidRPr="00272DCE">
        <w:t>alarme incendie conformément au 9.3.3.40.2.3 ;</w:t>
      </w:r>
    </w:p>
    <w:p w14:paraId="3FC83196" w14:textId="77777777" w:rsidR="000705F5" w:rsidRPr="00272DCE" w:rsidRDefault="000705F5" w:rsidP="00F25248">
      <w:pPr>
        <w:pStyle w:val="SingleTxtG"/>
        <w:ind w:left="2268" w:hanging="567"/>
      </w:pPr>
      <w:r w:rsidRPr="00272DCE">
        <w:t>d)</w:t>
      </w:r>
      <w:r w:rsidRPr="00272DCE">
        <w:tab/>
        <w:t>L</w:t>
      </w:r>
      <w:r w:rsidR="00681934" w:rsidRPr="00272DCE">
        <w:t>’</w:t>
      </w:r>
      <w:r w:rsidRPr="00272DCE">
        <w:t>application de la présente sous-section doit être consignée dans le certificat d</w:t>
      </w:r>
      <w:r w:rsidR="00681934" w:rsidRPr="00272DCE">
        <w:t>’</w:t>
      </w:r>
      <w:r w:rsidRPr="00272DCE">
        <w:t>agrément sous le numéro 13 (observations supplémentaires).</w:t>
      </w:r>
    </w:p>
    <w:bookmarkEnd w:id="13"/>
    <w:p w14:paraId="7E231C3C" w14:textId="77777777" w:rsidR="000705F5" w:rsidRPr="00272DCE" w:rsidRDefault="000705F5" w:rsidP="00F25248">
      <w:pPr>
        <w:pStyle w:val="SingleTxtG"/>
      </w:pPr>
      <w:r w:rsidRPr="00272DCE">
        <w:t>1.6.7.5.2</w:t>
      </w:r>
      <w:r w:rsidRPr="00272DCE">
        <w:tab/>
        <w:t xml:space="preserve">Les bateaux modifiés peuvent continuer à être exploités au-delà du 31 décembre 2018. Les délais stipulés dans les dispositions transitoires appliquées au titre du paragraphe 1.6.7.2.2 </w:t>
      </w:r>
      <w:proofErr w:type="gramStart"/>
      <w:r w:rsidRPr="00272DCE">
        <w:t>relatif</w:t>
      </w:r>
      <w:proofErr w:type="gramEnd"/>
      <w:r w:rsidRPr="00272DCE">
        <w:t xml:space="preserve"> aux paragraphes 1.2.1, 9.3.3.0.3 d), 9.3.3.51.3 et 9.3.3.52.4, dernière phase, dans la version applicable jusqu</w:t>
      </w:r>
      <w:r w:rsidR="00681934" w:rsidRPr="00272DCE">
        <w:t>’</w:t>
      </w:r>
      <w:r w:rsidRPr="00272DCE">
        <w:t>au 31 décembre 2018, doivent être respectés. ».</w:t>
      </w:r>
    </w:p>
    <w:p w14:paraId="23FF1459" w14:textId="77777777" w:rsidR="000705F5" w:rsidRPr="00272DCE" w:rsidRDefault="000705F5" w:rsidP="00F25248">
      <w:pPr>
        <w:pStyle w:val="SingleTxtG"/>
        <w:rPr>
          <w:i/>
          <w:iCs/>
        </w:rPr>
      </w:pPr>
      <w:r w:rsidRPr="00272DCE">
        <w:rPr>
          <w:i/>
        </w:rPr>
        <w:t>(Document de référence : ECE/TRANS/WP.15/AC.2/2019/4 tel que modifié)</w:t>
      </w:r>
    </w:p>
    <w:p w14:paraId="0BBC5933" w14:textId="77777777" w:rsidR="000705F5" w:rsidRPr="00272DCE" w:rsidRDefault="000705F5" w:rsidP="00F25248">
      <w:pPr>
        <w:pStyle w:val="H1G"/>
      </w:pPr>
      <w:r w:rsidRPr="00272DCE">
        <w:lastRenderedPageBreak/>
        <w:tab/>
      </w:r>
      <w:r w:rsidRPr="00272DCE">
        <w:tab/>
        <w:t>Chapitre 1.16</w:t>
      </w:r>
    </w:p>
    <w:p w14:paraId="53B6BC36" w14:textId="77777777" w:rsidR="000705F5" w:rsidRPr="00272DCE" w:rsidRDefault="000705F5" w:rsidP="00F25248">
      <w:pPr>
        <w:pStyle w:val="SingleTxtG"/>
      </w:pPr>
      <w:r w:rsidRPr="00272DCE">
        <w:t>1.16.1.3.2</w:t>
      </w:r>
      <w:r w:rsidRPr="00272DCE">
        <w:tab/>
        <w:t>Dans la dernière phrase, remplacer « rubrique 12 » par « rubrique 13 ».</w:t>
      </w:r>
    </w:p>
    <w:p w14:paraId="245F56C9" w14:textId="77777777" w:rsidR="000705F5" w:rsidRPr="00272DCE" w:rsidRDefault="000705F5" w:rsidP="000705F5">
      <w:pPr>
        <w:pStyle w:val="SingleTxtG"/>
        <w:rPr>
          <w:i/>
        </w:rPr>
      </w:pPr>
      <w:r w:rsidRPr="00272DCE">
        <w:rPr>
          <w:i/>
        </w:rPr>
        <w:t>(Document de référence : ECE/TRANS/WP.15/AC.2/2019/4)</w:t>
      </w:r>
    </w:p>
    <w:p w14:paraId="78911776" w14:textId="77777777" w:rsidR="000705F5" w:rsidRPr="00272DCE" w:rsidRDefault="000705F5" w:rsidP="00F25248">
      <w:pPr>
        <w:pStyle w:val="H1G"/>
      </w:pPr>
      <w:r w:rsidRPr="00272DCE">
        <w:tab/>
      </w:r>
      <w:r w:rsidRPr="00272DCE">
        <w:tab/>
        <w:t>Chapitre 3.2</w:t>
      </w:r>
    </w:p>
    <w:p w14:paraId="713DFDC7" w14:textId="77777777" w:rsidR="000705F5" w:rsidRPr="00272DCE" w:rsidRDefault="000705F5" w:rsidP="009D76F3">
      <w:pPr>
        <w:pStyle w:val="SingleTxtG"/>
      </w:pPr>
      <w:r w:rsidRPr="00272DCE">
        <w:t>3.2.3.1</w:t>
      </w:r>
      <w:r w:rsidR="009D76F3" w:rsidRPr="00272DCE">
        <w:tab/>
      </w:r>
      <w:r w:rsidRPr="00272DCE">
        <w:tab/>
        <w:t>Dans l</w:t>
      </w:r>
      <w:r w:rsidR="00681934" w:rsidRPr="00272DCE">
        <w:t>’</w:t>
      </w:r>
      <w:r w:rsidRPr="00272DCE">
        <w:t>explication pour la colonne 3b), à l</w:t>
      </w:r>
      <w:r w:rsidR="00681934" w:rsidRPr="00272DCE">
        <w:t>’</w:t>
      </w:r>
      <w:r w:rsidRPr="00272DCE">
        <w:t>avant-dernier tiret, supprimer « ,8 ».</w:t>
      </w:r>
    </w:p>
    <w:p w14:paraId="723DBB7E" w14:textId="77777777" w:rsidR="000705F5" w:rsidRPr="00272DCE" w:rsidRDefault="000705F5" w:rsidP="000705F5">
      <w:pPr>
        <w:pStyle w:val="SingleTxtG"/>
      </w:pPr>
      <w:r w:rsidRPr="00272DCE">
        <w:t>Ajouter juste après un nouveau tiret ainsi conçu :</w:t>
      </w:r>
    </w:p>
    <w:p w14:paraId="454EC8E2" w14:textId="77777777" w:rsidR="000705F5" w:rsidRPr="00272DCE" w:rsidRDefault="000705F5" w:rsidP="009D76F3">
      <w:pPr>
        <w:pStyle w:val="SingleTxtG"/>
      </w:pPr>
      <w:r w:rsidRPr="00272DCE">
        <w:t>« -</w:t>
      </w:r>
      <w:r w:rsidRPr="00272DCE">
        <w:tab/>
        <w:t>Pour les matières ou objets dangereux de la classe 8, les codes sont expliqués</w:t>
      </w:r>
      <w:r w:rsidR="009D76F3" w:rsidRPr="00272DCE">
        <w:t xml:space="preserve"> </w:t>
      </w:r>
      <w:r w:rsidRPr="00272DCE">
        <w:t>au paragraphe 2.2.8.1.4.1 ; ».</w:t>
      </w:r>
    </w:p>
    <w:p w14:paraId="7A7D6688" w14:textId="77777777" w:rsidR="000705F5" w:rsidRPr="00272DCE" w:rsidRDefault="000705F5" w:rsidP="009D76F3">
      <w:pPr>
        <w:pStyle w:val="SingleTxtG"/>
      </w:pPr>
      <w:r w:rsidRPr="00272DCE">
        <w:t>(</w:t>
      </w:r>
      <w:r w:rsidRPr="00272DCE">
        <w:rPr>
          <w:i/>
        </w:rPr>
        <w:t>Document de référence : ECE/TRANS/WP.15/AC.2/2019/17</w:t>
      </w:r>
      <w:r w:rsidRPr="00272DCE">
        <w:t>)</w:t>
      </w:r>
    </w:p>
    <w:p w14:paraId="37D366D8" w14:textId="77777777" w:rsidR="000705F5" w:rsidRPr="00272DCE" w:rsidRDefault="000705F5" w:rsidP="009D76F3">
      <w:pPr>
        <w:pStyle w:val="H1G"/>
      </w:pPr>
      <w:r w:rsidRPr="00272DCE">
        <w:tab/>
      </w:r>
      <w:r w:rsidRPr="00272DCE">
        <w:tab/>
        <w:t>Chapitre 3.2, tableau C</w:t>
      </w:r>
    </w:p>
    <w:p w14:paraId="441D34A0" w14:textId="77777777" w:rsidR="002C4BD8" w:rsidRPr="00272DCE" w:rsidRDefault="000705F5" w:rsidP="009D76F3">
      <w:pPr>
        <w:pStyle w:val="SingleTxtG"/>
      </w:pPr>
      <w:r w:rsidRPr="00272DCE">
        <w:t>Ajouter une deuxième ligne à l</w:t>
      </w:r>
      <w:r w:rsidR="00681934" w:rsidRPr="00272DCE">
        <w:t>’</w:t>
      </w:r>
      <w:r w:rsidRPr="00272DCE">
        <w:t>en-tête, comme suit :</w:t>
      </w:r>
    </w:p>
    <w:tbl>
      <w:tblPr>
        <w:tblW w:w="9639" w:type="dxa"/>
        <w:tblLayout w:type="fixed"/>
        <w:tblCellMar>
          <w:left w:w="0" w:type="dxa"/>
          <w:right w:w="0" w:type="dxa"/>
        </w:tblCellMar>
        <w:tblLook w:val="0000" w:firstRow="0" w:lastRow="0" w:firstColumn="0" w:lastColumn="0" w:noHBand="0" w:noVBand="0"/>
      </w:tblPr>
      <w:tblGrid>
        <w:gridCol w:w="863"/>
        <w:gridCol w:w="863"/>
        <w:gridCol w:w="861"/>
        <w:gridCol w:w="864"/>
        <w:gridCol w:w="864"/>
        <w:gridCol w:w="862"/>
        <w:gridCol w:w="864"/>
        <w:gridCol w:w="864"/>
        <w:gridCol w:w="862"/>
        <w:gridCol w:w="864"/>
        <w:gridCol w:w="1008"/>
      </w:tblGrid>
      <w:tr w:rsidR="00B57B54" w:rsidRPr="00272DCE" w14:paraId="3A57090B" w14:textId="77777777" w:rsidTr="00046EB8">
        <w:trPr>
          <w:cantSplit/>
          <w:trHeight w:val="37"/>
          <w:tblHeader/>
        </w:trPr>
        <w:tc>
          <w:tcPr>
            <w:tcW w:w="448" w:type="pct"/>
            <w:tcBorders>
              <w:top w:val="single" w:sz="6" w:space="0" w:color="auto"/>
              <w:left w:val="single" w:sz="6" w:space="0" w:color="auto"/>
              <w:bottom w:val="single" w:sz="6" w:space="0" w:color="auto"/>
              <w:right w:val="single" w:sz="6" w:space="0" w:color="auto"/>
            </w:tcBorders>
          </w:tcPr>
          <w:p w14:paraId="2F78B4E5" w14:textId="77777777" w:rsidR="00B57B54" w:rsidRPr="00272DCE" w:rsidRDefault="00B57B54" w:rsidP="00A329CF">
            <w:pPr>
              <w:suppressAutoHyphens w:val="0"/>
              <w:spacing w:before="10" w:after="10" w:line="240" w:lineRule="auto"/>
              <w:jc w:val="center"/>
              <w:rPr>
                <w:color w:val="000000"/>
                <w:sz w:val="18"/>
                <w:szCs w:val="18"/>
              </w:rPr>
            </w:pPr>
            <w:r w:rsidRPr="00272DCE">
              <w:rPr>
                <w:sz w:val="18"/>
                <w:szCs w:val="18"/>
              </w:rPr>
              <w:t>(1)</w:t>
            </w:r>
          </w:p>
        </w:tc>
        <w:tc>
          <w:tcPr>
            <w:tcW w:w="448" w:type="pct"/>
            <w:tcBorders>
              <w:top w:val="single" w:sz="6" w:space="0" w:color="auto"/>
              <w:left w:val="single" w:sz="6" w:space="0" w:color="auto"/>
              <w:bottom w:val="single" w:sz="6" w:space="0" w:color="auto"/>
              <w:right w:val="single" w:sz="6" w:space="0" w:color="auto"/>
            </w:tcBorders>
          </w:tcPr>
          <w:p w14:paraId="44C075B4" w14:textId="77777777" w:rsidR="00B57B54" w:rsidRPr="00272DCE" w:rsidRDefault="00B57B54" w:rsidP="00A329CF">
            <w:pPr>
              <w:suppressAutoHyphens w:val="0"/>
              <w:spacing w:before="10" w:after="10" w:line="240" w:lineRule="auto"/>
              <w:jc w:val="center"/>
              <w:rPr>
                <w:color w:val="000000"/>
                <w:sz w:val="18"/>
                <w:szCs w:val="18"/>
              </w:rPr>
            </w:pPr>
            <w:r w:rsidRPr="00272DCE">
              <w:rPr>
                <w:sz w:val="18"/>
                <w:szCs w:val="18"/>
              </w:rPr>
              <w:t>(2)</w:t>
            </w:r>
          </w:p>
        </w:tc>
        <w:tc>
          <w:tcPr>
            <w:tcW w:w="447" w:type="pct"/>
            <w:tcBorders>
              <w:top w:val="single" w:sz="6" w:space="0" w:color="auto"/>
              <w:left w:val="single" w:sz="6" w:space="0" w:color="auto"/>
              <w:bottom w:val="single" w:sz="6" w:space="0" w:color="auto"/>
              <w:right w:val="single" w:sz="4" w:space="0" w:color="auto"/>
            </w:tcBorders>
          </w:tcPr>
          <w:p w14:paraId="2670634B" w14:textId="77777777" w:rsidR="00B57B54" w:rsidRPr="00272DCE" w:rsidRDefault="00B57B54" w:rsidP="00A329CF">
            <w:pPr>
              <w:suppressAutoHyphens w:val="0"/>
              <w:spacing w:before="10" w:after="10" w:line="240" w:lineRule="auto"/>
              <w:jc w:val="center"/>
              <w:rPr>
                <w:color w:val="000000"/>
                <w:sz w:val="18"/>
                <w:szCs w:val="18"/>
              </w:rPr>
            </w:pPr>
            <w:r w:rsidRPr="00272DCE">
              <w:rPr>
                <w:sz w:val="18"/>
                <w:szCs w:val="18"/>
              </w:rPr>
              <w:t>(3a)</w:t>
            </w:r>
          </w:p>
        </w:tc>
        <w:tc>
          <w:tcPr>
            <w:tcW w:w="448" w:type="pct"/>
            <w:tcBorders>
              <w:top w:val="single" w:sz="6" w:space="0" w:color="auto"/>
              <w:left w:val="single" w:sz="4" w:space="0" w:color="auto"/>
              <w:bottom w:val="single" w:sz="6" w:space="0" w:color="auto"/>
              <w:right w:val="single" w:sz="6" w:space="0" w:color="auto"/>
            </w:tcBorders>
          </w:tcPr>
          <w:p w14:paraId="409DF31C" w14:textId="77777777" w:rsidR="00B57B54" w:rsidRPr="00272DCE" w:rsidRDefault="00B57B54" w:rsidP="00A329CF">
            <w:pPr>
              <w:suppressAutoHyphens w:val="0"/>
              <w:spacing w:before="10" w:after="10" w:line="240" w:lineRule="auto"/>
              <w:jc w:val="center"/>
              <w:rPr>
                <w:color w:val="000000"/>
                <w:sz w:val="18"/>
                <w:szCs w:val="18"/>
              </w:rPr>
            </w:pPr>
            <w:r w:rsidRPr="00272DCE">
              <w:rPr>
                <w:sz w:val="18"/>
                <w:szCs w:val="18"/>
              </w:rPr>
              <w:t>(3b)</w:t>
            </w:r>
          </w:p>
        </w:tc>
        <w:tc>
          <w:tcPr>
            <w:tcW w:w="448" w:type="pct"/>
            <w:tcBorders>
              <w:top w:val="single" w:sz="6" w:space="0" w:color="auto"/>
              <w:left w:val="single" w:sz="6" w:space="0" w:color="auto"/>
              <w:bottom w:val="single" w:sz="6" w:space="0" w:color="auto"/>
              <w:right w:val="single" w:sz="6" w:space="0" w:color="auto"/>
            </w:tcBorders>
          </w:tcPr>
          <w:p w14:paraId="0684623A" w14:textId="77777777" w:rsidR="00B57B54" w:rsidRPr="00272DCE" w:rsidRDefault="00B57B54" w:rsidP="00A329CF">
            <w:pPr>
              <w:suppressAutoHyphens w:val="0"/>
              <w:spacing w:before="10" w:after="10" w:line="240" w:lineRule="auto"/>
              <w:jc w:val="center"/>
              <w:rPr>
                <w:color w:val="000000"/>
                <w:sz w:val="18"/>
                <w:szCs w:val="18"/>
              </w:rPr>
            </w:pPr>
            <w:r w:rsidRPr="00272DCE">
              <w:rPr>
                <w:sz w:val="18"/>
                <w:szCs w:val="18"/>
              </w:rPr>
              <w:t>(4)</w:t>
            </w:r>
          </w:p>
        </w:tc>
        <w:tc>
          <w:tcPr>
            <w:tcW w:w="447" w:type="pct"/>
            <w:tcBorders>
              <w:top w:val="single" w:sz="6" w:space="0" w:color="auto"/>
              <w:left w:val="single" w:sz="6" w:space="0" w:color="auto"/>
              <w:bottom w:val="single" w:sz="6" w:space="0" w:color="auto"/>
              <w:right w:val="single" w:sz="6" w:space="0" w:color="auto"/>
            </w:tcBorders>
            <w:noWrap/>
          </w:tcPr>
          <w:p w14:paraId="1FB8F183" w14:textId="77777777" w:rsidR="00B57B54" w:rsidRPr="00272DCE" w:rsidRDefault="00B57B54" w:rsidP="00A329CF">
            <w:pPr>
              <w:suppressAutoHyphens w:val="0"/>
              <w:spacing w:before="10" w:after="10" w:line="240" w:lineRule="auto"/>
              <w:jc w:val="center"/>
              <w:rPr>
                <w:color w:val="000000"/>
                <w:sz w:val="18"/>
                <w:szCs w:val="18"/>
              </w:rPr>
            </w:pPr>
            <w:r w:rsidRPr="00272DCE">
              <w:rPr>
                <w:sz w:val="18"/>
                <w:szCs w:val="18"/>
              </w:rPr>
              <w:t>(5)</w:t>
            </w:r>
          </w:p>
        </w:tc>
        <w:tc>
          <w:tcPr>
            <w:tcW w:w="448" w:type="pct"/>
            <w:tcBorders>
              <w:top w:val="single" w:sz="6" w:space="0" w:color="auto"/>
              <w:left w:val="single" w:sz="6" w:space="0" w:color="auto"/>
              <w:bottom w:val="single" w:sz="6" w:space="0" w:color="auto"/>
              <w:right w:val="single" w:sz="6" w:space="0" w:color="auto"/>
            </w:tcBorders>
          </w:tcPr>
          <w:p w14:paraId="1515E909" w14:textId="77777777" w:rsidR="00B57B54" w:rsidRPr="00272DCE" w:rsidRDefault="00B57B54" w:rsidP="00A329CF">
            <w:pPr>
              <w:suppressAutoHyphens w:val="0"/>
              <w:spacing w:before="10" w:after="10" w:line="240" w:lineRule="auto"/>
              <w:jc w:val="center"/>
              <w:rPr>
                <w:color w:val="000000"/>
                <w:sz w:val="18"/>
                <w:szCs w:val="18"/>
              </w:rPr>
            </w:pPr>
            <w:r w:rsidRPr="00272DCE">
              <w:rPr>
                <w:sz w:val="18"/>
                <w:szCs w:val="18"/>
              </w:rPr>
              <w:t>(6)</w:t>
            </w:r>
          </w:p>
        </w:tc>
        <w:tc>
          <w:tcPr>
            <w:tcW w:w="448" w:type="pct"/>
            <w:tcBorders>
              <w:top w:val="single" w:sz="6" w:space="0" w:color="auto"/>
              <w:left w:val="single" w:sz="6" w:space="0" w:color="auto"/>
              <w:bottom w:val="single" w:sz="6" w:space="0" w:color="auto"/>
              <w:right w:val="single" w:sz="6" w:space="0" w:color="auto"/>
            </w:tcBorders>
          </w:tcPr>
          <w:p w14:paraId="0499CBD3" w14:textId="77777777" w:rsidR="00B57B54" w:rsidRPr="00272DCE" w:rsidRDefault="00B57B54" w:rsidP="00A329CF">
            <w:pPr>
              <w:suppressAutoHyphens w:val="0"/>
              <w:spacing w:before="10" w:after="10" w:line="240" w:lineRule="auto"/>
              <w:jc w:val="center"/>
              <w:rPr>
                <w:color w:val="000000"/>
                <w:sz w:val="18"/>
                <w:szCs w:val="18"/>
              </w:rPr>
            </w:pPr>
            <w:r w:rsidRPr="00272DCE">
              <w:rPr>
                <w:sz w:val="18"/>
                <w:szCs w:val="18"/>
              </w:rPr>
              <w:t>(7)</w:t>
            </w:r>
          </w:p>
        </w:tc>
        <w:tc>
          <w:tcPr>
            <w:tcW w:w="447" w:type="pct"/>
            <w:tcBorders>
              <w:top w:val="single" w:sz="6" w:space="0" w:color="auto"/>
              <w:left w:val="single" w:sz="6" w:space="0" w:color="auto"/>
              <w:bottom w:val="single" w:sz="6" w:space="0" w:color="auto"/>
              <w:right w:val="single" w:sz="6" w:space="0" w:color="auto"/>
            </w:tcBorders>
          </w:tcPr>
          <w:p w14:paraId="1B2D110E" w14:textId="77777777" w:rsidR="00B57B54" w:rsidRPr="00272DCE" w:rsidRDefault="00B57B54" w:rsidP="00A329CF">
            <w:pPr>
              <w:suppressAutoHyphens w:val="0"/>
              <w:spacing w:before="10" w:after="10" w:line="240" w:lineRule="auto"/>
              <w:jc w:val="center"/>
              <w:rPr>
                <w:color w:val="000000"/>
                <w:sz w:val="18"/>
                <w:szCs w:val="18"/>
              </w:rPr>
            </w:pPr>
            <w:r w:rsidRPr="00272DCE">
              <w:rPr>
                <w:sz w:val="18"/>
                <w:szCs w:val="18"/>
              </w:rPr>
              <w:t>(8)</w:t>
            </w:r>
          </w:p>
        </w:tc>
        <w:tc>
          <w:tcPr>
            <w:tcW w:w="448" w:type="pct"/>
            <w:tcBorders>
              <w:top w:val="single" w:sz="6" w:space="0" w:color="auto"/>
              <w:left w:val="single" w:sz="6" w:space="0" w:color="auto"/>
              <w:bottom w:val="single" w:sz="6" w:space="0" w:color="auto"/>
              <w:right w:val="single" w:sz="6" w:space="0" w:color="auto"/>
            </w:tcBorders>
          </w:tcPr>
          <w:p w14:paraId="2AF410CB" w14:textId="77777777" w:rsidR="00B57B54" w:rsidRPr="00272DCE" w:rsidRDefault="00B57B54" w:rsidP="00A329CF">
            <w:pPr>
              <w:suppressAutoHyphens w:val="0"/>
              <w:spacing w:before="10" w:after="10" w:line="240" w:lineRule="auto"/>
              <w:jc w:val="center"/>
              <w:rPr>
                <w:color w:val="000000"/>
                <w:sz w:val="18"/>
                <w:szCs w:val="18"/>
              </w:rPr>
            </w:pPr>
            <w:r w:rsidRPr="00272DCE">
              <w:rPr>
                <w:sz w:val="18"/>
                <w:szCs w:val="18"/>
              </w:rPr>
              <w:t>(9)</w:t>
            </w:r>
          </w:p>
        </w:tc>
        <w:tc>
          <w:tcPr>
            <w:tcW w:w="524" w:type="pct"/>
            <w:tcBorders>
              <w:top w:val="single" w:sz="6" w:space="0" w:color="auto"/>
              <w:left w:val="single" w:sz="6" w:space="0" w:color="auto"/>
              <w:bottom w:val="single" w:sz="6" w:space="0" w:color="auto"/>
              <w:right w:val="single" w:sz="6" w:space="0" w:color="auto"/>
            </w:tcBorders>
          </w:tcPr>
          <w:p w14:paraId="7034F2E4" w14:textId="77777777" w:rsidR="00B57B54" w:rsidRPr="00272DCE" w:rsidRDefault="00B57B54" w:rsidP="00A329CF">
            <w:pPr>
              <w:suppressAutoHyphens w:val="0"/>
              <w:spacing w:before="10" w:after="10" w:line="240" w:lineRule="auto"/>
              <w:jc w:val="center"/>
              <w:rPr>
                <w:color w:val="000000"/>
                <w:sz w:val="18"/>
                <w:szCs w:val="18"/>
              </w:rPr>
            </w:pPr>
            <w:r w:rsidRPr="00272DCE">
              <w:rPr>
                <w:sz w:val="18"/>
                <w:szCs w:val="18"/>
              </w:rPr>
              <w:t>(10)</w:t>
            </w:r>
          </w:p>
        </w:tc>
      </w:tr>
      <w:tr w:rsidR="00B57B54" w:rsidRPr="00272DCE" w14:paraId="76E33F90" w14:textId="77777777" w:rsidTr="00046EB8">
        <w:trPr>
          <w:cantSplit/>
          <w:trHeight w:val="37"/>
          <w:tblHeader/>
        </w:trPr>
        <w:tc>
          <w:tcPr>
            <w:tcW w:w="448" w:type="pct"/>
            <w:tcBorders>
              <w:top w:val="single" w:sz="6" w:space="0" w:color="auto"/>
              <w:left w:val="single" w:sz="6" w:space="0" w:color="auto"/>
              <w:bottom w:val="single" w:sz="6" w:space="0" w:color="auto"/>
              <w:right w:val="single" w:sz="6" w:space="0" w:color="auto"/>
            </w:tcBorders>
          </w:tcPr>
          <w:p w14:paraId="3802BA59" w14:textId="77777777" w:rsidR="00B57B54" w:rsidRPr="00272DCE" w:rsidRDefault="00B57B54" w:rsidP="00A329CF">
            <w:pPr>
              <w:suppressAutoHyphens w:val="0"/>
              <w:spacing w:before="10" w:after="10" w:line="240" w:lineRule="auto"/>
              <w:jc w:val="center"/>
              <w:rPr>
                <w:color w:val="000000"/>
                <w:sz w:val="18"/>
                <w:szCs w:val="18"/>
                <w:lang w:bidi="th-TH"/>
              </w:rPr>
            </w:pPr>
          </w:p>
        </w:tc>
        <w:tc>
          <w:tcPr>
            <w:tcW w:w="448" w:type="pct"/>
            <w:tcBorders>
              <w:top w:val="single" w:sz="6" w:space="0" w:color="auto"/>
              <w:left w:val="single" w:sz="6" w:space="0" w:color="auto"/>
              <w:bottom w:val="single" w:sz="6" w:space="0" w:color="auto"/>
              <w:right w:val="single" w:sz="6" w:space="0" w:color="auto"/>
            </w:tcBorders>
          </w:tcPr>
          <w:p w14:paraId="5BB3A985" w14:textId="77777777" w:rsidR="00B57B54" w:rsidRPr="00272DCE" w:rsidRDefault="00B57B54" w:rsidP="00A329CF">
            <w:pPr>
              <w:suppressAutoHyphens w:val="0"/>
              <w:spacing w:before="10" w:after="10" w:line="240" w:lineRule="auto"/>
              <w:jc w:val="center"/>
              <w:rPr>
                <w:b/>
                <w:bCs/>
                <w:color w:val="000000"/>
                <w:sz w:val="18"/>
                <w:szCs w:val="18"/>
              </w:rPr>
            </w:pPr>
            <w:r w:rsidRPr="00272DCE">
              <w:rPr>
                <w:b/>
                <w:bCs/>
                <w:sz w:val="18"/>
                <w:szCs w:val="18"/>
              </w:rPr>
              <w:t>3.1.2</w:t>
            </w:r>
          </w:p>
        </w:tc>
        <w:tc>
          <w:tcPr>
            <w:tcW w:w="447" w:type="pct"/>
            <w:tcBorders>
              <w:top w:val="single" w:sz="6" w:space="0" w:color="auto"/>
              <w:left w:val="single" w:sz="6" w:space="0" w:color="auto"/>
              <w:bottom w:val="single" w:sz="6" w:space="0" w:color="auto"/>
              <w:right w:val="single" w:sz="4" w:space="0" w:color="auto"/>
            </w:tcBorders>
          </w:tcPr>
          <w:p w14:paraId="167B2E35" w14:textId="77777777" w:rsidR="00B57B54" w:rsidRPr="00272DCE" w:rsidRDefault="00B57B54" w:rsidP="00A329CF">
            <w:pPr>
              <w:suppressAutoHyphens w:val="0"/>
              <w:spacing w:before="10" w:after="10" w:line="240" w:lineRule="auto"/>
              <w:jc w:val="center"/>
              <w:rPr>
                <w:b/>
                <w:bCs/>
                <w:color w:val="000000"/>
                <w:sz w:val="18"/>
                <w:szCs w:val="18"/>
              </w:rPr>
            </w:pPr>
            <w:r w:rsidRPr="00272DCE">
              <w:rPr>
                <w:b/>
                <w:bCs/>
                <w:sz w:val="18"/>
                <w:szCs w:val="18"/>
              </w:rPr>
              <w:t>2.2</w:t>
            </w:r>
          </w:p>
        </w:tc>
        <w:tc>
          <w:tcPr>
            <w:tcW w:w="448" w:type="pct"/>
            <w:tcBorders>
              <w:top w:val="single" w:sz="6" w:space="0" w:color="auto"/>
              <w:left w:val="single" w:sz="4" w:space="0" w:color="auto"/>
              <w:bottom w:val="single" w:sz="6" w:space="0" w:color="auto"/>
              <w:right w:val="single" w:sz="6" w:space="0" w:color="auto"/>
            </w:tcBorders>
          </w:tcPr>
          <w:p w14:paraId="0EA86765" w14:textId="77777777" w:rsidR="00B57B54" w:rsidRPr="00272DCE" w:rsidRDefault="00B57B54" w:rsidP="00A329CF">
            <w:pPr>
              <w:suppressAutoHyphens w:val="0"/>
              <w:spacing w:before="10" w:after="10" w:line="240" w:lineRule="auto"/>
              <w:jc w:val="center"/>
              <w:rPr>
                <w:b/>
                <w:bCs/>
                <w:color w:val="000000"/>
                <w:sz w:val="18"/>
                <w:szCs w:val="18"/>
              </w:rPr>
            </w:pPr>
            <w:r w:rsidRPr="00272DCE">
              <w:rPr>
                <w:b/>
                <w:bCs/>
                <w:sz w:val="18"/>
                <w:szCs w:val="18"/>
              </w:rPr>
              <w:t>2.2</w:t>
            </w:r>
          </w:p>
        </w:tc>
        <w:tc>
          <w:tcPr>
            <w:tcW w:w="448" w:type="pct"/>
            <w:tcBorders>
              <w:top w:val="single" w:sz="6" w:space="0" w:color="auto"/>
              <w:left w:val="single" w:sz="6" w:space="0" w:color="auto"/>
              <w:bottom w:val="single" w:sz="6" w:space="0" w:color="auto"/>
              <w:right w:val="single" w:sz="6" w:space="0" w:color="auto"/>
            </w:tcBorders>
          </w:tcPr>
          <w:p w14:paraId="6D9353BF" w14:textId="77777777" w:rsidR="00B57B54" w:rsidRPr="00272DCE" w:rsidRDefault="00B57B54" w:rsidP="00A329CF">
            <w:pPr>
              <w:suppressAutoHyphens w:val="0"/>
              <w:spacing w:before="10" w:after="10" w:line="240" w:lineRule="auto"/>
              <w:jc w:val="center"/>
              <w:rPr>
                <w:b/>
                <w:bCs/>
                <w:color w:val="000000"/>
                <w:sz w:val="18"/>
                <w:szCs w:val="18"/>
              </w:rPr>
            </w:pPr>
            <w:r w:rsidRPr="00272DCE">
              <w:rPr>
                <w:b/>
                <w:bCs/>
                <w:sz w:val="18"/>
                <w:szCs w:val="18"/>
              </w:rPr>
              <w:t>2.1.1.3</w:t>
            </w:r>
          </w:p>
        </w:tc>
        <w:tc>
          <w:tcPr>
            <w:tcW w:w="447" w:type="pct"/>
            <w:tcBorders>
              <w:top w:val="single" w:sz="6" w:space="0" w:color="auto"/>
              <w:left w:val="single" w:sz="6" w:space="0" w:color="auto"/>
              <w:bottom w:val="single" w:sz="6" w:space="0" w:color="auto"/>
              <w:right w:val="single" w:sz="6" w:space="0" w:color="auto"/>
            </w:tcBorders>
            <w:noWrap/>
          </w:tcPr>
          <w:p w14:paraId="4800C038" w14:textId="77777777" w:rsidR="00B57B54" w:rsidRPr="00272DCE" w:rsidRDefault="00B57B54" w:rsidP="00A329CF">
            <w:pPr>
              <w:suppressAutoHyphens w:val="0"/>
              <w:spacing w:before="10" w:after="10" w:line="240" w:lineRule="auto"/>
              <w:jc w:val="center"/>
              <w:rPr>
                <w:b/>
                <w:bCs/>
                <w:color w:val="000000"/>
                <w:sz w:val="18"/>
                <w:szCs w:val="18"/>
              </w:rPr>
            </w:pPr>
            <w:r w:rsidRPr="00272DCE">
              <w:rPr>
                <w:b/>
                <w:bCs/>
                <w:sz w:val="18"/>
                <w:szCs w:val="18"/>
              </w:rPr>
              <w:t>5.2.2/</w:t>
            </w:r>
            <w:r w:rsidRPr="00272DCE">
              <w:rPr>
                <w:b/>
                <w:bCs/>
                <w:sz w:val="18"/>
                <w:szCs w:val="18"/>
              </w:rPr>
              <w:br/>
              <w:t>3.2.3.1</w:t>
            </w:r>
          </w:p>
        </w:tc>
        <w:tc>
          <w:tcPr>
            <w:tcW w:w="448" w:type="pct"/>
            <w:tcBorders>
              <w:top w:val="single" w:sz="6" w:space="0" w:color="auto"/>
              <w:left w:val="single" w:sz="6" w:space="0" w:color="auto"/>
              <w:bottom w:val="single" w:sz="6" w:space="0" w:color="auto"/>
              <w:right w:val="single" w:sz="6" w:space="0" w:color="auto"/>
            </w:tcBorders>
          </w:tcPr>
          <w:p w14:paraId="5FDB0BAB" w14:textId="77777777" w:rsidR="00B57B54" w:rsidRPr="00272DCE" w:rsidRDefault="00B57B54" w:rsidP="00A329CF">
            <w:pPr>
              <w:suppressAutoHyphens w:val="0"/>
              <w:spacing w:before="10" w:after="10" w:line="240" w:lineRule="auto"/>
              <w:jc w:val="center"/>
              <w:rPr>
                <w:b/>
                <w:bCs/>
                <w:color w:val="000000"/>
                <w:sz w:val="18"/>
                <w:szCs w:val="18"/>
              </w:rPr>
            </w:pPr>
            <w:r w:rsidRPr="00272DCE">
              <w:rPr>
                <w:b/>
                <w:bCs/>
                <w:sz w:val="18"/>
                <w:szCs w:val="18"/>
              </w:rPr>
              <w:t>1.2.1/</w:t>
            </w:r>
            <w:r w:rsidRPr="00272DCE">
              <w:rPr>
                <w:b/>
                <w:bCs/>
                <w:sz w:val="18"/>
                <w:szCs w:val="18"/>
              </w:rPr>
              <w:br/>
              <w:t>7.2.2.0.1</w:t>
            </w:r>
          </w:p>
        </w:tc>
        <w:tc>
          <w:tcPr>
            <w:tcW w:w="448" w:type="pct"/>
            <w:tcBorders>
              <w:top w:val="single" w:sz="6" w:space="0" w:color="auto"/>
              <w:left w:val="single" w:sz="6" w:space="0" w:color="auto"/>
              <w:bottom w:val="single" w:sz="6" w:space="0" w:color="auto"/>
              <w:right w:val="single" w:sz="6" w:space="0" w:color="auto"/>
            </w:tcBorders>
          </w:tcPr>
          <w:p w14:paraId="715B8B77" w14:textId="77777777" w:rsidR="00B57B54" w:rsidRPr="00272DCE" w:rsidRDefault="00B57B54" w:rsidP="00A329CF">
            <w:pPr>
              <w:suppressAutoHyphens w:val="0"/>
              <w:spacing w:before="10" w:after="10" w:line="240" w:lineRule="auto"/>
              <w:jc w:val="center"/>
              <w:rPr>
                <w:b/>
                <w:bCs/>
                <w:color w:val="000000"/>
                <w:sz w:val="18"/>
                <w:szCs w:val="18"/>
              </w:rPr>
            </w:pPr>
            <w:r w:rsidRPr="00272DCE">
              <w:rPr>
                <w:b/>
                <w:bCs/>
                <w:sz w:val="18"/>
                <w:szCs w:val="18"/>
              </w:rPr>
              <w:t>3.2.3.1/</w:t>
            </w:r>
            <w:r w:rsidRPr="00272DCE">
              <w:rPr>
                <w:b/>
                <w:bCs/>
                <w:sz w:val="18"/>
                <w:szCs w:val="18"/>
              </w:rPr>
              <w:br/>
              <w:t>1.2.1</w:t>
            </w:r>
          </w:p>
        </w:tc>
        <w:tc>
          <w:tcPr>
            <w:tcW w:w="447" w:type="pct"/>
            <w:tcBorders>
              <w:top w:val="single" w:sz="6" w:space="0" w:color="auto"/>
              <w:left w:val="single" w:sz="6" w:space="0" w:color="auto"/>
              <w:bottom w:val="single" w:sz="6" w:space="0" w:color="auto"/>
              <w:right w:val="single" w:sz="6" w:space="0" w:color="auto"/>
            </w:tcBorders>
          </w:tcPr>
          <w:p w14:paraId="60024718" w14:textId="77777777" w:rsidR="00B57B54" w:rsidRPr="00272DCE" w:rsidRDefault="00B57B54" w:rsidP="00A329CF">
            <w:pPr>
              <w:suppressAutoHyphens w:val="0"/>
              <w:spacing w:before="10" w:after="10" w:line="240" w:lineRule="auto"/>
              <w:jc w:val="center"/>
              <w:rPr>
                <w:b/>
                <w:bCs/>
                <w:color w:val="000000"/>
                <w:sz w:val="18"/>
                <w:szCs w:val="18"/>
              </w:rPr>
            </w:pPr>
            <w:r w:rsidRPr="00272DCE">
              <w:rPr>
                <w:b/>
                <w:bCs/>
                <w:sz w:val="18"/>
                <w:szCs w:val="18"/>
              </w:rPr>
              <w:t>3.2.3.1/</w:t>
            </w:r>
            <w:r w:rsidRPr="00272DCE">
              <w:rPr>
                <w:b/>
                <w:bCs/>
                <w:sz w:val="18"/>
                <w:szCs w:val="18"/>
              </w:rPr>
              <w:br/>
              <w:t>1.2.1</w:t>
            </w:r>
          </w:p>
        </w:tc>
        <w:tc>
          <w:tcPr>
            <w:tcW w:w="448" w:type="pct"/>
            <w:tcBorders>
              <w:top w:val="single" w:sz="6" w:space="0" w:color="auto"/>
              <w:left w:val="single" w:sz="6" w:space="0" w:color="auto"/>
              <w:bottom w:val="single" w:sz="6" w:space="0" w:color="auto"/>
              <w:right w:val="single" w:sz="6" w:space="0" w:color="auto"/>
            </w:tcBorders>
          </w:tcPr>
          <w:p w14:paraId="526E4F17" w14:textId="77777777" w:rsidR="00B57B54" w:rsidRPr="00272DCE" w:rsidRDefault="00B57B54" w:rsidP="00A329CF">
            <w:pPr>
              <w:suppressAutoHyphens w:val="0"/>
              <w:spacing w:before="10" w:after="10" w:line="240" w:lineRule="auto"/>
              <w:jc w:val="center"/>
              <w:rPr>
                <w:b/>
                <w:bCs/>
                <w:color w:val="000000"/>
                <w:sz w:val="18"/>
                <w:szCs w:val="18"/>
              </w:rPr>
            </w:pPr>
            <w:r w:rsidRPr="00272DCE">
              <w:rPr>
                <w:b/>
                <w:bCs/>
                <w:sz w:val="18"/>
                <w:szCs w:val="18"/>
              </w:rPr>
              <w:t>3.2.3.1/</w:t>
            </w:r>
            <w:r w:rsidRPr="00272DCE">
              <w:rPr>
                <w:b/>
                <w:bCs/>
                <w:sz w:val="18"/>
                <w:szCs w:val="18"/>
              </w:rPr>
              <w:br/>
              <w:t>1.2.1</w:t>
            </w:r>
          </w:p>
        </w:tc>
        <w:tc>
          <w:tcPr>
            <w:tcW w:w="524" w:type="pct"/>
            <w:tcBorders>
              <w:top w:val="single" w:sz="6" w:space="0" w:color="auto"/>
              <w:left w:val="single" w:sz="6" w:space="0" w:color="auto"/>
              <w:bottom w:val="single" w:sz="6" w:space="0" w:color="auto"/>
              <w:right w:val="single" w:sz="6" w:space="0" w:color="auto"/>
            </w:tcBorders>
          </w:tcPr>
          <w:p w14:paraId="6CDD0A5B" w14:textId="77777777" w:rsidR="00B57B54" w:rsidRPr="00272DCE" w:rsidRDefault="00B57B54" w:rsidP="00A329CF">
            <w:pPr>
              <w:suppressAutoHyphens w:val="0"/>
              <w:spacing w:before="10" w:after="10" w:line="240" w:lineRule="auto"/>
              <w:jc w:val="center"/>
              <w:rPr>
                <w:b/>
                <w:bCs/>
                <w:color w:val="000000"/>
                <w:sz w:val="18"/>
                <w:szCs w:val="18"/>
              </w:rPr>
            </w:pPr>
            <w:r w:rsidRPr="00272DCE">
              <w:rPr>
                <w:b/>
                <w:bCs/>
                <w:sz w:val="18"/>
                <w:szCs w:val="18"/>
              </w:rPr>
              <w:t>3.2.3.1/</w:t>
            </w:r>
            <w:r w:rsidRPr="00272DCE">
              <w:rPr>
                <w:b/>
                <w:bCs/>
                <w:sz w:val="18"/>
                <w:szCs w:val="18"/>
              </w:rPr>
              <w:br/>
              <w:t>1.2.1</w:t>
            </w:r>
          </w:p>
        </w:tc>
      </w:tr>
    </w:tbl>
    <w:p w14:paraId="070A76EB" w14:textId="77777777" w:rsidR="004D39F8" w:rsidRPr="00272DCE" w:rsidRDefault="004D39F8" w:rsidP="006B2D07">
      <w:pPr>
        <w:pStyle w:val="SingleTxtG"/>
        <w:spacing w:after="20" w:line="240" w:lineRule="auto"/>
      </w:pPr>
      <w:bookmarkStart w:id="14" w:name="_Hlk9321760"/>
    </w:p>
    <w:tbl>
      <w:tblPr>
        <w:tblW w:w="5000" w:type="pct"/>
        <w:tblLayout w:type="fixed"/>
        <w:tblCellMar>
          <w:left w:w="0" w:type="dxa"/>
          <w:right w:w="0" w:type="dxa"/>
        </w:tblCellMar>
        <w:tblLook w:val="0000" w:firstRow="0" w:lastRow="0" w:firstColumn="0" w:lastColumn="0" w:noHBand="0" w:noVBand="0"/>
      </w:tblPr>
      <w:tblGrid>
        <w:gridCol w:w="948"/>
        <w:gridCol w:w="948"/>
        <w:gridCol w:w="949"/>
        <w:gridCol w:w="949"/>
        <w:gridCol w:w="949"/>
        <w:gridCol w:w="947"/>
        <w:gridCol w:w="947"/>
        <w:gridCol w:w="947"/>
        <w:gridCol w:w="947"/>
        <w:gridCol w:w="1091"/>
      </w:tblGrid>
      <w:tr w:rsidR="00B57B54" w:rsidRPr="00272DCE" w14:paraId="5DD9B6E0" w14:textId="77777777" w:rsidTr="006B2D07">
        <w:trPr>
          <w:cantSplit/>
          <w:trHeight w:val="37"/>
          <w:tblHeader/>
        </w:trPr>
        <w:tc>
          <w:tcPr>
            <w:tcW w:w="493" w:type="pct"/>
            <w:tcBorders>
              <w:top w:val="single" w:sz="6" w:space="0" w:color="auto"/>
              <w:left w:val="single" w:sz="6" w:space="0" w:color="auto"/>
              <w:bottom w:val="single" w:sz="6" w:space="0" w:color="auto"/>
              <w:right w:val="single" w:sz="6" w:space="0" w:color="auto"/>
            </w:tcBorders>
          </w:tcPr>
          <w:p w14:paraId="3780D5BC" w14:textId="77777777" w:rsidR="00B57B54" w:rsidRPr="00272DCE" w:rsidRDefault="00B57B54" w:rsidP="00A329CF">
            <w:pPr>
              <w:suppressAutoHyphens w:val="0"/>
              <w:spacing w:before="10" w:after="10" w:line="240" w:lineRule="auto"/>
              <w:jc w:val="center"/>
              <w:rPr>
                <w:color w:val="000000"/>
                <w:sz w:val="18"/>
                <w:szCs w:val="18"/>
              </w:rPr>
            </w:pPr>
            <w:r w:rsidRPr="00272DCE">
              <w:rPr>
                <w:sz w:val="18"/>
                <w:szCs w:val="18"/>
              </w:rPr>
              <w:t>(11)</w:t>
            </w:r>
          </w:p>
        </w:tc>
        <w:tc>
          <w:tcPr>
            <w:tcW w:w="493" w:type="pct"/>
            <w:tcBorders>
              <w:top w:val="single" w:sz="6" w:space="0" w:color="auto"/>
              <w:left w:val="single" w:sz="6" w:space="0" w:color="auto"/>
              <w:bottom w:val="single" w:sz="6" w:space="0" w:color="auto"/>
              <w:right w:val="single" w:sz="6" w:space="0" w:color="auto"/>
            </w:tcBorders>
          </w:tcPr>
          <w:p w14:paraId="64946842" w14:textId="77777777" w:rsidR="00B57B54" w:rsidRPr="00272DCE" w:rsidRDefault="00B57B54" w:rsidP="00A329CF">
            <w:pPr>
              <w:suppressAutoHyphens w:val="0"/>
              <w:spacing w:before="10" w:after="10" w:line="240" w:lineRule="auto"/>
              <w:jc w:val="center"/>
              <w:rPr>
                <w:color w:val="000000"/>
                <w:sz w:val="18"/>
                <w:szCs w:val="18"/>
              </w:rPr>
            </w:pPr>
            <w:r w:rsidRPr="00272DCE">
              <w:rPr>
                <w:sz w:val="18"/>
                <w:szCs w:val="18"/>
              </w:rPr>
              <w:t>(12)</w:t>
            </w:r>
          </w:p>
        </w:tc>
        <w:tc>
          <w:tcPr>
            <w:tcW w:w="493" w:type="pct"/>
            <w:tcBorders>
              <w:top w:val="single" w:sz="6" w:space="0" w:color="auto"/>
              <w:left w:val="single" w:sz="6" w:space="0" w:color="auto"/>
              <w:bottom w:val="single" w:sz="6" w:space="0" w:color="auto"/>
              <w:right w:val="single" w:sz="6" w:space="0" w:color="auto"/>
            </w:tcBorders>
          </w:tcPr>
          <w:p w14:paraId="2C709973" w14:textId="77777777" w:rsidR="00B57B54" w:rsidRPr="00272DCE" w:rsidRDefault="00B57B54" w:rsidP="00A329CF">
            <w:pPr>
              <w:suppressAutoHyphens w:val="0"/>
              <w:spacing w:before="10" w:after="10" w:line="240" w:lineRule="auto"/>
              <w:jc w:val="center"/>
              <w:rPr>
                <w:color w:val="000000"/>
                <w:sz w:val="18"/>
                <w:szCs w:val="18"/>
              </w:rPr>
            </w:pPr>
            <w:r w:rsidRPr="00272DCE">
              <w:rPr>
                <w:sz w:val="18"/>
                <w:szCs w:val="18"/>
              </w:rPr>
              <w:t>(13)</w:t>
            </w:r>
          </w:p>
        </w:tc>
        <w:tc>
          <w:tcPr>
            <w:tcW w:w="493" w:type="pct"/>
            <w:tcBorders>
              <w:top w:val="single" w:sz="6" w:space="0" w:color="auto"/>
              <w:left w:val="single" w:sz="6" w:space="0" w:color="auto"/>
              <w:bottom w:val="single" w:sz="6" w:space="0" w:color="auto"/>
              <w:right w:val="single" w:sz="6" w:space="0" w:color="auto"/>
            </w:tcBorders>
          </w:tcPr>
          <w:p w14:paraId="76BB92B6" w14:textId="77777777" w:rsidR="00B57B54" w:rsidRPr="00272DCE" w:rsidRDefault="00B57B54" w:rsidP="00A329CF">
            <w:pPr>
              <w:suppressAutoHyphens w:val="0"/>
              <w:spacing w:before="10" w:after="10" w:line="240" w:lineRule="auto"/>
              <w:jc w:val="center"/>
              <w:rPr>
                <w:color w:val="000000"/>
                <w:sz w:val="18"/>
                <w:szCs w:val="18"/>
              </w:rPr>
            </w:pPr>
            <w:r w:rsidRPr="00272DCE">
              <w:rPr>
                <w:sz w:val="18"/>
                <w:szCs w:val="18"/>
              </w:rPr>
              <w:t>(14)</w:t>
            </w:r>
          </w:p>
        </w:tc>
        <w:tc>
          <w:tcPr>
            <w:tcW w:w="493" w:type="pct"/>
            <w:tcBorders>
              <w:top w:val="single" w:sz="6" w:space="0" w:color="auto"/>
              <w:left w:val="single" w:sz="6" w:space="0" w:color="auto"/>
              <w:bottom w:val="single" w:sz="6" w:space="0" w:color="auto"/>
              <w:right w:val="single" w:sz="6" w:space="0" w:color="auto"/>
            </w:tcBorders>
          </w:tcPr>
          <w:p w14:paraId="14F84A54" w14:textId="77777777" w:rsidR="00B57B54" w:rsidRPr="00272DCE" w:rsidRDefault="00B57B54" w:rsidP="00A329CF">
            <w:pPr>
              <w:suppressAutoHyphens w:val="0"/>
              <w:spacing w:before="10" w:after="10" w:line="240" w:lineRule="auto"/>
              <w:jc w:val="center"/>
              <w:rPr>
                <w:color w:val="000000"/>
                <w:sz w:val="18"/>
                <w:szCs w:val="18"/>
              </w:rPr>
            </w:pPr>
            <w:r w:rsidRPr="00272DCE">
              <w:rPr>
                <w:sz w:val="18"/>
                <w:szCs w:val="18"/>
              </w:rPr>
              <w:t>(15)</w:t>
            </w:r>
          </w:p>
        </w:tc>
        <w:tc>
          <w:tcPr>
            <w:tcW w:w="492" w:type="pct"/>
            <w:tcBorders>
              <w:top w:val="single" w:sz="6" w:space="0" w:color="auto"/>
              <w:left w:val="single" w:sz="6" w:space="0" w:color="auto"/>
              <w:bottom w:val="single" w:sz="6" w:space="0" w:color="auto"/>
              <w:right w:val="single" w:sz="6" w:space="0" w:color="auto"/>
            </w:tcBorders>
          </w:tcPr>
          <w:p w14:paraId="144835E3" w14:textId="77777777" w:rsidR="00B57B54" w:rsidRPr="00272DCE" w:rsidRDefault="00B57B54" w:rsidP="00A329CF">
            <w:pPr>
              <w:suppressAutoHyphens w:val="0"/>
              <w:spacing w:before="10" w:after="10" w:line="240" w:lineRule="auto"/>
              <w:jc w:val="center"/>
              <w:rPr>
                <w:color w:val="000000"/>
                <w:sz w:val="18"/>
                <w:szCs w:val="18"/>
              </w:rPr>
            </w:pPr>
            <w:r w:rsidRPr="00272DCE">
              <w:rPr>
                <w:sz w:val="18"/>
                <w:szCs w:val="18"/>
              </w:rPr>
              <w:t>(16)</w:t>
            </w:r>
          </w:p>
        </w:tc>
        <w:tc>
          <w:tcPr>
            <w:tcW w:w="492" w:type="pct"/>
            <w:tcBorders>
              <w:top w:val="single" w:sz="6" w:space="0" w:color="auto"/>
              <w:left w:val="single" w:sz="6" w:space="0" w:color="auto"/>
              <w:bottom w:val="single" w:sz="6" w:space="0" w:color="auto"/>
              <w:right w:val="single" w:sz="6" w:space="0" w:color="auto"/>
            </w:tcBorders>
          </w:tcPr>
          <w:p w14:paraId="3147EFE0" w14:textId="77777777" w:rsidR="00B57B54" w:rsidRPr="00272DCE" w:rsidRDefault="00B57B54" w:rsidP="00A329CF">
            <w:pPr>
              <w:suppressAutoHyphens w:val="0"/>
              <w:spacing w:before="10" w:after="10" w:line="240" w:lineRule="auto"/>
              <w:jc w:val="center"/>
              <w:rPr>
                <w:color w:val="000000"/>
                <w:sz w:val="18"/>
                <w:szCs w:val="18"/>
              </w:rPr>
            </w:pPr>
            <w:r w:rsidRPr="00272DCE">
              <w:rPr>
                <w:sz w:val="18"/>
                <w:szCs w:val="18"/>
              </w:rPr>
              <w:t>(17)</w:t>
            </w:r>
          </w:p>
        </w:tc>
        <w:tc>
          <w:tcPr>
            <w:tcW w:w="492" w:type="pct"/>
            <w:tcBorders>
              <w:top w:val="single" w:sz="6" w:space="0" w:color="auto"/>
              <w:left w:val="single" w:sz="6" w:space="0" w:color="auto"/>
              <w:bottom w:val="single" w:sz="6" w:space="0" w:color="auto"/>
              <w:right w:val="single" w:sz="6" w:space="0" w:color="auto"/>
            </w:tcBorders>
          </w:tcPr>
          <w:p w14:paraId="2FCA36DF" w14:textId="77777777" w:rsidR="00B57B54" w:rsidRPr="00272DCE" w:rsidRDefault="00B57B54" w:rsidP="00A329CF">
            <w:pPr>
              <w:suppressAutoHyphens w:val="0"/>
              <w:spacing w:before="10" w:after="10" w:line="240" w:lineRule="auto"/>
              <w:jc w:val="center"/>
              <w:rPr>
                <w:color w:val="000000"/>
                <w:sz w:val="18"/>
                <w:szCs w:val="18"/>
              </w:rPr>
            </w:pPr>
            <w:r w:rsidRPr="00272DCE">
              <w:rPr>
                <w:sz w:val="18"/>
                <w:szCs w:val="18"/>
              </w:rPr>
              <w:t>(18)</w:t>
            </w:r>
          </w:p>
        </w:tc>
        <w:tc>
          <w:tcPr>
            <w:tcW w:w="492" w:type="pct"/>
            <w:tcBorders>
              <w:top w:val="single" w:sz="6" w:space="0" w:color="auto"/>
              <w:left w:val="single" w:sz="6" w:space="0" w:color="auto"/>
              <w:bottom w:val="single" w:sz="6" w:space="0" w:color="auto"/>
              <w:right w:val="single" w:sz="6" w:space="0" w:color="auto"/>
            </w:tcBorders>
          </w:tcPr>
          <w:p w14:paraId="7BA7E253" w14:textId="77777777" w:rsidR="00B57B54" w:rsidRPr="00272DCE" w:rsidRDefault="00B57B54" w:rsidP="00A329CF">
            <w:pPr>
              <w:suppressAutoHyphens w:val="0"/>
              <w:spacing w:before="10" w:after="10" w:line="240" w:lineRule="auto"/>
              <w:jc w:val="center"/>
              <w:rPr>
                <w:color w:val="000000"/>
                <w:sz w:val="18"/>
                <w:szCs w:val="18"/>
              </w:rPr>
            </w:pPr>
            <w:r w:rsidRPr="00272DCE">
              <w:rPr>
                <w:sz w:val="18"/>
                <w:szCs w:val="18"/>
              </w:rPr>
              <w:t>(19)</w:t>
            </w:r>
          </w:p>
        </w:tc>
        <w:tc>
          <w:tcPr>
            <w:tcW w:w="569" w:type="pct"/>
            <w:tcBorders>
              <w:top w:val="single" w:sz="6" w:space="0" w:color="auto"/>
              <w:left w:val="single" w:sz="6" w:space="0" w:color="auto"/>
              <w:bottom w:val="single" w:sz="6" w:space="0" w:color="auto"/>
              <w:right w:val="single" w:sz="6" w:space="0" w:color="auto"/>
            </w:tcBorders>
          </w:tcPr>
          <w:p w14:paraId="72A277C5" w14:textId="77777777" w:rsidR="00B57B54" w:rsidRPr="00272DCE" w:rsidRDefault="00B57B54" w:rsidP="00A329CF">
            <w:pPr>
              <w:suppressAutoHyphens w:val="0"/>
              <w:spacing w:before="10" w:after="10" w:line="240" w:lineRule="auto"/>
              <w:jc w:val="center"/>
              <w:rPr>
                <w:color w:val="000000"/>
                <w:sz w:val="18"/>
                <w:szCs w:val="18"/>
              </w:rPr>
            </w:pPr>
            <w:r w:rsidRPr="00272DCE">
              <w:rPr>
                <w:sz w:val="18"/>
                <w:szCs w:val="18"/>
              </w:rPr>
              <w:t>(20)</w:t>
            </w:r>
          </w:p>
        </w:tc>
      </w:tr>
      <w:tr w:rsidR="00B57B54" w:rsidRPr="00272DCE" w14:paraId="692469F3" w14:textId="77777777" w:rsidTr="006B2D07">
        <w:trPr>
          <w:cantSplit/>
          <w:trHeight w:val="37"/>
          <w:tblHeader/>
        </w:trPr>
        <w:tc>
          <w:tcPr>
            <w:tcW w:w="493" w:type="pct"/>
            <w:tcBorders>
              <w:top w:val="single" w:sz="6" w:space="0" w:color="auto"/>
              <w:left w:val="single" w:sz="6" w:space="0" w:color="auto"/>
              <w:bottom w:val="single" w:sz="6" w:space="0" w:color="auto"/>
              <w:right w:val="single" w:sz="6" w:space="0" w:color="auto"/>
            </w:tcBorders>
          </w:tcPr>
          <w:p w14:paraId="0449A863" w14:textId="77777777" w:rsidR="00B57B54" w:rsidRPr="00272DCE" w:rsidRDefault="00B57B54" w:rsidP="00A329CF">
            <w:pPr>
              <w:suppressAutoHyphens w:val="0"/>
              <w:spacing w:before="10" w:after="10" w:line="240" w:lineRule="auto"/>
              <w:jc w:val="center"/>
              <w:rPr>
                <w:b/>
                <w:bCs/>
                <w:color w:val="000000"/>
                <w:sz w:val="18"/>
                <w:szCs w:val="18"/>
              </w:rPr>
            </w:pPr>
            <w:r w:rsidRPr="00272DCE">
              <w:rPr>
                <w:b/>
                <w:bCs/>
                <w:sz w:val="18"/>
                <w:szCs w:val="18"/>
              </w:rPr>
              <w:t>7.2.4.21</w:t>
            </w:r>
          </w:p>
        </w:tc>
        <w:tc>
          <w:tcPr>
            <w:tcW w:w="493" w:type="pct"/>
            <w:tcBorders>
              <w:top w:val="single" w:sz="6" w:space="0" w:color="auto"/>
              <w:left w:val="single" w:sz="6" w:space="0" w:color="auto"/>
              <w:bottom w:val="single" w:sz="6" w:space="0" w:color="auto"/>
              <w:right w:val="single" w:sz="6" w:space="0" w:color="auto"/>
            </w:tcBorders>
          </w:tcPr>
          <w:p w14:paraId="18CD9EDB" w14:textId="77777777" w:rsidR="00B57B54" w:rsidRPr="00272DCE" w:rsidRDefault="00B57B54" w:rsidP="00A329CF">
            <w:pPr>
              <w:suppressAutoHyphens w:val="0"/>
              <w:spacing w:before="10" w:after="10" w:line="240" w:lineRule="auto"/>
              <w:jc w:val="center"/>
              <w:rPr>
                <w:b/>
                <w:bCs/>
                <w:color w:val="000000"/>
                <w:sz w:val="18"/>
                <w:szCs w:val="18"/>
              </w:rPr>
            </w:pPr>
            <w:r w:rsidRPr="00272DCE">
              <w:rPr>
                <w:b/>
                <w:bCs/>
                <w:sz w:val="18"/>
                <w:szCs w:val="18"/>
              </w:rPr>
              <w:t>3.2.3.1</w:t>
            </w:r>
          </w:p>
        </w:tc>
        <w:tc>
          <w:tcPr>
            <w:tcW w:w="493" w:type="pct"/>
            <w:tcBorders>
              <w:top w:val="single" w:sz="6" w:space="0" w:color="auto"/>
              <w:left w:val="single" w:sz="6" w:space="0" w:color="auto"/>
              <w:bottom w:val="single" w:sz="6" w:space="0" w:color="auto"/>
              <w:right w:val="single" w:sz="6" w:space="0" w:color="auto"/>
            </w:tcBorders>
          </w:tcPr>
          <w:p w14:paraId="2353F693" w14:textId="77777777" w:rsidR="00B57B54" w:rsidRPr="00272DCE" w:rsidRDefault="00B57B54" w:rsidP="00A329CF">
            <w:pPr>
              <w:suppressAutoHyphens w:val="0"/>
              <w:spacing w:before="10" w:after="10" w:line="240" w:lineRule="auto"/>
              <w:jc w:val="center"/>
              <w:rPr>
                <w:b/>
                <w:bCs/>
                <w:color w:val="000000"/>
                <w:sz w:val="18"/>
                <w:szCs w:val="18"/>
              </w:rPr>
            </w:pPr>
            <w:r w:rsidRPr="00272DCE">
              <w:rPr>
                <w:b/>
                <w:bCs/>
                <w:sz w:val="18"/>
                <w:szCs w:val="18"/>
              </w:rPr>
              <w:t>3.2.3.1/</w:t>
            </w:r>
            <w:r w:rsidRPr="00272DCE">
              <w:rPr>
                <w:b/>
                <w:bCs/>
                <w:sz w:val="18"/>
                <w:szCs w:val="18"/>
              </w:rPr>
              <w:br/>
              <w:t>1.2.1</w:t>
            </w:r>
          </w:p>
        </w:tc>
        <w:tc>
          <w:tcPr>
            <w:tcW w:w="493" w:type="pct"/>
            <w:tcBorders>
              <w:top w:val="single" w:sz="6" w:space="0" w:color="auto"/>
              <w:left w:val="single" w:sz="6" w:space="0" w:color="auto"/>
              <w:bottom w:val="single" w:sz="6" w:space="0" w:color="auto"/>
              <w:right w:val="single" w:sz="6" w:space="0" w:color="auto"/>
            </w:tcBorders>
          </w:tcPr>
          <w:p w14:paraId="67273606" w14:textId="77777777" w:rsidR="00B57B54" w:rsidRPr="00272DCE" w:rsidRDefault="00B57B54" w:rsidP="00A329CF">
            <w:pPr>
              <w:suppressAutoHyphens w:val="0"/>
              <w:spacing w:before="10" w:after="10" w:line="240" w:lineRule="auto"/>
              <w:jc w:val="center"/>
              <w:rPr>
                <w:b/>
                <w:bCs/>
                <w:color w:val="000000"/>
                <w:sz w:val="18"/>
                <w:szCs w:val="18"/>
              </w:rPr>
            </w:pPr>
            <w:r w:rsidRPr="00272DCE">
              <w:rPr>
                <w:b/>
                <w:bCs/>
                <w:sz w:val="18"/>
                <w:szCs w:val="18"/>
              </w:rPr>
              <w:t>3.2.3.1/</w:t>
            </w:r>
            <w:r w:rsidRPr="00272DCE">
              <w:rPr>
                <w:b/>
                <w:bCs/>
                <w:sz w:val="18"/>
                <w:szCs w:val="18"/>
              </w:rPr>
              <w:br/>
              <w:t>1.2.1</w:t>
            </w:r>
          </w:p>
        </w:tc>
        <w:tc>
          <w:tcPr>
            <w:tcW w:w="493" w:type="pct"/>
            <w:tcBorders>
              <w:top w:val="single" w:sz="6" w:space="0" w:color="auto"/>
              <w:left w:val="single" w:sz="6" w:space="0" w:color="auto"/>
              <w:bottom w:val="single" w:sz="6" w:space="0" w:color="auto"/>
              <w:right w:val="single" w:sz="6" w:space="0" w:color="auto"/>
            </w:tcBorders>
          </w:tcPr>
          <w:p w14:paraId="66506F1A" w14:textId="77777777" w:rsidR="00B57B54" w:rsidRPr="00272DCE" w:rsidRDefault="00B57B54" w:rsidP="00A329CF">
            <w:pPr>
              <w:suppressAutoHyphens w:val="0"/>
              <w:spacing w:before="10" w:after="10" w:line="240" w:lineRule="auto"/>
              <w:jc w:val="center"/>
              <w:rPr>
                <w:b/>
                <w:bCs/>
                <w:color w:val="000000"/>
                <w:sz w:val="18"/>
                <w:szCs w:val="18"/>
              </w:rPr>
            </w:pPr>
            <w:r w:rsidRPr="00272DCE">
              <w:rPr>
                <w:b/>
                <w:bCs/>
                <w:sz w:val="18"/>
                <w:szCs w:val="18"/>
              </w:rPr>
              <w:t>1.2.1</w:t>
            </w:r>
          </w:p>
        </w:tc>
        <w:tc>
          <w:tcPr>
            <w:tcW w:w="492" w:type="pct"/>
            <w:tcBorders>
              <w:top w:val="single" w:sz="6" w:space="0" w:color="auto"/>
              <w:left w:val="single" w:sz="6" w:space="0" w:color="auto"/>
              <w:bottom w:val="single" w:sz="6" w:space="0" w:color="auto"/>
              <w:right w:val="single" w:sz="6" w:space="0" w:color="auto"/>
            </w:tcBorders>
          </w:tcPr>
          <w:p w14:paraId="36C31A01" w14:textId="77777777" w:rsidR="00B57B54" w:rsidRPr="00272DCE" w:rsidRDefault="00B57B54" w:rsidP="00A329CF">
            <w:pPr>
              <w:suppressAutoHyphens w:val="0"/>
              <w:spacing w:before="10" w:after="10" w:line="240" w:lineRule="auto"/>
              <w:jc w:val="center"/>
              <w:rPr>
                <w:b/>
                <w:bCs/>
                <w:color w:val="000000"/>
                <w:sz w:val="18"/>
                <w:szCs w:val="18"/>
              </w:rPr>
            </w:pPr>
            <w:r w:rsidRPr="00272DCE">
              <w:rPr>
                <w:b/>
                <w:bCs/>
                <w:sz w:val="18"/>
                <w:szCs w:val="18"/>
              </w:rPr>
              <w:t>1.2.1/</w:t>
            </w:r>
            <w:r w:rsidRPr="00272DCE">
              <w:rPr>
                <w:b/>
                <w:bCs/>
                <w:sz w:val="18"/>
                <w:szCs w:val="18"/>
              </w:rPr>
              <w:br/>
              <w:t xml:space="preserve">3.2.3.3 </w:t>
            </w:r>
          </w:p>
        </w:tc>
        <w:tc>
          <w:tcPr>
            <w:tcW w:w="492" w:type="pct"/>
            <w:tcBorders>
              <w:top w:val="single" w:sz="6" w:space="0" w:color="auto"/>
              <w:left w:val="single" w:sz="6" w:space="0" w:color="auto"/>
              <w:bottom w:val="single" w:sz="6" w:space="0" w:color="auto"/>
              <w:right w:val="single" w:sz="6" w:space="0" w:color="auto"/>
            </w:tcBorders>
          </w:tcPr>
          <w:p w14:paraId="75C95EDE" w14:textId="77777777" w:rsidR="00B57B54" w:rsidRPr="00272DCE" w:rsidRDefault="00B57B54" w:rsidP="00A329CF">
            <w:pPr>
              <w:suppressAutoHyphens w:val="0"/>
              <w:spacing w:before="10" w:after="10" w:line="240" w:lineRule="auto"/>
              <w:jc w:val="center"/>
              <w:rPr>
                <w:b/>
                <w:bCs/>
                <w:color w:val="000000"/>
                <w:sz w:val="18"/>
                <w:szCs w:val="18"/>
              </w:rPr>
            </w:pPr>
            <w:r w:rsidRPr="00272DCE">
              <w:rPr>
                <w:b/>
                <w:bCs/>
                <w:sz w:val="18"/>
                <w:szCs w:val="18"/>
              </w:rPr>
              <w:t>1.2.1/</w:t>
            </w:r>
            <w:r w:rsidRPr="00272DCE">
              <w:rPr>
                <w:b/>
                <w:bCs/>
                <w:sz w:val="18"/>
                <w:szCs w:val="18"/>
              </w:rPr>
              <w:br/>
              <w:t>3.2.3.3</w:t>
            </w:r>
          </w:p>
        </w:tc>
        <w:tc>
          <w:tcPr>
            <w:tcW w:w="492" w:type="pct"/>
            <w:tcBorders>
              <w:top w:val="single" w:sz="6" w:space="0" w:color="auto"/>
              <w:left w:val="single" w:sz="6" w:space="0" w:color="auto"/>
              <w:bottom w:val="single" w:sz="6" w:space="0" w:color="auto"/>
              <w:right w:val="single" w:sz="6" w:space="0" w:color="auto"/>
            </w:tcBorders>
          </w:tcPr>
          <w:p w14:paraId="494967EE" w14:textId="77777777" w:rsidR="00B57B54" w:rsidRPr="00272DCE" w:rsidRDefault="00B57B54" w:rsidP="00A329CF">
            <w:pPr>
              <w:suppressAutoHyphens w:val="0"/>
              <w:spacing w:before="10" w:after="10" w:line="240" w:lineRule="auto"/>
              <w:jc w:val="center"/>
              <w:rPr>
                <w:b/>
                <w:bCs/>
                <w:color w:val="000000"/>
                <w:sz w:val="18"/>
                <w:szCs w:val="18"/>
              </w:rPr>
            </w:pPr>
            <w:r w:rsidRPr="00272DCE">
              <w:rPr>
                <w:b/>
                <w:bCs/>
                <w:sz w:val="18"/>
                <w:szCs w:val="18"/>
              </w:rPr>
              <w:t>8.1.5</w:t>
            </w:r>
          </w:p>
        </w:tc>
        <w:tc>
          <w:tcPr>
            <w:tcW w:w="492" w:type="pct"/>
            <w:tcBorders>
              <w:top w:val="single" w:sz="6" w:space="0" w:color="auto"/>
              <w:left w:val="single" w:sz="6" w:space="0" w:color="auto"/>
              <w:bottom w:val="single" w:sz="6" w:space="0" w:color="auto"/>
              <w:right w:val="single" w:sz="6" w:space="0" w:color="auto"/>
            </w:tcBorders>
          </w:tcPr>
          <w:p w14:paraId="2024E3EA" w14:textId="77777777" w:rsidR="00B57B54" w:rsidRPr="00272DCE" w:rsidRDefault="00B57B54" w:rsidP="00A329CF">
            <w:pPr>
              <w:suppressAutoHyphens w:val="0"/>
              <w:spacing w:before="10" w:after="10" w:line="240" w:lineRule="auto"/>
              <w:jc w:val="center"/>
              <w:rPr>
                <w:b/>
                <w:bCs/>
                <w:color w:val="000000"/>
                <w:sz w:val="18"/>
                <w:szCs w:val="18"/>
              </w:rPr>
            </w:pPr>
            <w:r w:rsidRPr="00272DCE">
              <w:rPr>
                <w:b/>
                <w:bCs/>
                <w:sz w:val="18"/>
                <w:szCs w:val="18"/>
              </w:rPr>
              <w:t>7.2.5</w:t>
            </w:r>
          </w:p>
        </w:tc>
        <w:tc>
          <w:tcPr>
            <w:tcW w:w="569" w:type="pct"/>
            <w:tcBorders>
              <w:top w:val="single" w:sz="6" w:space="0" w:color="auto"/>
              <w:left w:val="single" w:sz="6" w:space="0" w:color="auto"/>
              <w:bottom w:val="single" w:sz="6" w:space="0" w:color="auto"/>
              <w:right w:val="single" w:sz="6" w:space="0" w:color="auto"/>
            </w:tcBorders>
          </w:tcPr>
          <w:p w14:paraId="4248424D" w14:textId="77777777" w:rsidR="00B57B54" w:rsidRPr="00272DCE" w:rsidRDefault="00B57B54" w:rsidP="00A329CF">
            <w:pPr>
              <w:suppressAutoHyphens w:val="0"/>
              <w:spacing w:before="10" w:after="10" w:line="240" w:lineRule="auto"/>
              <w:jc w:val="center"/>
              <w:rPr>
                <w:b/>
                <w:bCs/>
                <w:color w:val="000000"/>
                <w:sz w:val="18"/>
                <w:szCs w:val="18"/>
              </w:rPr>
            </w:pPr>
            <w:r w:rsidRPr="00272DCE">
              <w:rPr>
                <w:b/>
                <w:bCs/>
                <w:sz w:val="18"/>
                <w:szCs w:val="18"/>
              </w:rPr>
              <w:t>3.2.3.1</w:t>
            </w:r>
          </w:p>
        </w:tc>
      </w:tr>
    </w:tbl>
    <w:p w14:paraId="35017149" w14:textId="77777777" w:rsidR="006B2D07" w:rsidRPr="00272DCE" w:rsidRDefault="006B2D07" w:rsidP="006B2D07">
      <w:pPr>
        <w:pStyle w:val="SingleTxtG"/>
        <w:spacing w:before="120"/>
      </w:pPr>
      <w:r w:rsidRPr="00272DCE">
        <w:t>Dans la version française du Règlement, la description de la colonne 3 b) devient « Code de classification » et celle de la colonne (7) devient « Conception de la citerne à cargaison ».</w:t>
      </w:r>
    </w:p>
    <w:bookmarkEnd w:id="14"/>
    <w:p w14:paraId="1363C77A" w14:textId="514EA677" w:rsidR="006B2D07" w:rsidRPr="00272DCE" w:rsidRDefault="006B2D07" w:rsidP="006B2D07">
      <w:pPr>
        <w:pStyle w:val="SingleTxtG"/>
        <w:rPr>
          <w:i/>
        </w:rPr>
      </w:pPr>
      <w:r w:rsidRPr="00272DCE">
        <w:rPr>
          <w:i/>
        </w:rPr>
        <w:t>(Documents de référence : ECE/TRANS/WP.15/AC.2/2019/13 tel que modifié par le document INF.20)</w:t>
      </w:r>
    </w:p>
    <w:p w14:paraId="75E85182" w14:textId="77777777" w:rsidR="006B2D07" w:rsidRPr="00272DCE" w:rsidRDefault="006B2D07" w:rsidP="00221FB9">
      <w:pPr>
        <w:pStyle w:val="H1G"/>
      </w:pPr>
      <w:r w:rsidRPr="00272DCE">
        <w:tab/>
      </w:r>
      <w:r w:rsidRPr="00272DCE">
        <w:tab/>
        <w:t>Chapitre 7.2</w:t>
      </w:r>
    </w:p>
    <w:p w14:paraId="6C8BDF49" w14:textId="77777777" w:rsidR="006B2D07" w:rsidRPr="00272DCE" w:rsidRDefault="006B2D07" w:rsidP="006B2D07">
      <w:pPr>
        <w:pStyle w:val="SingleTxtG"/>
      </w:pPr>
      <w:r w:rsidRPr="00272DCE">
        <w:t>7.2.3.7</w:t>
      </w:r>
      <w:r w:rsidR="00221FB9" w:rsidRPr="00272DCE">
        <w:tab/>
      </w:r>
      <w:r w:rsidRPr="00272DCE">
        <w:tab/>
        <w:t>Supprimer les paragraphes 7.2.3.7.3 à 7.2.3.7.6 et insérer « 7.2.3.7.3 à 7.2.3.7.6 (supprimés) ».</w:t>
      </w:r>
    </w:p>
    <w:p w14:paraId="4D01E57C" w14:textId="77777777" w:rsidR="006B2D07" w:rsidRPr="00272DCE" w:rsidRDefault="006B2D07" w:rsidP="00221FB9">
      <w:pPr>
        <w:pStyle w:val="SingleTxtG"/>
        <w:rPr>
          <w:i/>
        </w:rPr>
      </w:pPr>
      <w:r w:rsidRPr="00272DCE">
        <w:rPr>
          <w:i/>
        </w:rPr>
        <w:t>(Document de référence : ECE/TRANS/WP.15/AC.2/2019/17)</w:t>
      </w:r>
    </w:p>
    <w:p w14:paraId="5CCDAA86" w14:textId="77777777" w:rsidR="006B2D07" w:rsidRPr="00272DCE" w:rsidRDefault="006B2D07" w:rsidP="006B2D07">
      <w:pPr>
        <w:pStyle w:val="SingleTxtG"/>
      </w:pPr>
      <w:r w:rsidRPr="00272DCE">
        <w:t>7.2.4.16.4</w:t>
      </w:r>
      <w:r w:rsidRPr="00272DCE">
        <w:tab/>
        <w:t>Remplacer le texte par « (Supprimé) ».</w:t>
      </w:r>
    </w:p>
    <w:p w14:paraId="5913C6C5" w14:textId="77777777" w:rsidR="006B2D07" w:rsidRPr="00272DCE" w:rsidRDefault="006B2D07" w:rsidP="006B2D07">
      <w:pPr>
        <w:pStyle w:val="SingleTxtG"/>
        <w:rPr>
          <w:i/>
        </w:rPr>
      </w:pPr>
      <w:r w:rsidRPr="00272DCE">
        <w:rPr>
          <w:i/>
        </w:rPr>
        <w:t>(Document de référence : ECE/TRANS/WP.15/AC.2/2019/4)</w:t>
      </w:r>
    </w:p>
    <w:p w14:paraId="66BD6994" w14:textId="77777777" w:rsidR="006B2D07" w:rsidRPr="00272DCE" w:rsidRDefault="006B2D07" w:rsidP="006B2D07">
      <w:pPr>
        <w:pStyle w:val="SingleTxtG"/>
      </w:pPr>
      <w:r w:rsidRPr="00272DCE">
        <w:t>7.2.4.17.3</w:t>
      </w:r>
      <w:r w:rsidRPr="00272DCE">
        <w:tab/>
        <w:t>Lire comme suit : « Les dispositions des 7.2.4.17.1 et 7.2.4.17.2 sont toutefois applicables à la remise de gaz naturel liquéfié (GNL) pour l</w:t>
      </w:r>
      <w:r w:rsidR="00681934" w:rsidRPr="00272DCE">
        <w:t>’</w:t>
      </w:r>
      <w:r w:rsidRPr="00272DCE">
        <w:t>exploitation des bateaux. ».</w:t>
      </w:r>
    </w:p>
    <w:p w14:paraId="0B882FD5" w14:textId="77777777" w:rsidR="006B2D07" w:rsidRPr="00272DCE" w:rsidRDefault="006B2D07" w:rsidP="006B2D07">
      <w:pPr>
        <w:pStyle w:val="SingleTxtG"/>
        <w:rPr>
          <w:i/>
          <w:iCs/>
        </w:rPr>
      </w:pPr>
      <w:r w:rsidRPr="00272DCE">
        <w:rPr>
          <w:i/>
        </w:rPr>
        <w:t>(Document de référence : ECE/TRANS/WP.15/AC.2/2019/15, par. 5, tel que modifié)</w:t>
      </w:r>
    </w:p>
    <w:p w14:paraId="029FA26C" w14:textId="77777777" w:rsidR="006B2D07" w:rsidRPr="00272DCE" w:rsidRDefault="006B2D07" w:rsidP="006B2D07">
      <w:pPr>
        <w:pStyle w:val="H1G"/>
      </w:pPr>
      <w:r w:rsidRPr="00272DCE">
        <w:tab/>
      </w:r>
      <w:r w:rsidRPr="00272DCE">
        <w:tab/>
        <w:t>Chapitre 8.1</w:t>
      </w:r>
    </w:p>
    <w:p w14:paraId="4126CADF" w14:textId="77777777" w:rsidR="006B2D07" w:rsidRPr="00272DCE" w:rsidRDefault="006B2D07" w:rsidP="00A329CF">
      <w:pPr>
        <w:pStyle w:val="SingleTxtG"/>
        <w:ind w:left="2268" w:hanging="1134"/>
      </w:pPr>
      <w:r w:rsidRPr="00272DCE">
        <w:t>8.1.7.2</w:t>
      </w:r>
      <w:r w:rsidRPr="00272DCE">
        <w:tab/>
      </w:r>
      <w:r w:rsidRPr="00272DCE">
        <w:tab/>
        <w:t>Modifier la fin du deuxième paragraphe comme suit :</w:t>
      </w:r>
    </w:p>
    <w:p w14:paraId="0841AB5A" w14:textId="77777777" w:rsidR="006B2D07" w:rsidRPr="00272DCE" w:rsidRDefault="006B2D07" w:rsidP="006B2D07">
      <w:pPr>
        <w:pStyle w:val="SingleTxtG"/>
      </w:pPr>
      <w:r w:rsidRPr="00272DCE">
        <w:t>« …ainsi que dans le courant de la troisième année de validité du certificat d</w:t>
      </w:r>
      <w:r w:rsidR="00681934" w:rsidRPr="00272DCE">
        <w:t>’</w:t>
      </w:r>
      <w:r w:rsidRPr="00272DCE">
        <w:t>agrément, par la société de classification ayant classé le bateau ou par une personne que l</w:t>
      </w:r>
      <w:r w:rsidR="00681934" w:rsidRPr="00272DCE">
        <w:t>’</w:t>
      </w:r>
      <w:r w:rsidRPr="00272DCE">
        <w:t>autorité compétente aura habilitée à cette fin. Une attestation relative à cette vérification doit se trouver à bord. ».</w:t>
      </w:r>
    </w:p>
    <w:p w14:paraId="5A575A1C" w14:textId="77777777" w:rsidR="006B2D07" w:rsidRPr="00272DCE" w:rsidRDefault="006B2D07" w:rsidP="006B2D07">
      <w:pPr>
        <w:pStyle w:val="SingleTxtG"/>
        <w:rPr>
          <w:i/>
          <w:iCs/>
        </w:rPr>
      </w:pPr>
      <w:r w:rsidRPr="00272DCE">
        <w:rPr>
          <w:i/>
        </w:rPr>
        <w:t>(Document de référence : ECE/TRANS/WP.15/AC.2/2019/9, tel que modifié)</w:t>
      </w:r>
    </w:p>
    <w:p w14:paraId="6428C9C6" w14:textId="77777777" w:rsidR="006B2D07" w:rsidRPr="00272DCE" w:rsidRDefault="006B2D07" w:rsidP="00A329CF">
      <w:pPr>
        <w:pStyle w:val="H1G"/>
      </w:pPr>
      <w:r w:rsidRPr="00272DCE">
        <w:lastRenderedPageBreak/>
        <w:tab/>
      </w:r>
      <w:r w:rsidRPr="00272DCE">
        <w:tab/>
        <w:t>Chapitre 9.3</w:t>
      </w:r>
    </w:p>
    <w:p w14:paraId="0BD19676" w14:textId="77777777" w:rsidR="006B2D07" w:rsidRPr="00272DCE" w:rsidRDefault="006B2D07" w:rsidP="00A329CF">
      <w:pPr>
        <w:pStyle w:val="SingleTxtG"/>
      </w:pPr>
      <w:r w:rsidRPr="00272DCE">
        <w:t>9.3.1.8.4, 9.3.2.8.4 et 9.3.3.8.4</w:t>
      </w:r>
      <w:r w:rsidRPr="00272DCE">
        <w:tab/>
        <w:t>Supprimer et ajouter « (Supprimé) ».</w:t>
      </w:r>
    </w:p>
    <w:p w14:paraId="0285E511" w14:textId="77777777" w:rsidR="006B2D07" w:rsidRPr="00272DCE" w:rsidRDefault="006B2D07" w:rsidP="00A329CF">
      <w:pPr>
        <w:pStyle w:val="SingleTxtG"/>
        <w:rPr>
          <w:i/>
          <w:iCs/>
        </w:rPr>
      </w:pPr>
      <w:r w:rsidRPr="00272DCE">
        <w:rPr>
          <w:i/>
        </w:rPr>
        <w:t>(Document de référence : ECE/TRANS/WP.15/AC.2/2019/9)</w:t>
      </w:r>
    </w:p>
    <w:p w14:paraId="65B1797E" w14:textId="77777777" w:rsidR="006B2D07" w:rsidRPr="00272DCE" w:rsidRDefault="006B2D07" w:rsidP="00A329CF">
      <w:pPr>
        <w:pStyle w:val="SingleTxtG"/>
        <w:ind w:left="2268" w:hanging="1134"/>
      </w:pPr>
      <w:r w:rsidRPr="00272DCE">
        <w:t>9.3.2.42.4</w:t>
      </w:r>
      <w:r w:rsidRPr="00272DCE">
        <w:tab/>
        <w:t>Remplacer « 9.3.2.52.3 » par « 9.3.2.52.1 ».</w:t>
      </w:r>
    </w:p>
    <w:p w14:paraId="648EB914" w14:textId="77777777" w:rsidR="006B2D07" w:rsidRPr="00272DCE" w:rsidRDefault="006B2D07" w:rsidP="006B2D07">
      <w:pPr>
        <w:pStyle w:val="SingleTxtG"/>
        <w:rPr>
          <w:i/>
        </w:rPr>
      </w:pPr>
      <w:r w:rsidRPr="00272DCE">
        <w:rPr>
          <w:i/>
        </w:rPr>
        <w:t>(Document de référence : ECE/TRANS/WP.15/AC.2/2019/4)</w:t>
      </w:r>
    </w:p>
    <w:p w14:paraId="525F3118" w14:textId="77777777" w:rsidR="006B2D07" w:rsidRPr="00272DCE" w:rsidRDefault="006B2D07" w:rsidP="006B2D07">
      <w:pPr>
        <w:pStyle w:val="SingleTxtG"/>
      </w:pPr>
      <w:r w:rsidRPr="00272DCE">
        <w:t>9.3.3.42.4</w:t>
      </w:r>
      <w:r w:rsidRPr="00272DCE">
        <w:tab/>
        <w:t>Remplacer « 9.3.3.52.3 » par « 9.3.3.52.1 ».</w:t>
      </w:r>
    </w:p>
    <w:p w14:paraId="28EB5716" w14:textId="77777777" w:rsidR="00A329CF" w:rsidRPr="00272DCE" w:rsidRDefault="006B2D07" w:rsidP="006B2D07">
      <w:pPr>
        <w:pStyle w:val="SingleTxtG"/>
        <w:rPr>
          <w:i/>
        </w:rPr>
      </w:pPr>
      <w:r w:rsidRPr="00272DCE">
        <w:rPr>
          <w:i/>
        </w:rPr>
        <w:t>(Document de référence : ECE/TRANS/WP.15/AC.2/2019/4)</w:t>
      </w:r>
    </w:p>
    <w:p w14:paraId="6778BA03" w14:textId="77777777" w:rsidR="00A329CF" w:rsidRPr="00272DCE" w:rsidRDefault="00A329CF" w:rsidP="005F4BFC">
      <w:pPr>
        <w:pStyle w:val="HChG"/>
      </w:pPr>
      <w:r w:rsidRPr="00272DCE">
        <w:br w:type="page"/>
      </w:r>
      <w:r w:rsidRPr="00272DCE">
        <w:lastRenderedPageBreak/>
        <w:t>Annexe II</w:t>
      </w:r>
    </w:p>
    <w:p w14:paraId="1D84E8D2" w14:textId="77777777" w:rsidR="00A329CF" w:rsidRPr="00272DCE" w:rsidRDefault="003E69DD" w:rsidP="003E69DD">
      <w:pPr>
        <w:pStyle w:val="SingleTxtG"/>
        <w:jc w:val="right"/>
      </w:pPr>
      <w:r w:rsidRPr="00272DCE">
        <w:t>[</w:t>
      </w:r>
      <w:r w:rsidR="00A329CF" w:rsidRPr="00272DCE">
        <w:t xml:space="preserve">Original : anglais </w:t>
      </w:r>
      <w:r w:rsidRPr="00272DCE">
        <w:t xml:space="preserve">et </w:t>
      </w:r>
      <w:r w:rsidR="00A329CF" w:rsidRPr="00272DCE">
        <w:t>français</w:t>
      </w:r>
      <w:r w:rsidRPr="00272DCE">
        <w:t>]</w:t>
      </w:r>
    </w:p>
    <w:p w14:paraId="0EE49111" w14:textId="77777777" w:rsidR="00A329CF" w:rsidRPr="00272DCE" w:rsidRDefault="003E69DD" w:rsidP="00E05421">
      <w:pPr>
        <w:pStyle w:val="HChG"/>
        <w:rPr>
          <w:b w:val="0"/>
          <w:sz w:val="22"/>
          <w:szCs w:val="22"/>
        </w:rPr>
      </w:pPr>
      <w:r w:rsidRPr="00272DCE">
        <w:tab/>
      </w:r>
      <w:r w:rsidRPr="00272DCE">
        <w:tab/>
      </w:r>
      <w:r w:rsidR="00A329CF" w:rsidRPr="00272DCE">
        <w:t xml:space="preserve">Corrections au document ECE/TRANS/276 </w:t>
      </w:r>
      <w:r w:rsidR="00A329CF" w:rsidRPr="00272DCE">
        <w:br/>
        <w:t>(publication ADN 2019)</w:t>
      </w:r>
      <w:r w:rsidR="00E05421" w:rsidRPr="00272DCE">
        <w:br/>
      </w:r>
      <w:r w:rsidR="00A329CF" w:rsidRPr="00272DCE">
        <w:rPr>
          <w:b w:val="0"/>
          <w:sz w:val="22"/>
          <w:szCs w:val="22"/>
        </w:rPr>
        <w:t>(Ne nécessitant pas l</w:t>
      </w:r>
      <w:r w:rsidR="00681934" w:rsidRPr="00272DCE">
        <w:rPr>
          <w:b w:val="0"/>
          <w:sz w:val="22"/>
          <w:szCs w:val="22"/>
        </w:rPr>
        <w:t>’</w:t>
      </w:r>
      <w:r w:rsidR="00A329CF" w:rsidRPr="00272DCE">
        <w:rPr>
          <w:b w:val="0"/>
          <w:sz w:val="22"/>
          <w:szCs w:val="22"/>
        </w:rPr>
        <w:t>acceptation par les Parties contractantes)</w:t>
      </w:r>
    </w:p>
    <w:p w14:paraId="719DE54E" w14:textId="77777777" w:rsidR="00A329CF" w:rsidRPr="00272DCE" w:rsidRDefault="00A329CF" w:rsidP="007C132C">
      <w:pPr>
        <w:pStyle w:val="H23G"/>
      </w:pPr>
      <w:r w:rsidRPr="00272DCE">
        <w:tab/>
      </w:r>
      <w:r w:rsidR="007C132C" w:rsidRPr="00272DCE">
        <w:t>1.</w:t>
      </w:r>
      <w:r w:rsidRPr="00272DCE">
        <w:tab/>
        <w:t xml:space="preserve">Chapitre 1.2, Définition de « Protection contre les explosions », à la suite </w:t>
      </w:r>
      <w:r w:rsidR="001978BC" w:rsidRPr="00272DCE">
        <w:br/>
      </w:r>
      <w:r w:rsidRPr="00272DCE">
        <w:t>de « Et des exigences techniques telles que par exemple : », point b)</w:t>
      </w:r>
    </w:p>
    <w:p w14:paraId="5172E103" w14:textId="77777777" w:rsidR="00A329CF" w:rsidRPr="00272DCE" w:rsidRDefault="00A329CF" w:rsidP="00444F57">
      <w:pPr>
        <w:pStyle w:val="SingleTxtG"/>
      </w:pPr>
      <w:r w:rsidRPr="00272DCE">
        <w:rPr>
          <w:iCs/>
        </w:rPr>
        <w:t xml:space="preserve">Dans la version anglaise, </w:t>
      </w:r>
      <w:r w:rsidRPr="00272DCE">
        <w:rPr>
          <w:i/>
          <w:iCs/>
        </w:rPr>
        <w:t>remplacer</w:t>
      </w:r>
      <w:r w:rsidRPr="00272DCE">
        <w:rPr>
          <w:iCs/>
        </w:rPr>
        <w:t xml:space="preserve"> « </w:t>
      </w:r>
      <w:r w:rsidRPr="00272DCE">
        <w:t>self-</w:t>
      </w:r>
      <w:proofErr w:type="spellStart"/>
      <w:r w:rsidRPr="00272DCE">
        <w:t>contained</w:t>
      </w:r>
      <w:proofErr w:type="spellEnd"/>
      <w:r w:rsidRPr="00272DCE">
        <w:t xml:space="preserve"> protection </w:t>
      </w:r>
      <w:proofErr w:type="spellStart"/>
      <w:r w:rsidRPr="00272DCE">
        <w:t>systems</w:t>
      </w:r>
      <w:proofErr w:type="spellEnd"/>
      <w:r w:rsidRPr="00272DCE">
        <w:t xml:space="preserve"> » </w:t>
      </w:r>
      <w:r w:rsidRPr="00272DCE">
        <w:rPr>
          <w:i/>
        </w:rPr>
        <w:t>par</w:t>
      </w:r>
      <w:r w:rsidRPr="00272DCE">
        <w:t xml:space="preserve"> « </w:t>
      </w:r>
      <w:proofErr w:type="spellStart"/>
      <w:r w:rsidRPr="00272DCE">
        <w:t>autonomous</w:t>
      </w:r>
      <w:proofErr w:type="spellEnd"/>
      <w:r w:rsidRPr="00272DCE">
        <w:t xml:space="preserve"> protection </w:t>
      </w:r>
      <w:proofErr w:type="spellStart"/>
      <w:r w:rsidRPr="00272DCE">
        <w:t>systems</w:t>
      </w:r>
      <w:proofErr w:type="spellEnd"/>
      <w:r w:rsidRPr="00272DCE">
        <w:t> ».</w:t>
      </w:r>
    </w:p>
    <w:p w14:paraId="3F2F1DB6" w14:textId="77777777" w:rsidR="00A329CF" w:rsidRPr="00272DCE" w:rsidRDefault="00A329CF" w:rsidP="00A329CF">
      <w:pPr>
        <w:pStyle w:val="SingleTxtG"/>
        <w:rPr>
          <w:i/>
          <w:iCs/>
        </w:rPr>
      </w:pPr>
      <w:r w:rsidRPr="00272DCE">
        <w:rPr>
          <w:i/>
        </w:rPr>
        <w:t>(Document de référence : ECE/TRANS/WP.15/AC.2/2019/4)</w:t>
      </w:r>
    </w:p>
    <w:p w14:paraId="0D939EFF" w14:textId="77777777" w:rsidR="00A329CF" w:rsidRPr="00272DCE" w:rsidRDefault="00A329CF" w:rsidP="007C132C">
      <w:pPr>
        <w:pStyle w:val="H23G"/>
      </w:pPr>
      <w:r w:rsidRPr="00272DCE">
        <w:tab/>
        <w:t>2.</w:t>
      </w:r>
      <w:r w:rsidRPr="00272DCE">
        <w:tab/>
        <w:t>Chapitre 1.2, Définition de « Systèmes de protection autonomes »</w:t>
      </w:r>
    </w:p>
    <w:p w14:paraId="734741E0" w14:textId="77777777" w:rsidR="00A329CF" w:rsidRPr="00272DCE" w:rsidRDefault="00A329CF" w:rsidP="00A329CF">
      <w:pPr>
        <w:pStyle w:val="SingleTxtG"/>
      </w:pPr>
      <w:r w:rsidRPr="00272DCE">
        <w:rPr>
          <w:iCs/>
        </w:rPr>
        <w:t xml:space="preserve">Dans la version anglaise, </w:t>
      </w:r>
      <w:r w:rsidRPr="00272DCE">
        <w:rPr>
          <w:i/>
          <w:iCs/>
        </w:rPr>
        <w:t>remplacer</w:t>
      </w:r>
      <w:r w:rsidRPr="00272DCE">
        <w:rPr>
          <w:iCs/>
        </w:rPr>
        <w:t xml:space="preserve"> « </w:t>
      </w:r>
      <w:r w:rsidRPr="00272DCE">
        <w:t>self-</w:t>
      </w:r>
      <w:proofErr w:type="spellStart"/>
      <w:r w:rsidRPr="00272DCE">
        <w:t>contained</w:t>
      </w:r>
      <w:proofErr w:type="spellEnd"/>
      <w:r w:rsidRPr="00272DCE">
        <w:t xml:space="preserve"> protection </w:t>
      </w:r>
      <w:proofErr w:type="spellStart"/>
      <w:r w:rsidRPr="00272DCE">
        <w:t>systems</w:t>
      </w:r>
      <w:proofErr w:type="spellEnd"/>
      <w:r w:rsidRPr="00272DCE">
        <w:t xml:space="preserve"> » </w:t>
      </w:r>
      <w:r w:rsidRPr="00272DCE">
        <w:rPr>
          <w:i/>
        </w:rPr>
        <w:t>par</w:t>
      </w:r>
      <w:r w:rsidRPr="00272DCE">
        <w:t xml:space="preserve"> « </w:t>
      </w:r>
      <w:proofErr w:type="spellStart"/>
      <w:r w:rsidRPr="00272DCE">
        <w:t>autonomous</w:t>
      </w:r>
      <w:proofErr w:type="spellEnd"/>
      <w:r w:rsidRPr="00272DCE">
        <w:t xml:space="preserve"> protection </w:t>
      </w:r>
      <w:proofErr w:type="spellStart"/>
      <w:r w:rsidRPr="00272DCE">
        <w:t>systems</w:t>
      </w:r>
      <w:proofErr w:type="spellEnd"/>
      <w:r w:rsidRPr="00272DCE">
        <w:t> ».</w:t>
      </w:r>
    </w:p>
    <w:p w14:paraId="0FB712C8" w14:textId="77777777" w:rsidR="00A329CF" w:rsidRPr="00272DCE" w:rsidRDefault="00A329CF" w:rsidP="00A329CF">
      <w:pPr>
        <w:pStyle w:val="SingleTxtG"/>
        <w:rPr>
          <w:i/>
          <w:iCs/>
        </w:rPr>
      </w:pPr>
      <w:r w:rsidRPr="00272DCE">
        <w:rPr>
          <w:i/>
        </w:rPr>
        <w:t>(Document de référence : ECE/TRANS/WP.15/AC.2/2019/4)</w:t>
      </w:r>
    </w:p>
    <w:p w14:paraId="7D58456A" w14:textId="77777777" w:rsidR="00A329CF" w:rsidRPr="00272DCE" w:rsidRDefault="00A329CF" w:rsidP="00D36D1A">
      <w:pPr>
        <w:pStyle w:val="H23G"/>
      </w:pPr>
      <w:r w:rsidRPr="00272DCE">
        <w:tab/>
        <w:t>3.</w:t>
      </w:r>
      <w:r w:rsidRPr="00272DCE">
        <w:tab/>
        <w:t>Chapitre 1.6, 1.6.7.2.2.2, disposition transitoire pour le 8.1.7.2 (trois occurrences)</w:t>
      </w:r>
    </w:p>
    <w:p w14:paraId="3E6BEDA4" w14:textId="77777777" w:rsidR="00A329CF" w:rsidRPr="00272DCE" w:rsidRDefault="00A329CF" w:rsidP="00D36D1A">
      <w:pPr>
        <w:pStyle w:val="SingleTxtG"/>
      </w:pPr>
      <w:r w:rsidRPr="00272DCE">
        <w:rPr>
          <w:iCs/>
        </w:rPr>
        <w:t xml:space="preserve">Dans la version anglaise, </w:t>
      </w:r>
      <w:r w:rsidRPr="00272DCE">
        <w:rPr>
          <w:i/>
          <w:iCs/>
        </w:rPr>
        <w:t>remplacer</w:t>
      </w:r>
      <w:r w:rsidRPr="00272DCE">
        <w:rPr>
          <w:iCs/>
        </w:rPr>
        <w:t xml:space="preserve"> « </w:t>
      </w:r>
      <w:r w:rsidRPr="00272DCE">
        <w:t>self-</w:t>
      </w:r>
      <w:proofErr w:type="spellStart"/>
      <w:r w:rsidRPr="00272DCE">
        <w:t>contained</w:t>
      </w:r>
      <w:proofErr w:type="spellEnd"/>
      <w:r w:rsidRPr="00272DCE">
        <w:t xml:space="preserve"> protection </w:t>
      </w:r>
      <w:proofErr w:type="spellStart"/>
      <w:r w:rsidRPr="00272DCE">
        <w:t>systems</w:t>
      </w:r>
      <w:proofErr w:type="spellEnd"/>
      <w:r w:rsidRPr="00272DCE">
        <w:t xml:space="preserve"> » </w:t>
      </w:r>
      <w:r w:rsidRPr="00272DCE">
        <w:rPr>
          <w:i/>
        </w:rPr>
        <w:t>par</w:t>
      </w:r>
      <w:r w:rsidRPr="00272DCE">
        <w:t xml:space="preserve"> « </w:t>
      </w:r>
      <w:proofErr w:type="spellStart"/>
      <w:r w:rsidRPr="00272DCE">
        <w:t>autonomous</w:t>
      </w:r>
      <w:proofErr w:type="spellEnd"/>
      <w:r w:rsidRPr="00272DCE">
        <w:t xml:space="preserve"> protection </w:t>
      </w:r>
      <w:proofErr w:type="spellStart"/>
      <w:r w:rsidRPr="00272DCE">
        <w:t>systems</w:t>
      </w:r>
      <w:proofErr w:type="spellEnd"/>
      <w:r w:rsidRPr="00272DCE">
        <w:t> ».</w:t>
      </w:r>
    </w:p>
    <w:p w14:paraId="4D88896A" w14:textId="77777777" w:rsidR="00A329CF" w:rsidRPr="00272DCE" w:rsidRDefault="00A329CF" w:rsidP="00D36D1A">
      <w:pPr>
        <w:pStyle w:val="SingleTxtG"/>
        <w:rPr>
          <w:i/>
          <w:iCs/>
        </w:rPr>
      </w:pPr>
      <w:r w:rsidRPr="00272DCE">
        <w:rPr>
          <w:i/>
        </w:rPr>
        <w:t>(Document de référence : ECE/TRANS/WP.15/AC.2/2019/4)</w:t>
      </w:r>
    </w:p>
    <w:p w14:paraId="0A0C8360" w14:textId="77777777" w:rsidR="00A329CF" w:rsidRPr="00272DCE" w:rsidRDefault="00A329CF" w:rsidP="00796B0F">
      <w:pPr>
        <w:pStyle w:val="H23G"/>
      </w:pPr>
      <w:r w:rsidRPr="00272DCE">
        <w:tab/>
        <w:t>4.</w:t>
      </w:r>
      <w:r w:rsidRPr="00272DCE">
        <w:tab/>
        <w:t>Chapitre 1.8, sous-section 1.8.3.3, 6</w:t>
      </w:r>
      <w:r w:rsidRPr="00272DCE">
        <w:rPr>
          <w:vertAlign w:val="superscript"/>
        </w:rPr>
        <w:t>e</w:t>
      </w:r>
      <w:r w:rsidRPr="00272DCE">
        <w:t xml:space="preserve"> tiret du deuxième alinéa </w:t>
      </w:r>
    </w:p>
    <w:p w14:paraId="1D18A184" w14:textId="77777777" w:rsidR="00796B0F" w:rsidRPr="00272DCE" w:rsidRDefault="00A329CF" w:rsidP="00796B0F">
      <w:pPr>
        <w:pStyle w:val="SingleTxtG"/>
        <w:rPr>
          <w:lang w:val="en-US"/>
        </w:rPr>
      </w:pPr>
      <w:r w:rsidRPr="00272DCE">
        <w:rPr>
          <w:iCs/>
          <w:lang w:val="en-US"/>
        </w:rPr>
        <w:t xml:space="preserve">Dans la version anglaise, </w:t>
      </w:r>
      <w:proofErr w:type="spellStart"/>
      <w:r w:rsidRPr="00272DCE">
        <w:rPr>
          <w:iCs/>
          <w:lang w:val="en-US"/>
        </w:rPr>
        <w:t>remplacer</w:t>
      </w:r>
      <w:proofErr w:type="spellEnd"/>
      <w:r w:rsidRPr="00272DCE">
        <w:rPr>
          <w:iCs/>
          <w:lang w:val="en-US"/>
        </w:rPr>
        <w:t xml:space="preserve"> </w:t>
      </w:r>
      <w:r w:rsidRPr="00272DCE">
        <w:rPr>
          <w:lang w:val="en-US"/>
        </w:rPr>
        <w:t>« recorded during the consigning, carriage</w:t>
      </w:r>
      <w:r w:rsidR="00F545F3" w:rsidRPr="00272DCE">
        <w:rPr>
          <w:lang w:val="en-US"/>
        </w:rPr>
        <w:t> »</w:t>
      </w:r>
      <w:r w:rsidRPr="00272DCE">
        <w:rPr>
          <w:lang w:val="en-US"/>
        </w:rPr>
        <w:t xml:space="preserve"> </w:t>
      </w:r>
      <w:r w:rsidRPr="00272DCE">
        <w:rPr>
          <w:i/>
          <w:lang w:val="en-US"/>
        </w:rPr>
        <w:t>par</w:t>
      </w:r>
      <w:r w:rsidRPr="00272DCE">
        <w:rPr>
          <w:lang w:val="en-US"/>
        </w:rPr>
        <w:t xml:space="preserve"> </w:t>
      </w:r>
      <w:r w:rsidR="00F545F3" w:rsidRPr="00272DCE">
        <w:rPr>
          <w:lang w:val="en-US"/>
        </w:rPr>
        <w:t>« </w:t>
      </w:r>
      <w:r w:rsidRPr="00272DCE">
        <w:rPr>
          <w:lang w:val="en-US"/>
        </w:rPr>
        <w:t>recorded during the carriage</w:t>
      </w:r>
      <w:r w:rsidR="00F545F3" w:rsidRPr="00272DCE">
        <w:rPr>
          <w:lang w:val="en-US"/>
        </w:rPr>
        <w:t> »</w:t>
      </w:r>
      <w:r w:rsidR="00796B0F" w:rsidRPr="00272DCE">
        <w:rPr>
          <w:lang w:val="en-US"/>
        </w:rPr>
        <w:t>.</w:t>
      </w:r>
    </w:p>
    <w:p w14:paraId="54F8FBCD" w14:textId="77777777" w:rsidR="00A329CF" w:rsidRPr="00272DCE" w:rsidRDefault="00A329CF" w:rsidP="00796B0F">
      <w:pPr>
        <w:pStyle w:val="SingleTxtG"/>
        <w:rPr>
          <w:i/>
        </w:rPr>
      </w:pPr>
      <w:r w:rsidRPr="00272DCE">
        <w:rPr>
          <w:i/>
        </w:rPr>
        <w:t>(Document de référence : ECE/TRANS/WP.15/AC.2/2019/17)</w:t>
      </w:r>
    </w:p>
    <w:p w14:paraId="6EE0BFD0" w14:textId="77777777" w:rsidR="00A329CF" w:rsidRPr="00272DCE" w:rsidRDefault="00A329CF" w:rsidP="00796B0F">
      <w:pPr>
        <w:pStyle w:val="H23G"/>
        <w:rPr>
          <w:iCs/>
        </w:rPr>
      </w:pPr>
      <w:r w:rsidRPr="00272DCE">
        <w:rPr>
          <w:iCs/>
        </w:rPr>
        <w:tab/>
        <w:t>5.</w:t>
      </w:r>
      <w:r w:rsidRPr="00272DCE">
        <w:rPr>
          <w:iCs/>
        </w:rPr>
        <w:tab/>
      </w:r>
      <w:r w:rsidRPr="00272DCE">
        <w:t>Chapitre 1.8, sous-section 1.8.3.3, 9</w:t>
      </w:r>
      <w:r w:rsidRPr="00272DCE">
        <w:rPr>
          <w:vertAlign w:val="superscript"/>
        </w:rPr>
        <w:t>e</w:t>
      </w:r>
      <w:r w:rsidRPr="00272DCE">
        <w:t xml:space="preserve"> tiret du deuxième alinéa</w:t>
      </w:r>
    </w:p>
    <w:p w14:paraId="3F2B6E52" w14:textId="77777777" w:rsidR="00796B0F" w:rsidRPr="00272DCE" w:rsidRDefault="00A329CF" w:rsidP="00796B0F">
      <w:pPr>
        <w:pStyle w:val="SingleTxtG"/>
        <w:rPr>
          <w:lang w:val="en-US"/>
        </w:rPr>
      </w:pPr>
      <w:r w:rsidRPr="00272DCE">
        <w:rPr>
          <w:lang w:val="en-US"/>
        </w:rPr>
        <w:t xml:space="preserve">Dans la version anglaise, </w:t>
      </w:r>
      <w:proofErr w:type="spellStart"/>
      <w:r w:rsidRPr="00272DCE">
        <w:rPr>
          <w:i/>
          <w:lang w:val="en-US"/>
        </w:rPr>
        <w:t>remplacer</w:t>
      </w:r>
      <w:proofErr w:type="spellEnd"/>
      <w:r w:rsidRPr="00272DCE">
        <w:rPr>
          <w:lang w:val="en-US"/>
        </w:rPr>
        <w:t xml:space="preserve"> « verification that employees involved in the carriage</w:t>
      </w:r>
      <w:r w:rsidR="00F545F3" w:rsidRPr="00272DCE">
        <w:rPr>
          <w:lang w:val="en-US"/>
        </w:rPr>
        <w:t> »</w:t>
      </w:r>
      <w:r w:rsidRPr="00272DCE">
        <w:rPr>
          <w:iCs/>
          <w:lang w:val="en-US"/>
        </w:rPr>
        <w:t xml:space="preserve"> </w:t>
      </w:r>
      <w:r w:rsidRPr="00272DCE">
        <w:rPr>
          <w:i/>
          <w:iCs/>
          <w:lang w:val="en-US"/>
        </w:rPr>
        <w:t>par</w:t>
      </w:r>
      <w:r w:rsidR="001E02CC" w:rsidRPr="00272DCE">
        <w:rPr>
          <w:iCs/>
          <w:lang w:val="en-US"/>
        </w:rPr>
        <w:t xml:space="preserve"> </w:t>
      </w:r>
      <w:r w:rsidR="001E02CC" w:rsidRPr="00272DCE">
        <w:rPr>
          <w:lang w:val="en-US"/>
        </w:rPr>
        <w:t>« </w:t>
      </w:r>
      <w:r w:rsidRPr="00272DCE">
        <w:rPr>
          <w:lang w:val="en-US"/>
        </w:rPr>
        <w:t>verification that employees involved in the consigning, carriage</w:t>
      </w:r>
      <w:r w:rsidR="00F545F3" w:rsidRPr="00272DCE">
        <w:rPr>
          <w:lang w:val="en-US"/>
        </w:rPr>
        <w:t> ».</w:t>
      </w:r>
    </w:p>
    <w:p w14:paraId="00341F07" w14:textId="77777777" w:rsidR="00A329CF" w:rsidRPr="00272DCE" w:rsidRDefault="00A329CF" w:rsidP="00796B0F">
      <w:pPr>
        <w:pStyle w:val="SingleTxtG"/>
      </w:pPr>
      <w:r w:rsidRPr="00272DCE">
        <w:t>(Document de référence : ECE/TRANS/WP.15/AC.2/2019/17)</w:t>
      </w:r>
    </w:p>
    <w:p w14:paraId="6A96FDD9" w14:textId="77777777" w:rsidR="00A329CF" w:rsidRPr="00272DCE" w:rsidRDefault="00A329CF" w:rsidP="00796B0F">
      <w:pPr>
        <w:pStyle w:val="H23G"/>
      </w:pPr>
      <w:r w:rsidRPr="00272DCE">
        <w:tab/>
        <w:t>6.</w:t>
      </w:r>
      <w:r w:rsidRPr="00272DCE">
        <w:tab/>
        <w:t xml:space="preserve">Chapitre 3.2, 3.2.3.1, Explications concernant le tableau C, colonne (16) </w:t>
      </w:r>
      <w:r w:rsidRPr="00272DCE">
        <w:br/>
        <w:t>et NOTA (cinq occurrences)</w:t>
      </w:r>
    </w:p>
    <w:p w14:paraId="3D95516A" w14:textId="77777777" w:rsidR="00A329CF" w:rsidRPr="00272DCE" w:rsidRDefault="00A329CF" w:rsidP="00796B0F">
      <w:pPr>
        <w:pStyle w:val="SingleTxtG"/>
      </w:pPr>
      <w:r w:rsidRPr="00272DCE">
        <w:rPr>
          <w:iCs/>
        </w:rPr>
        <w:t xml:space="preserve">Dans la version anglaise, </w:t>
      </w:r>
      <w:r w:rsidRPr="00272DCE">
        <w:rPr>
          <w:i/>
          <w:iCs/>
        </w:rPr>
        <w:t>remplacer</w:t>
      </w:r>
      <w:r w:rsidRPr="00272DCE">
        <w:rPr>
          <w:iCs/>
        </w:rPr>
        <w:t xml:space="preserve"> « </w:t>
      </w:r>
      <w:r w:rsidRPr="00272DCE">
        <w:t>self-</w:t>
      </w:r>
      <w:proofErr w:type="spellStart"/>
      <w:r w:rsidRPr="00272DCE">
        <w:t>contained</w:t>
      </w:r>
      <w:proofErr w:type="spellEnd"/>
      <w:r w:rsidRPr="00272DCE">
        <w:t xml:space="preserve"> protection </w:t>
      </w:r>
      <w:proofErr w:type="spellStart"/>
      <w:r w:rsidRPr="00272DCE">
        <w:t>systems</w:t>
      </w:r>
      <w:proofErr w:type="spellEnd"/>
      <w:r w:rsidRPr="00272DCE">
        <w:t xml:space="preserve"> » </w:t>
      </w:r>
      <w:r w:rsidRPr="00272DCE">
        <w:rPr>
          <w:i/>
        </w:rPr>
        <w:t>par</w:t>
      </w:r>
      <w:r w:rsidRPr="00272DCE">
        <w:t xml:space="preserve"> « </w:t>
      </w:r>
      <w:proofErr w:type="spellStart"/>
      <w:r w:rsidRPr="00272DCE">
        <w:t>autonomous</w:t>
      </w:r>
      <w:proofErr w:type="spellEnd"/>
      <w:r w:rsidRPr="00272DCE">
        <w:t xml:space="preserve"> protection </w:t>
      </w:r>
      <w:proofErr w:type="spellStart"/>
      <w:r w:rsidRPr="00272DCE">
        <w:t>systems</w:t>
      </w:r>
      <w:proofErr w:type="spellEnd"/>
      <w:r w:rsidRPr="00272DCE">
        <w:t> ».</w:t>
      </w:r>
    </w:p>
    <w:p w14:paraId="246120BB" w14:textId="77777777" w:rsidR="00A329CF" w:rsidRPr="00272DCE" w:rsidRDefault="00A329CF" w:rsidP="00796B0F">
      <w:pPr>
        <w:pStyle w:val="SingleTxtG"/>
        <w:rPr>
          <w:i/>
        </w:rPr>
      </w:pPr>
      <w:r w:rsidRPr="00272DCE">
        <w:rPr>
          <w:i/>
        </w:rPr>
        <w:t>(Document de référence : ECE/TRANS/WP.15/AC.2/2019/4)</w:t>
      </w:r>
    </w:p>
    <w:p w14:paraId="3D317BE0" w14:textId="77777777" w:rsidR="00A329CF" w:rsidRPr="00272DCE" w:rsidRDefault="00796B0F" w:rsidP="00796B0F">
      <w:pPr>
        <w:pStyle w:val="H23G"/>
      </w:pPr>
      <w:r w:rsidRPr="00272DCE">
        <w:tab/>
      </w:r>
      <w:r w:rsidR="00A329CF" w:rsidRPr="00272DCE">
        <w:t>7.</w:t>
      </w:r>
      <w:r w:rsidR="00A329CF" w:rsidRPr="00272DCE">
        <w:tab/>
        <w:t>Chapitre 3.2, 3.2.4.3 B, alinéa 4 au début</w:t>
      </w:r>
    </w:p>
    <w:p w14:paraId="2E6A2754" w14:textId="77777777" w:rsidR="00A329CF" w:rsidRPr="00272DCE" w:rsidRDefault="00A329CF" w:rsidP="00461913">
      <w:pPr>
        <w:pStyle w:val="SingleTxtG"/>
      </w:pPr>
      <w:r w:rsidRPr="00272DCE">
        <w:rPr>
          <w:iCs/>
        </w:rPr>
        <w:t xml:space="preserve">Dans la version anglaise, </w:t>
      </w:r>
      <w:r w:rsidRPr="00272DCE">
        <w:rPr>
          <w:i/>
          <w:iCs/>
        </w:rPr>
        <w:t>ajouter</w:t>
      </w:r>
      <w:r w:rsidRPr="00272DCE">
        <w:t xml:space="preserve"> « A cargo </w:t>
      </w:r>
      <w:proofErr w:type="spellStart"/>
      <w:r w:rsidRPr="00272DCE">
        <w:t>heating</w:t>
      </w:r>
      <w:proofErr w:type="spellEnd"/>
      <w:r w:rsidRPr="00272DCE">
        <w:t xml:space="preserve"> system on </w:t>
      </w:r>
      <w:proofErr w:type="spellStart"/>
      <w:r w:rsidRPr="00272DCE">
        <w:t>board</w:t>
      </w:r>
      <w:proofErr w:type="spellEnd"/>
      <w:r w:rsidRPr="00272DCE">
        <w:t xml:space="preserve"> </w:t>
      </w:r>
      <w:proofErr w:type="spellStart"/>
      <w:r w:rsidRPr="00272DCE">
        <w:t>shall</w:t>
      </w:r>
      <w:proofErr w:type="spellEnd"/>
      <w:r w:rsidRPr="00272DCE">
        <w:t xml:space="preserve"> </w:t>
      </w:r>
      <w:proofErr w:type="spellStart"/>
      <w:r w:rsidRPr="00272DCE">
        <w:t>be</w:t>
      </w:r>
      <w:proofErr w:type="spellEnd"/>
      <w:r w:rsidRPr="00272DCE">
        <w:t xml:space="preserve"> </w:t>
      </w:r>
      <w:proofErr w:type="spellStart"/>
      <w:r w:rsidRPr="00272DCE">
        <w:t>required</w:t>
      </w:r>
      <w:proofErr w:type="spellEnd"/>
      <w:r w:rsidR="00461913" w:rsidRPr="00272DCE">
        <w:t> </w:t>
      </w:r>
      <w:r w:rsidRPr="00272DCE">
        <w:t>:</w:t>
      </w:r>
      <w:r w:rsidR="001E02CC" w:rsidRPr="00272DCE">
        <w:t> »</w:t>
      </w:r>
    </w:p>
    <w:p w14:paraId="39738B05" w14:textId="77777777" w:rsidR="00A329CF" w:rsidRPr="00272DCE" w:rsidRDefault="00A329CF" w:rsidP="00461913">
      <w:pPr>
        <w:pStyle w:val="SingleTxtG"/>
        <w:rPr>
          <w:i/>
        </w:rPr>
      </w:pPr>
      <w:r w:rsidRPr="00272DCE">
        <w:rPr>
          <w:i/>
        </w:rPr>
        <w:t>(Document de référence : ECE/TRANS/WP.15/AC.2/2019/17)</w:t>
      </w:r>
    </w:p>
    <w:p w14:paraId="20A91FED" w14:textId="77777777" w:rsidR="00A329CF" w:rsidRPr="00272DCE" w:rsidRDefault="00A329CF" w:rsidP="00461913">
      <w:pPr>
        <w:pStyle w:val="H23G"/>
      </w:pPr>
      <w:r w:rsidRPr="00272DCE">
        <w:tab/>
        <w:t>8.</w:t>
      </w:r>
      <w:r w:rsidRPr="00272DCE">
        <w:tab/>
        <w:t>Chapitre 7.2, 7.2.3.29.1</w:t>
      </w:r>
    </w:p>
    <w:p w14:paraId="133A8A29" w14:textId="77777777" w:rsidR="00A329CF" w:rsidRPr="00272DCE" w:rsidRDefault="00A329CF" w:rsidP="00A329CF">
      <w:pPr>
        <w:pStyle w:val="SingleTxtG"/>
      </w:pPr>
      <w:r w:rsidRPr="00272DCE">
        <w:rPr>
          <w:iCs/>
        </w:rPr>
        <w:t xml:space="preserve">Dans la version anglaise, </w:t>
      </w:r>
      <w:r w:rsidRPr="00272DCE">
        <w:rPr>
          <w:i/>
          <w:iCs/>
        </w:rPr>
        <w:t>remplacer</w:t>
      </w:r>
      <w:r w:rsidRPr="00272DCE">
        <w:rPr>
          <w:iCs/>
        </w:rPr>
        <w:t xml:space="preserve"> « </w:t>
      </w:r>
      <w:r w:rsidRPr="00272DCE">
        <w:t xml:space="preserve">accommodation area » </w:t>
      </w:r>
      <w:r w:rsidRPr="00272DCE">
        <w:rPr>
          <w:i/>
          <w:iCs/>
        </w:rPr>
        <w:t>par</w:t>
      </w:r>
      <w:r w:rsidRPr="00272DCE">
        <w:t xml:space="preserve"> « accommodation areas ».</w:t>
      </w:r>
    </w:p>
    <w:p w14:paraId="47D3102D" w14:textId="77777777" w:rsidR="00A329CF" w:rsidRPr="00272DCE" w:rsidRDefault="00A329CF" w:rsidP="00461913">
      <w:pPr>
        <w:pStyle w:val="H23G"/>
      </w:pPr>
      <w:r w:rsidRPr="00272DCE">
        <w:tab/>
        <w:t>9.</w:t>
      </w:r>
      <w:r w:rsidRPr="00272DCE">
        <w:tab/>
        <w:t>Chapitre 8.1, 8.1.2.1 e)</w:t>
      </w:r>
    </w:p>
    <w:p w14:paraId="07205A8E" w14:textId="77777777" w:rsidR="00A329CF" w:rsidRPr="00272DCE" w:rsidRDefault="00A329CF" w:rsidP="00A329CF">
      <w:pPr>
        <w:pStyle w:val="SingleTxtG"/>
      </w:pPr>
      <w:r w:rsidRPr="00272DCE">
        <w:rPr>
          <w:iCs/>
        </w:rPr>
        <w:t xml:space="preserve">Dans la version anglaise, </w:t>
      </w:r>
      <w:r w:rsidRPr="00272DCE">
        <w:rPr>
          <w:i/>
          <w:iCs/>
        </w:rPr>
        <w:t>remplacer</w:t>
      </w:r>
      <w:r w:rsidRPr="00272DCE">
        <w:rPr>
          <w:iCs/>
        </w:rPr>
        <w:t xml:space="preserve"> « </w:t>
      </w:r>
      <w:r w:rsidRPr="00272DCE">
        <w:t>self-</w:t>
      </w:r>
      <w:proofErr w:type="spellStart"/>
      <w:r w:rsidRPr="00272DCE">
        <w:t>contained</w:t>
      </w:r>
      <w:proofErr w:type="spellEnd"/>
      <w:r w:rsidRPr="00272DCE">
        <w:t xml:space="preserve"> protection </w:t>
      </w:r>
      <w:proofErr w:type="spellStart"/>
      <w:r w:rsidRPr="00272DCE">
        <w:t>systems</w:t>
      </w:r>
      <w:proofErr w:type="spellEnd"/>
      <w:r w:rsidRPr="00272DCE">
        <w:t xml:space="preserve"> » </w:t>
      </w:r>
      <w:r w:rsidRPr="00272DCE">
        <w:rPr>
          <w:i/>
        </w:rPr>
        <w:t>par</w:t>
      </w:r>
      <w:r w:rsidRPr="00272DCE">
        <w:t xml:space="preserve"> « </w:t>
      </w:r>
      <w:proofErr w:type="spellStart"/>
      <w:r w:rsidRPr="00272DCE">
        <w:t>autonomous</w:t>
      </w:r>
      <w:proofErr w:type="spellEnd"/>
      <w:r w:rsidRPr="00272DCE">
        <w:t xml:space="preserve"> protection </w:t>
      </w:r>
      <w:proofErr w:type="spellStart"/>
      <w:r w:rsidRPr="00272DCE">
        <w:t>systems</w:t>
      </w:r>
      <w:proofErr w:type="spellEnd"/>
      <w:r w:rsidRPr="00272DCE">
        <w:t> ».</w:t>
      </w:r>
    </w:p>
    <w:p w14:paraId="7F3EA2A5" w14:textId="77777777" w:rsidR="00A329CF" w:rsidRPr="00272DCE" w:rsidRDefault="00A329CF" w:rsidP="00A329CF">
      <w:pPr>
        <w:pStyle w:val="SingleTxtG"/>
        <w:rPr>
          <w:i/>
          <w:iCs/>
        </w:rPr>
      </w:pPr>
      <w:r w:rsidRPr="00272DCE">
        <w:rPr>
          <w:i/>
        </w:rPr>
        <w:lastRenderedPageBreak/>
        <w:t>(Document de référence : ECE/TRANS/WP.15/AC.2/2019/4)</w:t>
      </w:r>
    </w:p>
    <w:p w14:paraId="20F28276" w14:textId="77777777" w:rsidR="00A329CF" w:rsidRPr="00272DCE" w:rsidRDefault="00A329CF" w:rsidP="002C64BF">
      <w:pPr>
        <w:pStyle w:val="H23G"/>
      </w:pPr>
      <w:r w:rsidRPr="00272DCE">
        <w:tab/>
        <w:t>10.</w:t>
      </w:r>
      <w:r w:rsidRPr="00272DCE">
        <w:tab/>
        <w:t>Chapitre 8.1, 8.1.2.3 t)</w:t>
      </w:r>
    </w:p>
    <w:p w14:paraId="1283BFB6" w14:textId="77777777" w:rsidR="00A329CF" w:rsidRPr="00272DCE" w:rsidRDefault="00A329CF" w:rsidP="002C64BF">
      <w:pPr>
        <w:pStyle w:val="SingleTxtG"/>
      </w:pPr>
      <w:r w:rsidRPr="00272DCE">
        <w:rPr>
          <w:iCs/>
        </w:rPr>
        <w:t xml:space="preserve">Dans la version anglaise, </w:t>
      </w:r>
      <w:r w:rsidRPr="00272DCE">
        <w:rPr>
          <w:i/>
          <w:iCs/>
        </w:rPr>
        <w:t>remplacer</w:t>
      </w:r>
      <w:r w:rsidRPr="00272DCE">
        <w:rPr>
          <w:iCs/>
        </w:rPr>
        <w:t xml:space="preserve"> « </w:t>
      </w:r>
      <w:r w:rsidRPr="00272DCE">
        <w:t>self-</w:t>
      </w:r>
      <w:proofErr w:type="spellStart"/>
      <w:r w:rsidRPr="00272DCE">
        <w:t>contained</w:t>
      </w:r>
      <w:proofErr w:type="spellEnd"/>
      <w:r w:rsidRPr="00272DCE">
        <w:t xml:space="preserve"> protection </w:t>
      </w:r>
      <w:proofErr w:type="spellStart"/>
      <w:r w:rsidRPr="00272DCE">
        <w:t>systems</w:t>
      </w:r>
      <w:proofErr w:type="spellEnd"/>
      <w:r w:rsidRPr="00272DCE">
        <w:t xml:space="preserve"> » </w:t>
      </w:r>
      <w:r w:rsidRPr="00272DCE">
        <w:rPr>
          <w:i/>
        </w:rPr>
        <w:t>par</w:t>
      </w:r>
      <w:r w:rsidRPr="00272DCE">
        <w:t xml:space="preserve"> « </w:t>
      </w:r>
      <w:proofErr w:type="spellStart"/>
      <w:r w:rsidRPr="00272DCE">
        <w:t>autonomous</w:t>
      </w:r>
      <w:proofErr w:type="spellEnd"/>
      <w:r w:rsidRPr="00272DCE">
        <w:t xml:space="preserve"> protection </w:t>
      </w:r>
      <w:proofErr w:type="spellStart"/>
      <w:r w:rsidRPr="00272DCE">
        <w:t>systems</w:t>
      </w:r>
      <w:proofErr w:type="spellEnd"/>
      <w:r w:rsidRPr="00272DCE">
        <w:t> ».</w:t>
      </w:r>
    </w:p>
    <w:p w14:paraId="635E7099" w14:textId="77777777" w:rsidR="00A329CF" w:rsidRPr="00272DCE" w:rsidRDefault="00A329CF" w:rsidP="00A329CF">
      <w:pPr>
        <w:pStyle w:val="SingleTxtG"/>
        <w:rPr>
          <w:i/>
          <w:iCs/>
        </w:rPr>
      </w:pPr>
      <w:r w:rsidRPr="00272DCE">
        <w:rPr>
          <w:i/>
        </w:rPr>
        <w:t>(Document de référence : ECE/TRANS/WP.15/AC.2/2019/4)</w:t>
      </w:r>
    </w:p>
    <w:p w14:paraId="3912825D" w14:textId="77777777" w:rsidR="00A329CF" w:rsidRPr="00272DCE" w:rsidRDefault="00A329CF" w:rsidP="002C64BF">
      <w:pPr>
        <w:pStyle w:val="H23G"/>
      </w:pPr>
      <w:r w:rsidRPr="00272DCE">
        <w:tab/>
        <w:t>11.</w:t>
      </w:r>
      <w:r w:rsidRPr="00272DCE">
        <w:tab/>
        <w:t>Chapitre 8.1, 8.1.2.3 u)</w:t>
      </w:r>
    </w:p>
    <w:p w14:paraId="161FE907" w14:textId="77777777" w:rsidR="00A329CF" w:rsidRPr="00272DCE" w:rsidRDefault="00A329CF" w:rsidP="002C64BF">
      <w:pPr>
        <w:pStyle w:val="SingleTxtG"/>
      </w:pPr>
      <w:r w:rsidRPr="00272DCE">
        <w:rPr>
          <w:iCs/>
        </w:rPr>
        <w:t xml:space="preserve">Dans la </w:t>
      </w:r>
      <w:r w:rsidRPr="00272DCE">
        <w:t>version</w:t>
      </w:r>
      <w:r w:rsidRPr="00272DCE">
        <w:rPr>
          <w:iCs/>
        </w:rPr>
        <w:t xml:space="preserve"> anglaise, </w:t>
      </w:r>
      <w:r w:rsidRPr="00272DCE">
        <w:rPr>
          <w:i/>
          <w:iCs/>
        </w:rPr>
        <w:t>remplacer</w:t>
      </w:r>
      <w:r w:rsidRPr="00272DCE">
        <w:rPr>
          <w:iCs/>
        </w:rPr>
        <w:t xml:space="preserve"> « </w:t>
      </w:r>
      <w:r w:rsidRPr="00272DCE">
        <w:t>self-</w:t>
      </w:r>
      <w:proofErr w:type="spellStart"/>
      <w:r w:rsidRPr="00272DCE">
        <w:t>contained</w:t>
      </w:r>
      <w:proofErr w:type="spellEnd"/>
      <w:r w:rsidRPr="00272DCE">
        <w:t xml:space="preserve"> protection </w:t>
      </w:r>
      <w:proofErr w:type="spellStart"/>
      <w:r w:rsidRPr="00272DCE">
        <w:t>systems</w:t>
      </w:r>
      <w:proofErr w:type="spellEnd"/>
      <w:r w:rsidRPr="00272DCE">
        <w:t xml:space="preserve"> » </w:t>
      </w:r>
      <w:r w:rsidRPr="00272DCE">
        <w:rPr>
          <w:i/>
        </w:rPr>
        <w:t>par</w:t>
      </w:r>
      <w:r w:rsidRPr="00272DCE">
        <w:t xml:space="preserve"> « </w:t>
      </w:r>
      <w:proofErr w:type="spellStart"/>
      <w:r w:rsidRPr="00272DCE">
        <w:t>autonomous</w:t>
      </w:r>
      <w:proofErr w:type="spellEnd"/>
      <w:r w:rsidRPr="00272DCE">
        <w:t xml:space="preserve"> protection </w:t>
      </w:r>
      <w:proofErr w:type="spellStart"/>
      <w:r w:rsidRPr="00272DCE">
        <w:t>systems</w:t>
      </w:r>
      <w:proofErr w:type="spellEnd"/>
      <w:r w:rsidRPr="00272DCE">
        <w:t> ».</w:t>
      </w:r>
    </w:p>
    <w:p w14:paraId="613B70B5" w14:textId="77777777" w:rsidR="00A329CF" w:rsidRPr="00272DCE" w:rsidRDefault="00A329CF" w:rsidP="002C64BF">
      <w:pPr>
        <w:pStyle w:val="SingleTxtG"/>
        <w:rPr>
          <w:i/>
          <w:iCs/>
        </w:rPr>
      </w:pPr>
      <w:r w:rsidRPr="00272DCE">
        <w:rPr>
          <w:i/>
        </w:rPr>
        <w:t>(Document de référence : ECE/TRANS/WP.15/AC.2/2019/4)</w:t>
      </w:r>
    </w:p>
    <w:p w14:paraId="405FAE50" w14:textId="77777777" w:rsidR="00A329CF" w:rsidRPr="00272DCE" w:rsidRDefault="00A329CF" w:rsidP="002C64BF">
      <w:pPr>
        <w:pStyle w:val="H23G"/>
      </w:pPr>
      <w:r w:rsidRPr="00272DCE">
        <w:tab/>
        <w:t>12.</w:t>
      </w:r>
      <w:r w:rsidRPr="00272DCE">
        <w:tab/>
        <w:t>Chapitre 8.1, 8.1.7, titre</w:t>
      </w:r>
    </w:p>
    <w:p w14:paraId="31AF15BF" w14:textId="77777777" w:rsidR="00A329CF" w:rsidRPr="00272DCE" w:rsidRDefault="00A329CF" w:rsidP="002C64BF">
      <w:pPr>
        <w:pStyle w:val="SingleTxtG"/>
      </w:pPr>
      <w:r w:rsidRPr="00272DCE">
        <w:rPr>
          <w:iCs/>
        </w:rPr>
        <w:t xml:space="preserve">Dans la version anglaise, </w:t>
      </w:r>
      <w:r w:rsidRPr="00272DCE">
        <w:rPr>
          <w:i/>
          <w:iCs/>
        </w:rPr>
        <w:t>remplacer</w:t>
      </w:r>
      <w:r w:rsidRPr="00272DCE">
        <w:rPr>
          <w:iCs/>
        </w:rPr>
        <w:t xml:space="preserve"> « </w:t>
      </w:r>
      <w:r w:rsidRPr="00272DCE">
        <w:t>self-</w:t>
      </w:r>
      <w:proofErr w:type="spellStart"/>
      <w:r w:rsidRPr="00272DCE">
        <w:t>contained</w:t>
      </w:r>
      <w:proofErr w:type="spellEnd"/>
      <w:r w:rsidRPr="00272DCE">
        <w:t xml:space="preserve"> protection </w:t>
      </w:r>
      <w:proofErr w:type="spellStart"/>
      <w:r w:rsidRPr="00272DCE">
        <w:t>systems</w:t>
      </w:r>
      <w:proofErr w:type="spellEnd"/>
      <w:r w:rsidRPr="00272DCE">
        <w:t xml:space="preserve"> » </w:t>
      </w:r>
      <w:r w:rsidRPr="00272DCE">
        <w:rPr>
          <w:i/>
        </w:rPr>
        <w:t>par</w:t>
      </w:r>
      <w:r w:rsidRPr="00272DCE">
        <w:t xml:space="preserve"> « </w:t>
      </w:r>
      <w:proofErr w:type="spellStart"/>
      <w:r w:rsidRPr="00272DCE">
        <w:t>autonomous</w:t>
      </w:r>
      <w:proofErr w:type="spellEnd"/>
      <w:r w:rsidRPr="00272DCE">
        <w:t xml:space="preserve"> protection </w:t>
      </w:r>
      <w:proofErr w:type="spellStart"/>
      <w:r w:rsidRPr="00272DCE">
        <w:t>systems</w:t>
      </w:r>
      <w:proofErr w:type="spellEnd"/>
      <w:r w:rsidRPr="00272DCE">
        <w:t> ».</w:t>
      </w:r>
    </w:p>
    <w:p w14:paraId="24E1FC55" w14:textId="77777777" w:rsidR="00A329CF" w:rsidRPr="00272DCE" w:rsidRDefault="00A329CF" w:rsidP="00A329CF">
      <w:pPr>
        <w:pStyle w:val="SingleTxtG"/>
        <w:rPr>
          <w:i/>
          <w:iCs/>
        </w:rPr>
      </w:pPr>
      <w:r w:rsidRPr="00272DCE">
        <w:rPr>
          <w:i/>
        </w:rPr>
        <w:t>(Document de référence : ECE/TRANS/WP.15/AC.2/2019/4)</w:t>
      </w:r>
    </w:p>
    <w:p w14:paraId="0C9A0859" w14:textId="77777777" w:rsidR="00A329CF" w:rsidRPr="00272DCE" w:rsidRDefault="00A329CF" w:rsidP="002C64BF">
      <w:pPr>
        <w:pStyle w:val="H23G"/>
      </w:pPr>
      <w:r w:rsidRPr="00272DCE">
        <w:tab/>
        <w:t>13.</w:t>
      </w:r>
      <w:r w:rsidRPr="00272DCE">
        <w:tab/>
        <w:t>Chapitre 8.1, 8.1.7.2, deuxième paragraphe</w:t>
      </w:r>
    </w:p>
    <w:p w14:paraId="0C3EEC0B" w14:textId="77777777" w:rsidR="00A329CF" w:rsidRPr="00272DCE" w:rsidRDefault="00A329CF" w:rsidP="002C64BF">
      <w:pPr>
        <w:pStyle w:val="SingleTxtG"/>
      </w:pPr>
      <w:r w:rsidRPr="00272DCE">
        <w:rPr>
          <w:iCs/>
        </w:rPr>
        <w:t xml:space="preserve">Dans la version anglaise, </w:t>
      </w:r>
      <w:r w:rsidRPr="00272DCE">
        <w:rPr>
          <w:i/>
          <w:iCs/>
        </w:rPr>
        <w:t>remplacer</w:t>
      </w:r>
      <w:r w:rsidRPr="00272DCE">
        <w:rPr>
          <w:iCs/>
        </w:rPr>
        <w:t xml:space="preserve"> « </w:t>
      </w:r>
      <w:r w:rsidRPr="00272DCE">
        <w:t>self-</w:t>
      </w:r>
      <w:proofErr w:type="spellStart"/>
      <w:r w:rsidRPr="00272DCE">
        <w:t>contained</w:t>
      </w:r>
      <w:proofErr w:type="spellEnd"/>
      <w:r w:rsidRPr="00272DCE">
        <w:t xml:space="preserve"> protection </w:t>
      </w:r>
      <w:proofErr w:type="spellStart"/>
      <w:r w:rsidRPr="00272DCE">
        <w:t>systems</w:t>
      </w:r>
      <w:proofErr w:type="spellEnd"/>
      <w:r w:rsidRPr="00272DCE">
        <w:t xml:space="preserve"> » </w:t>
      </w:r>
      <w:r w:rsidRPr="00272DCE">
        <w:rPr>
          <w:i/>
        </w:rPr>
        <w:t>par</w:t>
      </w:r>
      <w:r w:rsidRPr="00272DCE">
        <w:t xml:space="preserve"> « </w:t>
      </w:r>
      <w:proofErr w:type="spellStart"/>
      <w:r w:rsidRPr="00272DCE">
        <w:t>autonomous</w:t>
      </w:r>
      <w:proofErr w:type="spellEnd"/>
      <w:r w:rsidRPr="00272DCE">
        <w:t xml:space="preserve"> protection </w:t>
      </w:r>
      <w:proofErr w:type="spellStart"/>
      <w:r w:rsidRPr="00272DCE">
        <w:t>systems</w:t>
      </w:r>
      <w:proofErr w:type="spellEnd"/>
      <w:r w:rsidRPr="00272DCE">
        <w:t> ».</w:t>
      </w:r>
    </w:p>
    <w:p w14:paraId="64F20DD4" w14:textId="77777777" w:rsidR="006B2D07" w:rsidRPr="00272DCE" w:rsidRDefault="00A329CF" w:rsidP="002C64BF">
      <w:pPr>
        <w:pStyle w:val="SingleTxtG"/>
        <w:rPr>
          <w:i/>
        </w:rPr>
      </w:pPr>
      <w:r w:rsidRPr="00272DCE">
        <w:rPr>
          <w:i/>
        </w:rPr>
        <w:t>(Document de référence : ECE/TRANS/WP.15/AC.2/2019/4)</w:t>
      </w:r>
    </w:p>
    <w:p w14:paraId="350961D2" w14:textId="77777777" w:rsidR="000621C9" w:rsidRPr="00272DCE" w:rsidRDefault="00402E88" w:rsidP="000621C9">
      <w:pPr>
        <w:pStyle w:val="HChG"/>
      </w:pPr>
      <w:r w:rsidRPr="00272DCE">
        <w:br w:type="page"/>
      </w:r>
      <w:r w:rsidR="000621C9" w:rsidRPr="00272DCE">
        <w:lastRenderedPageBreak/>
        <w:t>Annexe III</w:t>
      </w:r>
    </w:p>
    <w:p w14:paraId="43FA8D08" w14:textId="77777777" w:rsidR="000621C9" w:rsidRPr="00272DCE" w:rsidRDefault="000621C9" w:rsidP="000621C9">
      <w:pPr>
        <w:pStyle w:val="SingleTxtG"/>
        <w:jc w:val="right"/>
      </w:pPr>
      <w:r w:rsidRPr="00272DCE">
        <w:t>[Original : anglais et français]</w:t>
      </w:r>
    </w:p>
    <w:p w14:paraId="7E013A47" w14:textId="77777777" w:rsidR="000621C9" w:rsidRPr="00272DCE" w:rsidRDefault="000621C9" w:rsidP="000621C9">
      <w:pPr>
        <w:pStyle w:val="HChG"/>
        <w:rPr>
          <w:b w:val="0"/>
          <w:sz w:val="22"/>
          <w:szCs w:val="22"/>
        </w:rPr>
      </w:pPr>
      <w:r w:rsidRPr="00272DCE">
        <w:tab/>
      </w:r>
      <w:r w:rsidRPr="00272DCE">
        <w:tab/>
        <w:t>Propositions de corrections au Règlement annexé à l</w:t>
      </w:r>
      <w:r w:rsidR="00681934" w:rsidRPr="00272DCE">
        <w:t>’</w:t>
      </w:r>
      <w:r w:rsidRPr="00272DCE">
        <w:t>ADN</w:t>
      </w:r>
      <w:r w:rsidRPr="00272DCE">
        <w:br/>
      </w:r>
      <w:r w:rsidRPr="00272DCE">
        <w:rPr>
          <w:b w:val="0"/>
          <w:sz w:val="22"/>
          <w:szCs w:val="22"/>
        </w:rPr>
        <w:t>(Ne nécessitant pas l</w:t>
      </w:r>
      <w:r w:rsidR="00681934" w:rsidRPr="00272DCE">
        <w:rPr>
          <w:b w:val="0"/>
          <w:sz w:val="22"/>
          <w:szCs w:val="22"/>
        </w:rPr>
        <w:t>’</w:t>
      </w:r>
      <w:r w:rsidRPr="00272DCE">
        <w:rPr>
          <w:b w:val="0"/>
          <w:sz w:val="22"/>
          <w:szCs w:val="22"/>
        </w:rPr>
        <w:t>acceptation par les Parties contractantes)</w:t>
      </w:r>
    </w:p>
    <w:p w14:paraId="1025B5D9" w14:textId="77777777" w:rsidR="00681934" w:rsidRPr="00272DCE" w:rsidRDefault="00681934" w:rsidP="00681934">
      <w:pPr>
        <w:pStyle w:val="H23G"/>
      </w:pPr>
      <w:r w:rsidRPr="00272DCE">
        <w:tab/>
        <w:t>1.</w:t>
      </w:r>
      <w:r w:rsidRPr="00272DCE">
        <w:tab/>
        <w:t>Chapitre 1.2, définition de « Matériel électrique à risque limité d’explosion »</w:t>
      </w:r>
    </w:p>
    <w:p w14:paraId="11BE09A5" w14:textId="77777777" w:rsidR="00681934" w:rsidRPr="00272DCE" w:rsidRDefault="00681934" w:rsidP="00681934">
      <w:pPr>
        <w:pStyle w:val="SingleTxtG"/>
      </w:pPr>
      <w:r w:rsidRPr="00272DCE">
        <w:rPr>
          <w:i/>
        </w:rPr>
        <w:t>Remplacer</w:t>
      </w:r>
      <w:r w:rsidRPr="00272DCE">
        <w:t xml:space="preserve"> « matériel électrique » </w:t>
      </w:r>
      <w:r w:rsidRPr="00272DCE">
        <w:rPr>
          <w:i/>
        </w:rPr>
        <w:t>par</w:t>
      </w:r>
      <w:r w:rsidRPr="00272DCE">
        <w:t xml:space="preserve"> « installations et équipements électriques ».</w:t>
      </w:r>
    </w:p>
    <w:p w14:paraId="4284C12E" w14:textId="77777777" w:rsidR="00681934" w:rsidRPr="00272DCE" w:rsidRDefault="00681934" w:rsidP="00681934">
      <w:pPr>
        <w:pStyle w:val="SingleTxtG"/>
        <w:rPr>
          <w:i/>
          <w:iCs/>
        </w:rPr>
      </w:pPr>
      <w:r w:rsidRPr="00272DCE">
        <w:rPr>
          <w:i/>
        </w:rPr>
        <w:t>(Document de référence : ECE/TRANS/WP.15/AC.2/2019/4)</w:t>
      </w:r>
    </w:p>
    <w:p w14:paraId="79F3CB10" w14:textId="77777777" w:rsidR="00681934" w:rsidRPr="00272DCE" w:rsidRDefault="00681934" w:rsidP="00681934">
      <w:pPr>
        <w:pStyle w:val="H23G"/>
      </w:pPr>
      <w:r w:rsidRPr="00272DCE">
        <w:tab/>
        <w:t>2.</w:t>
      </w:r>
      <w:r w:rsidRPr="00272DCE">
        <w:tab/>
        <w:t>Chapitre 1.6, 1.6.7.2.2.2, disposition transitoire pour le 9.3.3.52.1</w:t>
      </w:r>
    </w:p>
    <w:p w14:paraId="18C21E59" w14:textId="77777777" w:rsidR="00681934" w:rsidRPr="00272DCE" w:rsidRDefault="00681934" w:rsidP="00681934">
      <w:pPr>
        <w:pStyle w:val="SingleTxtG"/>
      </w:pPr>
      <w:r w:rsidRPr="00272DCE">
        <w:rPr>
          <w:i/>
        </w:rPr>
        <w:t>Remplacer</w:t>
      </w:r>
      <w:r w:rsidRPr="00272DCE">
        <w:t xml:space="preserve"> « installations électriques » </w:t>
      </w:r>
      <w:r w:rsidRPr="00272DCE">
        <w:rPr>
          <w:i/>
        </w:rPr>
        <w:t>par</w:t>
      </w:r>
      <w:r w:rsidRPr="00272DCE">
        <w:t xml:space="preserve"> « installations et équipements électriques ».</w:t>
      </w:r>
    </w:p>
    <w:p w14:paraId="6A1307C8" w14:textId="77777777" w:rsidR="00681934" w:rsidRPr="00272DCE" w:rsidRDefault="00681934" w:rsidP="00681934">
      <w:pPr>
        <w:pStyle w:val="SingleTxtG"/>
        <w:rPr>
          <w:i/>
          <w:iCs/>
        </w:rPr>
      </w:pPr>
      <w:r w:rsidRPr="00272DCE">
        <w:rPr>
          <w:i/>
        </w:rPr>
        <w:t>(Document de référence : ECE/TRANS/WP.15/AC.2/2019/4)</w:t>
      </w:r>
    </w:p>
    <w:p w14:paraId="771E807C" w14:textId="77777777" w:rsidR="00681934" w:rsidRPr="00272DCE" w:rsidRDefault="00681934" w:rsidP="00681934">
      <w:pPr>
        <w:pStyle w:val="H23G"/>
      </w:pPr>
      <w:r w:rsidRPr="00272DCE">
        <w:tab/>
        <w:t>3.</w:t>
      </w:r>
      <w:r w:rsidRPr="00272DCE">
        <w:tab/>
        <w:t>Chapitre 1.6, 1.6.7.2.2.2, disposition transitoire pour le 9.3.3.52.2</w:t>
      </w:r>
    </w:p>
    <w:p w14:paraId="68340669" w14:textId="77777777" w:rsidR="00681934" w:rsidRPr="00272DCE" w:rsidRDefault="00681934" w:rsidP="00681934">
      <w:pPr>
        <w:pStyle w:val="SingleTxtG"/>
      </w:pPr>
      <w:r w:rsidRPr="00272DCE">
        <w:rPr>
          <w:i/>
        </w:rPr>
        <w:t>Remplacer</w:t>
      </w:r>
      <w:r w:rsidRPr="00272DCE">
        <w:t xml:space="preserve"> « équipements électriques/émetteurs de sonar » </w:t>
      </w:r>
      <w:r w:rsidRPr="00272DCE">
        <w:rPr>
          <w:i/>
        </w:rPr>
        <w:t>par</w:t>
      </w:r>
      <w:r w:rsidRPr="00272DCE">
        <w:t xml:space="preserve"> « installations et équipements électriques/émetteurs de sonar ».</w:t>
      </w:r>
    </w:p>
    <w:p w14:paraId="2EE6E39B" w14:textId="77777777" w:rsidR="00681934" w:rsidRPr="00272DCE" w:rsidRDefault="00681934" w:rsidP="00681934">
      <w:pPr>
        <w:pStyle w:val="SingleTxtG"/>
        <w:rPr>
          <w:i/>
        </w:rPr>
      </w:pPr>
      <w:r w:rsidRPr="00272DCE">
        <w:rPr>
          <w:i/>
        </w:rPr>
        <w:t>(Document de référence : ECE/TRANS/WP.15/AC.2/2019/4)</w:t>
      </w:r>
    </w:p>
    <w:p w14:paraId="6AB675A4" w14:textId="77777777" w:rsidR="00681934" w:rsidRPr="00272DCE" w:rsidRDefault="00681934" w:rsidP="00681934">
      <w:pPr>
        <w:pStyle w:val="H23G"/>
      </w:pPr>
      <w:bookmarkStart w:id="15" w:name="_Hlk9321803"/>
      <w:r w:rsidRPr="00272DCE">
        <w:tab/>
        <w:t>4.</w:t>
      </w:r>
      <w:r w:rsidRPr="00272DCE">
        <w:tab/>
        <w:t>Chapitre 1.6, 1.6.7.2.2.2, disposition transitoire pour le 9.3.x.52.3, dernière phrase</w:t>
      </w:r>
    </w:p>
    <w:p w14:paraId="74CC0797" w14:textId="77777777" w:rsidR="00681934" w:rsidRPr="00272DCE" w:rsidRDefault="00681934" w:rsidP="00681934">
      <w:pPr>
        <w:pStyle w:val="SingleTxtG"/>
      </w:pPr>
      <w:r w:rsidRPr="00272DCE">
        <w:rPr>
          <w:i/>
        </w:rPr>
        <w:t>Remplacer</w:t>
      </w:r>
      <w:r w:rsidRPr="00272DCE">
        <w:t xml:space="preserve"> « Déconnexion de ces installations depuis un emplacement centralisé » </w:t>
      </w:r>
      <w:r w:rsidRPr="00272DCE">
        <w:rPr>
          <w:i/>
        </w:rPr>
        <w:t>par</w:t>
      </w:r>
      <w:r w:rsidRPr="00272DCE">
        <w:t xml:space="preserve"> « Déconnexion de ces installations et équipements depuis un emplacement centralisé ».</w:t>
      </w:r>
    </w:p>
    <w:bookmarkEnd w:id="15"/>
    <w:p w14:paraId="524C2517" w14:textId="77777777" w:rsidR="00681934" w:rsidRPr="00272DCE" w:rsidRDefault="00681934" w:rsidP="00681934">
      <w:pPr>
        <w:pStyle w:val="SingleTxtG"/>
        <w:rPr>
          <w:i/>
        </w:rPr>
      </w:pPr>
      <w:r w:rsidRPr="00272DCE">
        <w:rPr>
          <w:i/>
        </w:rPr>
        <w:t>(Document de référence : ECE/TRANS/WP.15/AC.2/2019/4)</w:t>
      </w:r>
    </w:p>
    <w:p w14:paraId="4E37B94C" w14:textId="77777777" w:rsidR="00681934" w:rsidRPr="00272DCE" w:rsidRDefault="00681934" w:rsidP="00681934">
      <w:pPr>
        <w:pStyle w:val="H23G"/>
      </w:pPr>
      <w:r w:rsidRPr="00272DCE">
        <w:tab/>
        <w:t>5.</w:t>
      </w:r>
      <w:r w:rsidRPr="00272DCE">
        <w:tab/>
        <w:t>Chapitre 1.6, 1.6.7.2.2.2, disposition transitoire pour les 9.3.1.53.1, 9.3.2.53.1 et 9.3.3.53.1, paragraphe d)</w:t>
      </w:r>
    </w:p>
    <w:p w14:paraId="4ACC7F8F" w14:textId="77777777" w:rsidR="00681934" w:rsidRPr="00272DCE" w:rsidRDefault="00681934" w:rsidP="00681934">
      <w:pPr>
        <w:pStyle w:val="SingleTxtG"/>
      </w:pPr>
      <w:r w:rsidRPr="00272DCE">
        <w:rPr>
          <w:i/>
        </w:rPr>
        <w:t>Remplacer</w:t>
      </w:r>
      <w:r w:rsidRPr="00272DCE">
        <w:t xml:space="preserve"> « après le 31 décembre1977 » </w:t>
      </w:r>
      <w:r w:rsidRPr="00272DCE">
        <w:rPr>
          <w:i/>
        </w:rPr>
        <w:t>par</w:t>
      </w:r>
      <w:r w:rsidRPr="00272DCE">
        <w:t xml:space="preserve"> « avant le 31 décembre 1977 ».</w:t>
      </w:r>
    </w:p>
    <w:p w14:paraId="224680D2" w14:textId="77777777" w:rsidR="00681934" w:rsidRPr="00272DCE" w:rsidRDefault="00681934" w:rsidP="00681934">
      <w:pPr>
        <w:pStyle w:val="SingleTxtG"/>
        <w:rPr>
          <w:i/>
        </w:rPr>
      </w:pPr>
      <w:r w:rsidRPr="00272DCE">
        <w:rPr>
          <w:i/>
        </w:rPr>
        <w:t>(Document de référence : ECE/TRANS/WP.15/AC.2/2019/4)</w:t>
      </w:r>
    </w:p>
    <w:p w14:paraId="05C8B309" w14:textId="77777777" w:rsidR="00681934" w:rsidRPr="00272DCE" w:rsidRDefault="00681934" w:rsidP="00681934">
      <w:pPr>
        <w:pStyle w:val="H23G"/>
      </w:pPr>
      <w:r w:rsidRPr="00272DCE">
        <w:tab/>
        <w:t>6.</w:t>
      </w:r>
      <w:r w:rsidRPr="00272DCE">
        <w:tab/>
        <w:t>Chapitre 3.2, 3.2.3.3, schéma A, en-tête de la troisième colonne</w:t>
      </w:r>
    </w:p>
    <w:p w14:paraId="7F892354" w14:textId="77777777" w:rsidR="00681934" w:rsidRPr="00272DCE" w:rsidRDefault="00681934" w:rsidP="00681934">
      <w:pPr>
        <w:pStyle w:val="SingleTxtG"/>
        <w:rPr>
          <w:i/>
          <w:iCs/>
        </w:rPr>
      </w:pPr>
      <w:r w:rsidRPr="00272DCE">
        <w:rPr>
          <w:i/>
        </w:rPr>
        <w:t>Remplacer</w:t>
      </w:r>
      <w:r w:rsidRPr="00272DCE">
        <w:t xml:space="preserve"> « Pression interne maximale à une température du liquide de 30 °C et une température de la phase gazeuse de 37,8 °C &gt; 50 kPa » </w:t>
      </w:r>
      <w:r w:rsidRPr="00272DCE">
        <w:rPr>
          <w:i/>
        </w:rPr>
        <w:t>par</w:t>
      </w:r>
      <w:r w:rsidRPr="00272DCE">
        <w:t xml:space="preserve"> « Pression interne maximale à une température du liquide de 30 °C et une température de la phase gazeuse de 37,8 °C ≤ 50 kPa ».</w:t>
      </w:r>
    </w:p>
    <w:p w14:paraId="4B1D3D29" w14:textId="51550C81" w:rsidR="00681934" w:rsidRPr="00272DCE" w:rsidRDefault="00681934" w:rsidP="00681934">
      <w:pPr>
        <w:pStyle w:val="SingleTxtG"/>
        <w:rPr>
          <w:i/>
        </w:rPr>
      </w:pPr>
      <w:r w:rsidRPr="00272DCE">
        <w:rPr>
          <w:i/>
        </w:rPr>
        <w:t>(Document de référence : document INF.10)</w:t>
      </w:r>
    </w:p>
    <w:p w14:paraId="3BC01A3F" w14:textId="77777777" w:rsidR="00681934" w:rsidRPr="00272DCE" w:rsidRDefault="00681934" w:rsidP="00681934">
      <w:pPr>
        <w:pStyle w:val="H23G"/>
      </w:pPr>
      <w:r w:rsidRPr="00272DCE">
        <w:tab/>
        <w:t>7.</w:t>
      </w:r>
      <w:r w:rsidRPr="00272DCE">
        <w:tab/>
        <w:t>Chapitre 8.1, 8.1.2.1 e)</w:t>
      </w:r>
    </w:p>
    <w:p w14:paraId="53BBC03F" w14:textId="77777777" w:rsidR="00681934" w:rsidRPr="00272DCE" w:rsidRDefault="00681934" w:rsidP="00681934">
      <w:pPr>
        <w:pStyle w:val="SingleTxtG"/>
      </w:pPr>
      <w:r w:rsidRPr="00272DCE">
        <w:rPr>
          <w:i/>
        </w:rPr>
        <w:t>Remplacer</w:t>
      </w:r>
      <w:r w:rsidRPr="00272DCE">
        <w:t xml:space="preserve"> « installations » </w:t>
      </w:r>
      <w:r w:rsidRPr="00272DCE">
        <w:rPr>
          <w:i/>
        </w:rPr>
        <w:t>par</w:t>
      </w:r>
      <w:r w:rsidRPr="00272DCE">
        <w:t xml:space="preserve"> « installations et équipements ».</w:t>
      </w:r>
    </w:p>
    <w:p w14:paraId="64CB1729" w14:textId="77777777" w:rsidR="00681934" w:rsidRPr="00272DCE" w:rsidRDefault="00681934" w:rsidP="00681934">
      <w:pPr>
        <w:pStyle w:val="SingleTxtG"/>
        <w:rPr>
          <w:i/>
          <w:iCs/>
        </w:rPr>
      </w:pPr>
      <w:r w:rsidRPr="00272DCE">
        <w:rPr>
          <w:i/>
        </w:rPr>
        <w:t>(Document de référence : ECE/TRANS/WP.15/AC.2/2019/4)</w:t>
      </w:r>
    </w:p>
    <w:p w14:paraId="5E447DC6" w14:textId="77777777" w:rsidR="00681934" w:rsidRPr="00272DCE" w:rsidRDefault="00681934" w:rsidP="00681934">
      <w:pPr>
        <w:pStyle w:val="H23G"/>
      </w:pPr>
      <w:r w:rsidRPr="00272DCE">
        <w:tab/>
        <w:t>8.</w:t>
      </w:r>
      <w:r w:rsidRPr="00272DCE">
        <w:tab/>
        <w:t xml:space="preserve">Chapitre 8.6, 8.6.1.1, </w:t>
      </w:r>
      <w:r w:rsidR="00265D02" w:rsidRPr="00272DCE">
        <w:t>m</w:t>
      </w:r>
      <w:r w:rsidRPr="00272DCE">
        <w:t>odèle de certificat d’agrément, rubrique 4</w:t>
      </w:r>
    </w:p>
    <w:p w14:paraId="0499F4C4" w14:textId="77777777" w:rsidR="00681934" w:rsidRPr="00272DCE" w:rsidRDefault="00681934" w:rsidP="00681934">
      <w:pPr>
        <w:pStyle w:val="SingleTxtG"/>
        <w:rPr>
          <w:iCs/>
        </w:rPr>
      </w:pPr>
      <w:r w:rsidRPr="00272DCE">
        <w:rPr>
          <w:i/>
        </w:rPr>
        <w:t>Remplacer</w:t>
      </w:r>
      <w:r w:rsidRPr="00272DCE">
        <w:t xml:space="preserve"> « Installations et équipements électriques et non électriques destinés à être utilisés dans des zones protégées » </w:t>
      </w:r>
      <w:r w:rsidRPr="00272DCE">
        <w:rPr>
          <w:i/>
        </w:rPr>
        <w:t>par</w:t>
      </w:r>
      <w:r w:rsidRPr="00272DCE">
        <w:t xml:space="preserve"> « Installations et équipements électriques et non électriques stationnaires destinés à être utilisés dans des zones protégées ».</w:t>
      </w:r>
    </w:p>
    <w:p w14:paraId="214FC2E5" w14:textId="77777777" w:rsidR="00681934" w:rsidRPr="00272DCE" w:rsidRDefault="00681934" w:rsidP="00681934">
      <w:pPr>
        <w:pStyle w:val="SingleTxtG"/>
        <w:rPr>
          <w:i/>
          <w:iCs/>
        </w:rPr>
      </w:pPr>
      <w:r w:rsidRPr="00272DCE">
        <w:rPr>
          <w:i/>
        </w:rPr>
        <w:t>(Document de référence : ECE/TRANS/WP.15/AC.2/2019/4)</w:t>
      </w:r>
    </w:p>
    <w:p w14:paraId="0BF48DCE" w14:textId="77777777" w:rsidR="00681934" w:rsidRPr="00272DCE" w:rsidRDefault="00681934" w:rsidP="00681934">
      <w:pPr>
        <w:pStyle w:val="H23G"/>
      </w:pPr>
      <w:r w:rsidRPr="00272DCE">
        <w:lastRenderedPageBreak/>
        <w:tab/>
        <w:t>9.</w:t>
      </w:r>
      <w:r w:rsidRPr="00272DCE">
        <w:tab/>
        <w:t xml:space="preserve">Chapitre 8.6, 8.6.1.2, </w:t>
      </w:r>
      <w:r w:rsidR="00265D02" w:rsidRPr="00272DCE">
        <w:t>m</w:t>
      </w:r>
      <w:r w:rsidRPr="00272DCE">
        <w:t>odèle de certificat d’agrément, rubrique 4</w:t>
      </w:r>
    </w:p>
    <w:p w14:paraId="3FF0DDAB" w14:textId="77777777" w:rsidR="00681934" w:rsidRPr="00272DCE" w:rsidRDefault="00681934" w:rsidP="00681934">
      <w:pPr>
        <w:pStyle w:val="SingleTxtG"/>
        <w:rPr>
          <w:iCs/>
        </w:rPr>
      </w:pPr>
      <w:r w:rsidRPr="00272DCE">
        <w:rPr>
          <w:i/>
        </w:rPr>
        <w:t>Remplacer</w:t>
      </w:r>
      <w:r w:rsidRPr="00272DCE">
        <w:t xml:space="preserve"> « Installations et équipements électriques et non électriques destinés à être utilisés dans des zones protégées » </w:t>
      </w:r>
      <w:r w:rsidRPr="00272DCE">
        <w:rPr>
          <w:i/>
        </w:rPr>
        <w:t>par</w:t>
      </w:r>
      <w:r w:rsidRPr="00272DCE">
        <w:t xml:space="preserve"> « Installations et équipements électriques et non électriques stationnaires destinés à être utilisés dans des zones protégées ».</w:t>
      </w:r>
    </w:p>
    <w:p w14:paraId="1674CE0D" w14:textId="77777777" w:rsidR="00681934" w:rsidRPr="00272DCE" w:rsidRDefault="00681934" w:rsidP="00681934">
      <w:pPr>
        <w:pStyle w:val="SingleTxtG"/>
        <w:rPr>
          <w:i/>
          <w:iCs/>
        </w:rPr>
      </w:pPr>
      <w:r w:rsidRPr="00272DCE">
        <w:rPr>
          <w:i/>
        </w:rPr>
        <w:t>(Document de référence : ECE/TRANS/WP.15/AC.2/2019/4)</w:t>
      </w:r>
    </w:p>
    <w:p w14:paraId="1A1195E7" w14:textId="77777777" w:rsidR="00681934" w:rsidRPr="00272DCE" w:rsidRDefault="00681934" w:rsidP="00681934">
      <w:pPr>
        <w:pStyle w:val="H23G"/>
      </w:pPr>
      <w:r w:rsidRPr="00272DCE">
        <w:tab/>
        <w:t>10.</w:t>
      </w:r>
      <w:r w:rsidRPr="00272DCE">
        <w:tab/>
        <w:t xml:space="preserve">Chapitre 8.6, 8.6.1.3, </w:t>
      </w:r>
      <w:r w:rsidR="00265D02" w:rsidRPr="00272DCE">
        <w:t>m</w:t>
      </w:r>
      <w:r w:rsidRPr="00272DCE">
        <w:t>odèle de certificat d’agrément, rubrique 9</w:t>
      </w:r>
    </w:p>
    <w:p w14:paraId="2FB075D7" w14:textId="77777777" w:rsidR="00681934" w:rsidRPr="00272DCE" w:rsidRDefault="00681934" w:rsidP="00681934">
      <w:pPr>
        <w:pStyle w:val="SingleTxtG"/>
        <w:rPr>
          <w:iCs/>
        </w:rPr>
      </w:pPr>
      <w:r w:rsidRPr="00272DCE">
        <w:rPr>
          <w:i/>
        </w:rPr>
        <w:t>Remplacer</w:t>
      </w:r>
      <w:r w:rsidRPr="00272DCE">
        <w:t xml:space="preserve"> « Installations et équipements électriques » </w:t>
      </w:r>
      <w:r w:rsidRPr="00272DCE">
        <w:rPr>
          <w:i/>
        </w:rPr>
        <w:t>par</w:t>
      </w:r>
      <w:r w:rsidRPr="00272DCE">
        <w:t xml:space="preserve"> « Installations et équipements électriques stationnaires ».</w:t>
      </w:r>
    </w:p>
    <w:p w14:paraId="1FA5986B" w14:textId="77777777" w:rsidR="00681934" w:rsidRPr="00272DCE" w:rsidRDefault="00681934" w:rsidP="00681934">
      <w:pPr>
        <w:pStyle w:val="SingleTxtG"/>
        <w:rPr>
          <w:i/>
          <w:iCs/>
        </w:rPr>
      </w:pPr>
      <w:r w:rsidRPr="00272DCE">
        <w:rPr>
          <w:i/>
        </w:rPr>
        <w:t>(Document de référence : ECE/TRANS/WP.15/AC.2/2019/4)</w:t>
      </w:r>
    </w:p>
    <w:p w14:paraId="2ED4F626" w14:textId="77777777" w:rsidR="00681934" w:rsidRPr="00272DCE" w:rsidRDefault="00681934" w:rsidP="00681934">
      <w:pPr>
        <w:pStyle w:val="H23G"/>
      </w:pPr>
      <w:r w:rsidRPr="00272DCE">
        <w:tab/>
        <w:t>11.</w:t>
      </w:r>
      <w:r w:rsidRPr="00272DCE">
        <w:tab/>
        <w:t xml:space="preserve">Chapitre 8.6, 8.6.1.4, </w:t>
      </w:r>
      <w:r w:rsidR="00265D02" w:rsidRPr="00272DCE">
        <w:t>m</w:t>
      </w:r>
      <w:r w:rsidRPr="00272DCE">
        <w:t>odèle de certificat d’agrément, rubrique 9</w:t>
      </w:r>
    </w:p>
    <w:p w14:paraId="3AF3C8E7" w14:textId="77777777" w:rsidR="00681934" w:rsidRPr="00272DCE" w:rsidRDefault="00681934" w:rsidP="00681934">
      <w:pPr>
        <w:pStyle w:val="SingleTxtG"/>
        <w:rPr>
          <w:iCs/>
        </w:rPr>
      </w:pPr>
      <w:r w:rsidRPr="00272DCE">
        <w:rPr>
          <w:i/>
        </w:rPr>
        <w:t>Remplacer</w:t>
      </w:r>
      <w:r w:rsidRPr="00272DCE">
        <w:t xml:space="preserve"> « Installations et équipements électriques » </w:t>
      </w:r>
      <w:r w:rsidRPr="00272DCE">
        <w:rPr>
          <w:i/>
        </w:rPr>
        <w:t>par</w:t>
      </w:r>
      <w:r w:rsidRPr="00272DCE">
        <w:t xml:space="preserve"> « Installations et équipements électriques stationnaires ».</w:t>
      </w:r>
    </w:p>
    <w:p w14:paraId="356F0921" w14:textId="77777777" w:rsidR="00681934" w:rsidRPr="00272DCE" w:rsidRDefault="00681934" w:rsidP="00681934">
      <w:pPr>
        <w:pStyle w:val="SingleTxtG"/>
        <w:rPr>
          <w:i/>
        </w:rPr>
      </w:pPr>
      <w:r w:rsidRPr="00272DCE">
        <w:rPr>
          <w:i/>
        </w:rPr>
        <w:t>(Document de référence : ECE/TRANS/WP.15/AC.2/2019/4)</w:t>
      </w:r>
    </w:p>
    <w:p w14:paraId="7FBE0E34" w14:textId="77777777" w:rsidR="00681934" w:rsidRPr="00272DCE" w:rsidRDefault="00681934" w:rsidP="00681934">
      <w:pPr>
        <w:pStyle w:val="H23G"/>
      </w:pPr>
      <w:r w:rsidRPr="00272DCE">
        <w:tab/>
        <w:t>12.</w:t>
      </w:r>
      <w:r w:rsidRPr="00272DCE">
        <w:tab/>
        <w:t xml:space="preserve">Chapitre 8.6, 8.6.3, </w:t>
      </w:r>
      <w:r w:rsidR="00265D02" w:rsidRPr="00272DCE">
        <w:t>l</w:t>
      </w:r>
      <w:r w:rsidRPr="00272DCE">
        <w:t>iste de contrôle ADN, question 14, sixième alinéa</w:t>
      </w:r>
    </w:p>
    <w:p w14:paraId="3933CB37" w14:textId="77777777" w:rsidR="00681934" w:rsidRPr="00272DCE" w:rsidRDefault="00681934" w:rsidP="00681934">
      <w:pPr>
        <w:pStyle w:val="SingleTxtG"/>
        <w:rPr>
          <w:iCs/>
        </w:rPr>
      </w:pPr>
      <w:r w:rsidRPr="00272DCE">
        <w:rPr>
          <w:i/>
        </w:rPr>
        <w:t>Remplacer</w:t>
      </w:r>
      <w:r w:rsidRPr="00272DCE">
        <w:t xml:space="preserve"> « toutes les installations électriques » </w:t>
      </w:r>
      <w:r w:rsidRPr="00272DCE">
        <w:rPr>
          <w:i/>
        </w:rPr>
        <w:t>par</w:t>
      </w:r>
      <w:r w:rsidRPr="00272DCE">
        <w:t xml:space="preserve"> « toutes les installations et tous les équipements électriques ».</w:t>
      </w:r>
    </w:p>
    <w:p w14:paraId="1307CD3B" w14:textId="77777777" w:rsidR="00B57B54" w:rsidRPr="00F545F3" w:rsidRDefault="00681934" w:rsidP="00681934">
      <w:pPr>
        <w:pStyle w:val="SingleTxtG"/>
        <w:rPr>
          <w:i/>
        </w:rPr>
      </w:pPr>
      <w:r w:rsidRPr="00272DCE">
        <w:rPr>
          <w:i/>
        </w:rPr>
        <w:t>(Document de référence : ECE/TRANS/WP.15/AC.2/2019/4)</w:t>
      </w:r>
    </w:p>
    <w:p w14:paraId="2D591884" w14:textId="77777777" w:rsidR="00681934" w:rsidRPr="00F545F3" w:rsidRDefault="00681934" w:rsidP="00681934">
      <w:pPr>
        <w:pStyle w:val="SingleTxtG"/>
        <w:spacing w:before="240" w:after="0"/>
        <w:jc w:val="center"/>
        <w:rPr>
          <w:u w:val="single"/>
        </w:rPr>
      </w:pPr>
      <w:r w:rsidRPr="00F545F3">
        <w:rPr>
          <w:u w:val="single"/>
        </w:rPr>
        <w:tab/>
      </w:r>
      <w:r w:rsidRPr="00F545F3">
        <w:rPr>
          <w:u w:val="single"/>
        </w:rPr>
        <w:tab/>
      </w:r>
      <w:r w:rsidRPr="00F545F3">
        <w:rPr>
          <w:u w:val="single"/>
        </w:rPr>
        <w:tab/>
      </w:r>
    </w:p>
    <w:sectPr w:rsidR="00681934" w:rsidRPr="00F545F3" w:rsidSect="00B636A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91258" w14:textId="77777777" w:rsidR="008F086F" w:rsidRDefault="008F086F" w:rsidP="00F95C08">
      <w:pPr>
        <w:spacing w:line="240" w:lineRule="auto"/>
      </w:pPr>
    </w:p>
  </w:endnote>
  <w:endnote w:type="continuationSeparator" w:id="0">
    <w:p w14:paraId="6513DA82" w14:textId="77777777" w:rsidR="008F086F" w:rsidRPr="00AC3823" w:rsidRDefault="008F086F" w:rsidP="00AC3823">
      <w:pPr>
        <w:pStyle w:val="Footer"/>
      </w:pPr>
    </w:p>
  </w:endnote>
  <w:endnote w:type="continuationNotice" w:id="1">
    <w:p w14:paraId="71301817" w14:textId="77777777" w:rsidR="008F086F" w:rsidRDefault="008F08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AD78D" w14:textId="77777777" w:rsidR="008F086F" w:rsidRPr="00B636A2" w:rsidRDefault="008F086F" w:rsidP="00B636A2">
    <w:pPr>
      <w:pStyle w:val="Footer"/>
      <w:tabs>
        <w:tab w:val="right" w:pos="9638"/>
      </w:tabs>
    </w:pPr>
    <w:r w:rsidRPr="00B636A2">
      <w:rPr>
        <w:b/>
        <w:sz w:val="18"/>
      </w:rPr>
      <w:fldChar w:fldCharType="begin"/>
    </w:r>
    <w:r w:rsidRPr="00B636A2">
      <w:rPr>
        <w:b/>
        <w:sz w:val="18"/>
      </w:rPr>
      <w:instrText xml:space="preserve"> PAGE  \* MERGEFORMAT </w:instrText>
    </w:r>
    <w:r w:rsidRPr="00B636A2">
      <w:rPr>
        <w:b/>
        <w:sz w:val="18"/>
      </w:rPr>
      <w:fldChar w:fldCharType="separate"/>
    </w:r>
    <w:r w:rsidRPr="00B636A2">
      <w:rPr>
        <w:b/>
        <w:noProof/>
        <w:sz w:val="18"/>
      </w:rPr>
      <w:t>2</w:t>
    </w:r>
    <w:r w:rsidRPr="00B636A2">
      <w:rPr>
        <w:b/>
        <w:sz w:val="18"/>
      </w:rPr>
      <w:fldChar w:fldCharType="end"/>
    </w:r>
    <w:r>
      <w:rPr>
        <w:b/>
        <w:sz w:val="18"/>
      </w:rPr>
      <w:tab/>
    </w:r>
    <w:r>
      <w:t>GE.19-01988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0FF84" w14:textId="77777777" w:rsidR="008F086F" w:rsidRPr="00B636A2" w:rsidRDefault="008F086F" w:rsidP="00B636A2">
    <w:pPr>
      <w:pStyle w:val="Footer"/>
      <w:tabs>
        <w:tab w:val="right" w:pos="9638"/>
      </w:tabs>
      <w:rPr>
        <w:b/>
        <w:sz w:val="18"/>
      </w:rPr>
    </w:pPr>
    <w:r>
      <w:t>GE.19-01988</w:t>
    </w:r>
    <w:r>
      <w:tab/>
    </w:r>
    <w:r w:rsidRPr="00B636A2">
      <w:rPr>
        <w:b/>
        <w:sz w:val="18"/>
      </w:rPr>
      <w:fldChar w:fldCharType="begin"/>
    </w:r>
    <w:r w:rsidRPr="00B636A2">
      <w:rPr>
        <w:b/>
        <w:sz w:val="18"/>
      </w:rPr>
      <w:instrText xml:space="preserve"> PAGE  \* MERGEFORMAT </w:instrText>
    </w:r>
    <w:r w:rsidRPr="00B636A2">
      <w:rPr>
        <w:b/>
        <w:sz w:val="18"/>
      </w:rPr>
      <w:fldChar w:fldCharType="separate"/>
    </w:r>
    <w:r w:rsidRPr="00B636A2">
      <w:rPr>
        <w:b/>
        <w:noProof/>
        <w:sz w:val="18"/>
      </w:rPr>
      <w:t>3</w:t>
    </w:r>
    <w:r w:rsidRPr="00B636A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15F79" w14:textId="77777777" w:rsidR="008F086F" w:rsidRPr="00B636A2" w:rsidRDefault="008F086F" w:rsidP="00B636A2">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0284D79D" wp14:editId="3D50636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01988  (</w:t>
    </w:r>
    <w:proofErr w:type="gramEnd"/>
    <w:r>
      <w:rPr>
        <w:sz w:val="20"/>
      </w:rPr>
      <w:t>F)    160519    2</w:t>
    </w:r>
    <w:r w:rsidR="005D3C7F">
      <w:rPr>
        <w:sz w:val="20"/>
      </w:rPr>
      <w:t>1</w:t>
    </w:r>
    <w:r>
      <w:rPr>
        <w:sz w:val="20"/>
      </w:rPr>
      <w:t>0519</w:t>
    </w:r>
    <w:r>
      <w:rPr>
        <w:sz w:val="20"/>
      </w:rPr>
      <w:br/>
    </w:r>
    <w:r w:rsidRPr="00B636A2">
      <w:rPr>
        <w:rFonts w:ascii="C39T30Lfz" w:hAnsi="C39T30Lfz"/>
        <w:sz w:val="56"/>
      </w:rPr>
      <w:t></w:t>
    </w:r>
    <w:r w:rsidRPr="00B636A2">
      <w:rPr>
        <w:rFonts w:ascii="C39T30Lfz" w:hAnsi="C39T30Lfz"/>
        <w:sz w:val="56"/>
      </w:rPr>
      <w:t></w:t>
    </w:r>
    <w:r w:rsidRPr="00B636A2">
      <w:rPr>
        <w:rFonts w:ascii="C39T30Lfz" w:hAnsi="C39T30Lfz"/>
        <w:sz w:val="56"/>
      </w:rPr>
      <w:t></w:t>
    </w:r>
    <w:r w:rsidRPr="00B636A2">
      <w:rPr>
        <w:rFonts w:ascii="C39T30Lfz" w:hAnsi="C39T30Lfz"/>
        <w:sz w:val="56"/>
      </w:rPr>
      <w:t></w:t>
    </w:r>
    <w:r w:rsidRPr="00B636A2">
      <w:rPr>
        <w:rFonts w:ascii="C39T30Lfz" w:hAnsi="C39T30Lfz"/>
        <w:sz w:val="56"/>
      </w:rPr>
      <w:t></w:t>
    </w:r>
    <w:r w:rsidRPr="00B636A2">
      <w:rPr>
        <w:rFonts w:ascii="C39T30Lfz" w:hAnsi="C39T30Lfz"/>
        <w:sz w:val="56"/>
      </w:rPr>
      <w:t></w:t>
    </w:r>
    <w:r w:rsidRPr="00B636A2">
      <w:rPr>
        <w:rFonts w:ascii="C39T30Lfz" w:hAnsi="C39T30Lfz"/>
        <w:sz w:val="56"/>
      </w:rPr>
      <w:t></w:t>
    </w:r>
    <w:r w:rsidRPr="00B636A2">
      <w:rPr>
        <w:rFonts w:ascii="C39T30Lfz" w:hAnsi="C39T30Lfz"/>
        <w:sz w:val="56"/>
      </w:rPr>
      <w:t></w:t>
    </w:r>
    <w:r w:rsidRPr="00B636A2">
      <w:rPr>
        <w:rFonts w:ascii="C39T30Lfz" w:hAnsi="C39T30Lfz"/>
        <w:sz w:val="56"/>
      </w:rPr>
      <w:t></w:t>
    </w:r>
    <w:r>
      <w:rPr>
        <w:noProof/>
        <w:sz w:val="20"/>
      </w:rPr>
      <w:drawing>
        <wp:anchor distT="0" distB="0" distL="114300" distR="114300" simplePos="0" relativeHeight="251658240" behindDoc="0" locked="0" layoutInCell="1" allowOverlap="1" wp14:anchorId="50011C57" wp14:editId="55A9048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2/7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7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63363" w14:textId="77777777" w:rsidR="008F086F" w:rsidRPr="00AC3823" w:rsidRDefault="008F086F" w:rsidP="00AC3823">
      <w:pPr>
        <w:pStyle w:val="Footer"/>
        <w:tabs>
          <w:tab w:val="right" w:pos="2155"/>
        </w:tabs>
        <w:spacing w:after="80" w:line="240" w:lineRule="atLeast"/>
        <w:ind w:left="680"/>
        <w:rPr>
          <w:u w:val="single"/>
        </w:rPr>
      </w:pPr>
      <w:r>
        <w:rPr>
          <w:u w:val="single"/>
        </w:rPr>
        <w:tab/>
      </w:r>
    </w:p>
  </w:footnote>
  <w:footnote w:type="continuationSeparator" w:id="0">
    <w:p w14:paraId="7BF79F35" w14:textId="77777777" w:rsidR="008F086F" w:rsidRPr="00AC3823" w:rsidRDefault="008F086F" w:rsidP="00AC3823">
      <w:pPr>
        <w:pStyle w:val="Footer"/>
        <w:tabs>
          <w:tab w:val="right" w:pos="2155"/>
        </w:tabs>
        <w:spacing w:after="80" w:line="240" w:lineRule="atLeast"/>
        <w:ind w:left="680"/>
        <w:rPr>
          <w:u w:val="single"/>
        </w:rPr>
      </w:pPr>
      <w:r>
        <w:rPr>
          <w:u w:val="single"/>
        </w:rPr>
        <w:tab/>
      </w:r>
    </w:p>
  </w:footnote>
  <w:footnote w:type="continuationNotice" w:id="1">
    <w:p w14:paraId="521E3765" w14:textId="77777777" w:rsidR="008F086F" w:rsidRPr="00AC3823" w:rsidRDefault="008F086F">
      <w:pPr>
        <w:spacing w:line="240" w:lineRule="auto"/>
        <w:rPr>
          <w:sz w:val="2"/>
          <w:szCs w:val="2"/>
        </w:rPr>
      </w:pPr>
    </w:p>
  </w:footnote>
  <w:footnote w:id="2">
    <w:p w14:paraId="501EACF8" w14:textId="77777777" w:rsidR="008F086F" w:rsidRPr="003B5579" w:rsidRDefault="008F086F" w:rsidP="00B15EE4">
      <w:pPr>
        <w:pStyle w:val="FootnoteText"/>
      </w:pPr>
      <w:r>
        <w:tab/>
      </w:r>
      <w:r w:rsidRPr="008C2439">
        <w:rPr>
          <w:rStyle w:val="FootnoteReference"/>
          <w:sz w:val="20"/>
          <w:vertAlign w:val="baseline"/>
        </w:rPr>
        <w:sym w:font="Symbol" w:char="F02A"/>
      </w:r>
      <w:r w:rsidRPr="003B5579">
        <w:tab/>
        <w:t>Diffusé en allemand par la Commission centrale pour la navigation du Rhin sous la cote CCNR/ZKR/ADN/WP.15/AC.2/70.</w:t>
      </w:r>
    </w:p>
  </w:footnote>
  <w:footnote w:id="3">
    <w:p w14:paraId="43DE7358" w14:textId="77777777" w:rsidR="008F086F" w:rsidRPr="00AE5E11" w:rsidRDefault="008F086F" w:rsidP="00B15EE4">
      <w:pPr>
        <w:pStyle w:val="FootnoteText"/>
        <w:rPr>
          <w:lang w:val="fr-FR"/>
        </w:rPr>
      </w:pPr>
      <w:r>
        <w:rPr>
          <w:lang w:val="fr-FR"/>
        </w:rPr>
        <w:tab/>
      </w:r>
      <w:r w:rsidRPr="00B15EE4">
        <w:rPr>
          <w:rStyle w:val="FootnoteReference"/>
        </w:rPr>
        <w:footnoteRef/>
      </w:r>
      <w:r>
        <w:rPr>
          <w:lang w:val="fr-FR"/>
        </w:rPr>
        <w:tab/>
      </w:r>
      <w:hyperlink r:id="rId1" w:history="1">
        <w:r w:rsidRPr="00DE5D1C">
          <w:rPr>
            <w:rStyle w:val="Hyperlink"/>
            <w:lang w:val="fr-FR"/>
          </w:rPr>
          <w:t>http://www.unece.org/index.php?id=49440</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44387" w14:textId="1CFB363E" w:rsidR="008F086F" w:rsidRPr="00B636A2" w:rsidRDefault="0066634A">
    <w:pPr>
      <w:pStyle w:val="Header"/>
    </w:pPr>
    <w:r>
      <w:fldChar w:fldCharType="begin"/>
    </w:r>
    <w:r>
      <w:instrText xml:space="preserve"> TITLE  \* MERGEFORMAT </w:instrText>
    </w:r>
    <w:r>
      <w:fldChar w:fldCharType="separate"/>
    </w:r>
    <w:r>
      <w:t>ECE/TRANS/WP.15/AC.2/70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D741" w14:textId="377AA1F1" w:rsidR="008F086F" w:rsidRPr="00B636A2" w:rsidRDefault="0066634A" w:rsidP="00B636A2">
    <w:pPr>
      <w:pStyle w:val="Header"/>
      <w:jc w:val="right"/>
    </w:pPr>
    <w:r>
      <w:fldChar w:fldCharType="begin"/>
    </w:r>
    <w:r>
      <w:instrText xml:space="preserve"> TITLE  \* MERGEFORMAT </w:instrText>
    </w:r>
    <w:r>
      <w:fldChar w:fldCharType="separate"/>
    </w:r>
    <w:r>
      <w:t>ECE/TRANS/WP.15/AC.2/70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0D758EA"/>
    <w:multiLevelType w:val="hybridMultilevel"/>
    <w:tmpl w:val="CCAECE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AB"/>
    <w:rsid w:val="000166DE"/>
    <w:rsid w:val="00017F94"/>
    <w:rsid w:val="00023842"/>
    <w:rsid w:val="000334F9"/>
    <w:rsid w:val="00045FEB"/>
    <w:rsid w:val="00046EB8"/>
    <w:rsid w:val="000621C9"/>
    <w:rsid w:val="000705F5"/>
    <w:rsid w:val="0007796D"/>
    <w:rsid w:val="00096AB5"/>
    <w:rsid w:val="000A57E3"/>
    <w:rsid w:val="000B7790"/>
    <w:rsid w:val="000C3975"/>
    <w:rsid w:val="000D1C97"/>
    <w:rsid w:val="000E4479"/>
    <w:rsid w:val="00111F2F"/>
    <w:rsid w:val="00112F1D"/>
    <w:rsid w:val="00120B20"/>
    <w:rsid w:val="0014365E"/>
    <w:rsid w:val="00143C66"/>
    <w:rsid w:val="00176178"/>
    <w:rsid w:val="001950EA"/>
    <w:rsid w:val="001978BC"/>
    <w:rsid w:val="00197F80"/>
    <w:rsid w:val="001C1367"/>
    <w:rsid w:val="001C36CC"/>
    <w:rsid w:val="001E02CC"/>
    <w:rsid w:val="001E2E4B"/>
    <w:rsid w:val="001F0F10"/>
    <w:rsid w:val="001F525A"/>
    <w:rsid w:val="00221FB9"/>
    <w:rsid w:val="00223272"/>
    <w:rsid w:val="0024779E"/>
    <w:rsid w:val="00257168"/>
    <w:rsid w:val="00265D02"/>
    <w:rsid w:val="00272DCE"/>
    <w:rsid w:val="002744B8"/>
    <w:rsid w:val="00281B50"/>
    <w:rsid w:val="002832AC"/>
    <w:rsid w:val="002C4BD8"/>
    <w:rsid w:val="002C64BF"/>
    <w:rsid w:val="002D7C93"/>
    <w:rsid w:val="002F482E"/>
    <w:rsid w:val="00305801"/>
    <w:rsid w:val="00316090"/>
    <w:rsid w:val="00347D95"/>
    <w:rsid w:val="0035692B"/>
    <w:rsid w:val="003620D2"/>
    <w:rsid w:val="003916DE"/>
    <w:rsid w:val="003C248E"/>
    <w:rsid w:val="003C3B6C"/>
    <w:rsid w:val="003E55AA"/>
    <w:rsid w:val="003E69DD"/>
    <w:rsid w:val="003F6D79"/>
    <w:rsid w:val="00402E88"/>
    <w:rsid w:val="00421996"/>
    <w:rsid w:val="00425F44"/>
    <w:rsid w:val="00441C3B"/>
    <w:rsid w:val="00444F57"/>
    <w:rsid w:val="00446FE5"/>
    <w:rsid w:val="00452396"/>
    <w:rsid w:val="00461913"/>
    <w:rsid w:val="004837D8"/>
    <w:rsid w:val="004943E5"/>
    <w:rsid w:val="004A2DE6"/>
    <w:rsid w:val="004A4317"/>
    <w:rsid w:val="004D39F8"/>
    <w:rsid w:val="004E27EB"/>
    <w:rsid w:val="004E2EED"/>
    <w:rsid w:val="004E468C"/>
    <w:rsid w:val="004F57F6"/>
    <w:rsid w:val="004F6471"/>
    <w:rsid w:val="0050327E"/>
    <w:rsid w:val="00527227"/>
    <w:rsid w:val="005505B7"/>
    <w:rsid w:val="0055194B"/>
    <w:rsid w:val="005739A3"/>
    <w:rsid w:val="00573BE5"/>
    <w:rsid w:val="0057761D"/>
    <w:rsid w:val="00586ED3"/>
    <w:rsid w:val="00596AA9"/>
    <w:rsid w:val="005A5E22"/>
    <w:rsid w:val="005B7F1A"/>
    <w:rsid w:val="005D3C7F"/>
    <w:rsid w:val="005F4BFC"/>
    <w:rsid w:val="00605276"/>
    <w:rsid w:val="00605E94"/>
    <w:rsid w:val="006316C9"/>
    <w:rsid w:val="00634C8C"/>
    <w:rsid w:val="00637635"/>
    <w:rsid w:val="00651B62"/>
    <w:rsid w:val="006545B3"/>
    <w:rsid w:val="0066634A"/>
    <w:rsid w:val="0067287D"/>
    <w:rsid w:val="00681934"/>
    <w:rsid w:val="00681CD1"/>
    <w:rsid w:val="00691954"/>
    <w:rsid w:val="006B005B"/>
    <w:rsid w:val="006B2D07"/>
    <w:rsid w:val="006E332A"/>
    <w:rsid w:val="0071601D"/>
    <w:rsid w:val="007541AB"/>
    <w:rsid w:val="007551C1"/>
    <w:rsid w:val="00765E95"/>
    <w:rsid w:val="00774355"/>
    <w:rsid w:val="00786245"/>
    <w:rsid w:val="00796B0F"/>
    <w:rsid w:val="007A62E6"/>
    <w:rsid w:val="007C132C"/>
    <w:rsid w:val="007D65E9"/>
    <w:rsid w:val="007E3B68"/>
    <w:rsid w:val="007E4A21"/>
    <w:rsid w:val="007F20FA"/>
    <w:rsid w:val="0080684C"/>
    <w:rsid w:val="0081058B"/>
    <w:rsid w:val="00870F99"/>
    <w:rsid w:val="00871C75"/>
    <w:rsid w:val="008776DC"/>
    <w:rsid w:val="008937C4"/>
    <w:rsid w:val="008C2439"/>
    <w:rsid w:val="008C58A6"/>
    <w:rsid w:val="008D1787"/>
    <w:rsid w:val="008D6AAB"/>
    <w:rsid w:val="008D7EAD"/>
    <w:rsid w:val="008F086F"/>
    <w:rsid w:val="009256EF"/>
    <w:rsid w:val="009446C0"/>
    <w:rsid w:val="009705C8"/>
    <w:rsid w:val="009C1CF4"/>
    <w:rsid w:val="009D76F3"/>
    <w:rsid w:val="009F2121"/>
    <w:rsid w:val="009F3DF8"/>
    <w:rsid w:val="009F6B74"/>
    <w:rsid w:val="009F732A"/>
    <w:rsid w:val="00A01F2C"/>
    <w:rsid w:val="00A2125D"/>
    <w:rsid w:val="00A24936"/>
    <w:rsid w:val="00A3029F"/>
    <w:rsid w:val="00A30353"/>
    <w:rsid w:val="00A329CF"/>
    <w:rsid w:val="00A67219"/>
    <w:rsid w:val="00AC3823"/>
    <w:rsid w:val="00AE323C"/>
    <w:rsid w:val="00AF0CB5"/>
    <w:rsid w:val="00B00181"/>
    <w:rsid w:val="00B00B0D"/>
    <w:rsid w:val="00B138DF"/>
    <w:rsid w:val="00B15EE4"/>
    <w:rsid w:val="00B45F2E"/>
    <w:rsid w:val="00B57B54"/>
    <w:rsid w:val="00B636A2"/>
    <w:rsid w:val="00B73E90"/>
    <w:rsid w:val="00B765F7"/>
    <w:rsid w:val="00BA0CA9"/>
    <w:rsid w:val="00BF77CD"/>
    <w:rsid w:val="00C0024E"/>
    <w:rsid w:val="00C02897"/>
    <w:rsid w:val="00C27FF4"/>
    <w:rsid w:val="00C32778"/>
    <w:rsid w:val="00C55A3B"/>
    <w:rsid w:val="00C857F0"/>
    <w:rsid w:val="00C93DF3"/>
    <w:rsid w:val="00C97039"/>
    <w:rsid w:val="00CD24D9"/>
    <w:rsid w:val="00CD50D5"/>
    <w:rsid w:val="00CD67CE"/>
    <w:rsid w:val="00CE4F8E"/>
    <w:rsid w:val="00CE6710"/>
    <w:rsid w:val="00CF225E"/>
    <w:rsid w:val="00D319CD"/>
    <w:rsid w:val="00D3439C"/>
    <w:rsid w:val="00D36D1A"/>
    <w:rsid w:val="00D84EE7"/>
    <w:rsid w:val="00D86965"/>
    <w:rsid w:val="00DB1831"/>
    <w:rsid w:val="00DD3BFD"/>
    <w:rsid w:val="00DE5D1C"/>
    <w:rsid w:val="00DF0E3D"/>
    <w:rsid w:val="00DF5147"/>
    <w:rsid w:val="00DF6678"/>
    <w:rsid w:val="00E0299A"/>
    <w:rsid w:val="00E05421"/>
    <w:rsid w:val="00E1061A"/>
    <w:rsid w:val="00E1306B"/>
    <w:rsid w:val="00E73819"/>
    <w:rsid w:val="00E8423E"/>
    <w:rsid w:val="00E85C74"/>
    <w:rsid w:val="00EA6547"/>
    <w:rsid w:val="00EF26E6"/>
    <w:rsid w:val="00EF2E22"/>
    <w:rsid w:val="00EF65CD"/>
    <w:rsid w:val="00F22354"/>
    <w:rsid w:val="00F25248"/>
    <w:rsid w:val="00F2579A"/>
    <w:rsid w:val="00F3107F"/>
    <w:rsid w:val="00F35BAF"/>
    <w:rsid w:val="00F36A9F"/>
    <w:rsid w:val="00F44C19"/>
    <w:rsid w:val="00F545F3"/>
    <w:rsid w:val="00F63351"/>
    <w:rsid w:val="00F660DF"/>
    <w:rsid w:val="00F94664"/>
    <w:rsid w:val="00F9573C"/>
    <w:rsid w:val="00F95C08"/>
    <w:rsid w:val="00FA22C6"/>
    <w:rsid w:val="00FA5DBC"/>
    <w:rsid w:val="00FA7BD9"/>
    <w:rsid w:val="00FC6DF6"/>
    <w:rsid w:val="00FE3EEA"/>
    <w:rsid w:val="00FF20D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D85245"/>
  <w15:docId w15:val="{C68AD976-2A77-4F08-BDEC-C906C147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5B7F1A"/>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5B7F1A"/>
    <w:rPr>
      <w:rFonts w:ascii="Times New Roman" w:eastAsiaTheme="minorHAnsi" w:hAnsi="Times New Roman" w:cs="Times New Roman"/>
      <w:sz w:val="20"/>
      <w:szCs w:val="20"/>
      <w:lang w:eastAsia="en-US"/>
    </w:rPr>
  </w:style>
  <w:style w:type="paragraph" w:styleId="ListParagraph">
    <w:name w:val="List Paragraph"/>
    <w:basedOn w:val="Normal"/>
    <w:uiPriority w:val="34"/>
    <w:qFormat/>
    <w:rsid w:val="005B7F1A"/>
    <w:pPr>
      <w:suppressAutoHyphens w:val="0"/>
      <w:kinsoku/>
      <w:overflowPunct/>
      <w:autoSpaceDE/>
      <w:autoSpaceDN/>
      <w:adjustRightInd/>
      <w:snapToGrid/>
      <w:spacing w:line="240" w:lineRule="auto"/>
      <w:ind w:left="720"/>
      <w:contextualSpacing/>
    </w:pPr>
    <w:rPr>
      <w:rFonts w:asciiTheme="minorHAnsi" w:hAnsiTheme="minorHAnsi" w:cstheme="minorBidi"/>
      <w:sz w:val="24"/>
      <w:szCs w:val="24"/>
    </w:rPr>
  </w:style>
  <w:style w:type="character" w:styleId="UnresolvedMention">
    <w:name w:val="Unresolved Mention"/>
    <w:basedOn w:val="DefaultParagraphFont"/>
    <w:uiPriority w:val="99"/>
    <w:semiHidden/>
    <w:unhideWhenUsed/>
    <w:rsid w:val="00DE5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http://www.unece.org/index.php?id=49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7E2B8-2C4E-438D-974B-EE523BDF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9282</Words>
  <Characters>52910</Characters>
  <Application>Microsoft Office Word</Application>
  <DocSecurity>0</DocSecurity>
  <Lines>440</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ECE/TRANS/WP.15/AC.2/70</vt:lpstr>
      <vt:lpstr>ECE/TRANS/WP.15/AC.2/70</vt:lpstr>
    </vt:vector>
  </TitlesOfParts>
  <Company>DCM</Company>
  <LinksUpToDate>false</LinksUpToDate>
  <CharactersWithSpaces>62068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ECE/TRANS/WP.15/AC.2/70</dc:title>
  <dc:subject/>
  <dc:creator>Corinne ROBERT</dc:creator>
  <cp:keywords/>
  <cp:lastModifiedBy>Marie-Claude Collet</cp:lastModifiedBy>
  <cp:revision>3</cp:revision>
  <cp:lastPrinted>2019-05-21T12:19:00Z</cp:lastPrinted>
  <dcterms:created xsi:type="dcterms:W3CDTF">2019-05-21T12:19:00Z</dcterms:created>
  <dcterms:modified xsi:type="dcterms:W3CDTF">2019-05-21T12:19:00Z</dcterms:modified>
</cp:coreProperties>
</file>