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bottom w:val="single" w:sz="12" w:space="0" w:color="auto"/>
          <w:insideH w:val="single" w:sz="4"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463B5C" w:rsidRPr="00DB58B5" w:rsidTr="00AA7BAB">
        <w:trPr>
          <w:trHeight w:hRule="exact" w:val="851"/>
        </w:trPr>
        <w:tc>
          <w:tcPr>
            <w:tcW w:w="1276" w:type="dxa"/>
          </w:tcPr>
          <w:p w:rsidR="00463B5C" w:rsidRPr="00DB58B5" w:rsidRDefault="00463B5C" w:rsidP="00AA7BAB">
            <w:bookmarkStart w:id="0" w:name="_GoBack"/>
            <w:bookmarkEnd w:id="0"/>
          </w:p>
        </w:tc>
        <w:tc>
          <w:tcPr>
            <w:tcW w:w="2268" w:type="dxa"/>
            <w:vAlign w:val="bottom"/>
          </w:tcPr>
          <w:p w:rsidR="00463B5C" w:rsidRPr="00DB58B5" w:rsidRDefault="00463B5C" w:rsidP="00AA7BAB">
            <w:pPr>
              <w:spacing w:after="80" w:line="300" w:lineRule="exact"/>
              <w:rPr>
                <w:sz w:val="28"/>
              </w:rPr>
            </w:pPr>
            <w:r w:rsidRPr="00DB58B5">
              <w:rPr>
                <w:sz w:val="28"/>
              </w:rPr>
              <w:t>Nations Unies</w:t>
            </w:r>
          </w:p>
        </w:tc>
        <w:tc>
          <w:tcPr>
            <w:tcW w:w="6095" w:type="dxa"/>
            <w:gridSpan w:val="2"/>
            <w:vAlign w:val="bottom"/>
          </w:tcPr>
          <w:p w:rsidR="00463B5C" w:rsidRPr="00DB58B5" w:rsidRDefault="00463B5C" w:rsidP="00AA7BAB">
            <w:pPr>
              <w:jc w:val="right"/>
            </w:pPr>
            <w:r w:rsidRPr="000E68EB">
              <w:rPr>
                <w:sz w:val="40"/>
              </w:rPr>
              <w:t>ECE</w:t>
            </w:r>
            <w:r>
              <w:t>/TRANS/WP.15/AC.2/2019/33</w:t>
            </w:r>
          </w:p>
        </w:tc>
      </w:tr>
      <w:tr w:rsidR="00463B5C" w:rsidRPr="00DB58B5" w:rsidTr="00AA7BAB">
        <w:trPr>
          <w:trHeight w:hRule="exact" w:val="2835"/>
        </w:trPr>
        <w:tc>
          <w:tcPr>
            <w:tcW w:w="1276" w:type="dxa"/>
          </w:tcPr>
          <w:p w:rsidR="00463B5C" w:rsidRPr="00DB58B5" w:rsidRDefault="00463B5C" w:rsidP="00AA7BAB">
            <w:pPr>
              <w:spacing w:before="120"/>
              <w:jc w:val="center"/>
            </w:pPr>
            <w:r>
              <w:rPr>
                <w:noProof/>
                <w:lang w:eastAsia="fr-CH"/>
              </w:rPr>
              <w:drawing>
                <wp:inline distT="0" distB="0" distL="0" distR="0" wp14:anchorId="558D2C29" wp14:editId="23E402AE">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Pr>
          <w:p w:rsidR="00463B5C" w:rsidRPr="00740562" w:rsidRDefault="00463B5C" w:rsidP="00AA7BAB">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Pr>
          <w:p w:rsidR="00463B5C" w:rsidRDefault="00463B5C" w:rsidP="00AA7BAB">
            <w:pPr>
              <w:spacing w:before="240" w:line="240" w:lineRule="exact"/>
            </w:pPr>
            <w:proofErr w:type="spellStart"/>
            <w:r>
              <w:t>Distr</w:t>
            </w:r>
            <w:proofErr w:type="spellEnd"/>
            <w:r>
              <w:t xml:space="preserve">. </w:t>
            </w:r>
            <w:proofErr w:type="gramStart"/>
            <w:r>
              <w:t>générale</w:t>
            </w:r>
            <w:proofErr w:type="gramEnd"/>
          </w:p>
          <w:p w:rsidR="00463B5C" w:rsidRDefault="006317AE" w:rsidP="00AA7BAB">
            <w:pPr>
              <w:spacing w:line="240" w:lineRule="exact"/>
            </w:pPr>
            <w:r>
              <w:t>13</w:t>
            </w:r>
            <w:r w:rsidR="00463B5C">
              <w:t xml:space="preserve"> juin 2019</w:t>
            </w:r>
          </w:p>
          <w:p w:rsidR="00463B5C" w:rsidRDefault="00463B5C" w:rsidP="00AA7BAB">
            <w:pPr>
              <w:spacing w:line="240" w:lineRule="exact"/>
            </w:pPr>
          </w:p>
          <w:p w:rsidR="00463B5C" w:rsidRPr="00DB58B5" w:rsidRDefault="00463B5C" w:rsidP="00AA7BAB">
            <w:pPr>
              <w:spacing w:line="240" w:lineRule="exact"/>
            </w:pPr>
            <w:r>
              <w:t>Original : français</w:t>
            </w:r>
          </w:p>
        </w:tc>
      </w:tr>
    </w:tbl>
    <w:p w:rsidR="00463B5C" w:rsidRDefault="00463B5C" w:rsidP="00463B5C">
      <w:pPr>
        <w:spacing w:before="120"/>
        <w:rPr>
          <w:b/>
          <w:sz w:val="28"/>
          <w:szCs w:val="28"/>
        </w:rPr>
      </w:pPr>
      <w:r w:rsidRPr="00883605">
        <w:rPr>
          <w:b/>
          <w:sz w:val="28"/>
          <w:szCs w:val="28"/>
        </w:rPr>
        <w:t>Commission économique pour l’Europe</w:t>
      </w:r>
    </w:p>
    <w:p w:rsidR="00463B5C" w:rsidRDefault="00463B5C" w:rsidP="00463B5C">
      <w:pPr>
        <w:spacing w:before="120"/>
        <w:rPr>
          <w:sz w:val="28"/>
          <w:szCs w:val="28"/>
        </w:rPr>
      </w:pPr>
      <w:r w:rsidRPr="00685843">
        <w:rPr>
          <w:sz w:val="28"/>
          <w:szCs w:val="28"/>
        </w:rPr>
        <w:t>Comité des transports intérieurs</w:t>
      </w:r>
    </w:p>
    <w:p w:rsidR="00463B5C" w:rsidRPr="009E01B8" w:rsidRDefault="00463B5C" w:rsidP="00463B5C">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463B5C" w:rsidRDefault="00463B5C" w:rsidP="00463B5C">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rsidR="00463B5C" w:rsidRPr="00234E40" w:rsidRDefault="00463B5C" w:rsidP="00463B5C">
      <w:pPr>
        <w:spacing w:before="120"/>
        <w:rPr>
          <w:b/>
        </w:rPr>
      </w:pPr>
      <w:r>
        <w:rPr>
          <w:b/>
        </w:rPr>
        <w:t xml:space="preserve">Trente-cinquième </w:t>
      </w:r>
      <w:r w:rsidRPr="00234E40">
        <w:rPr>
          <w:b/>
        </w:rPr>
        <w:t>session</w:t>
      </w:r>
    </w:p>
    <w:p w:rsidR="00463B5C" w:rsidRDefault="00463B5C" w:rsidP="00463B5C">
      <w:r>
        <w:t>Genève, 26-30 août 2019</w:t>
      </w:r>
    </w:p>
    <w:p w:rsidR="00463B5C" w:rsidRDefault="00463B5C" w:rsidP="00463B5C">
      <w:r w:rsidRPr="00B93E72">
        <w:t xml:space="preserve">Point </w:t>
      </w:r>
      <w:r>
        <w:t xml:space="preserve">4 b) </w:t>
      </w:r>
      <w:r w:rsidRPr="00B93E72">
        <w:t>de l’ordre du jour provisoire</w:t>
      </w:r>
    </w:p>
    <w:p w:rsidR="00463B5C" w:rsidRDefault="00463B5C" w:rsidP="00463B5C">
      <w:pPr>
        <w:rPr>
          <w:b/>
          <w:bCs/>
        </w:rPr>
      </w:pPr>
      <w:r>
        <w:rPr>
          <w:b/>
          <w:bCs/>
        </w:rPr>
        <w:t>Propositions d’amendements au Règlement annexé à l’ADN :</w:t>
      </w:r>
      <w:r>
        <w:rPr>
          <w:b/>
          <w:bCs/>
        </w:rPr>
        <w:br/>
        <w:t>autres propositions</w:t>
      </w:r>
    </w:p>
    <w:p w:rsidR="006317AE" w:rsidRPr="006317AE" w:rsidRDefault="006317AE" w:rsidP="006317AE">
      <w:pPr>
        <w:pStyle w:val="HChG"/>
      </w:pPr>
      <w:r w:rsidRPr="006317AE">
        <w:tab/>
      </w:r>
      <w:r w:rsidRPr="006317AE">
        <w:tab/>
      </w:r>
      <w:r w:rsidRPr="006317AE">
        <w:tab/>
        <w:t xml:space="preserve">Définition </w:t>
      </w:r>
      <w:r w:rsidR="00D93C35">
        <w:t xml:space="preserve">pour </w:t>
      </w:r>
      <w:r w:rsidRPr="006317AE">
        <w:t>conduite de retour de gaz (à terre)</w:t>
      </w:r>
      <w:r w:rsidR="00D93C35">
        <w:t xml:space="preserve"> dans </w:t>
      </w:r>
      <w:r w:rsidR="00D93C35">
        <w:br/>
        <w:t xml:space="preserve">1.2.1 de l’ADN </w:t>
      </w:r>
    </w:p>
    <w:p w:rsidR="006317AE" w:rsidRDefault="006317AE" w:rsidP="006317AE">
      <w:pPr>
        <w:pStyle w:val="H1G"/>
        <w:rPr>
          <w:lang w:val="fr-FR"/>
        </w:rPr>
      </w:pPr>
      <w:r>
        <w:rPr>
          <w:lang w:val="fr-FR"/>
        </w:rPr>
        <w:tab/>
      </w:r>
      <w:r>
        <w:rPr>
          <w:lang w:val="fr-FR"/>
        </w:rPr>
        <w:tab/>
      </w:r>
      <w:r w:rsidRPr="004E50F4">
        <w:t>Communication du</w:t>
      </w:r>
      <w:r>
        <w:t xml:space="preserve"> </w:t>
      </w:r>
      <w:r>
        <w:rPr>
          <w:lang w:val="fr-FR"/>
        </w:rPr>
        <w:t>Conseil européen de l'industrie chimique (CEFIC)</w:t>
      </w:r>
    </w:p>
    <w:p w:rsidR="006317AE" w:rsidRDefault="006317AE" w:rsidP="006317AE">
      <w:pPr>
        <w:pStyle w:val="SingleTxtG"/>
        <w:rPr>
          <w:lang w:val="fr-FR"/>
        </w:rPr>
      </w:pPr>
      <w:r>
        <w:rPr>
          <w:u w:val="single"/>
          <w:lang w:val="fr-FR"/>
        </w:rPr>
        <w:t>Documents connexes</w:t>
      </w:r>
      <w:r>
        <w:rPr>
          <w:lang w:val="fr-FR"/>
        </w:rPr>
        <w:t xml:space="preserve"> : ECE/TRANS/WP.15/AC.2/2019/4</w:t>
      </w:r>
    </w:p>
    <w:p w:rsidR="006317AE" w:rsidRDefault="006317AE" w:rsidP="006317AE">
      <w:pPr>
        <w:pStyle w:val="HChG"/>
        <w:rPr>
          <w:lang w:val="fr-FR"/>
        </w:rPr>
      </w:pPr>
      <w:r>
        <w:rPr>
          <w:lang w:val="fr-FR"/>
        </w:rPr>
        <w:tab/>
      </w:r>
      <w:r>
        <w:rPr>
          <w:lang w:val="fr-FR"/>
        </w:rPr>
        <w:tab/>
        <w:t>Introduction</w:t>
      </w:r>
    </w:p>
    <w:p w:rsidR="006317AE" w:rsidRDefault="006317AE" w:rsidP="006317AE">
      <w:pPr>
        <w:pStyle w:val="SingleTxtG"/>
        <w:rPr>
          <w:lang w:val="fr-FR"/>
        </w:rPr>
      </w:pPr>
      <w:r>
        <w:rPr>
          <w:lang w:val="fr-FR"/>
        </w:rPr>
        <w:t>1.</w:t>
      </w:r>
      <w:r>
        <w:rPr>
          <w:lang w:val="fr-FR"/>
        </w:rPr>
        <w:tab/>
        <w:t>La définition pour les conduites de retour de gaz (à terre) comporte l'exigence d</w:t>
      </w:r>
      <w:r w:rsidR="00D93C35">
        <w:rPr>
          <w:lang w:val="fr-FR"/>
        </w:rPr>
        <w:t>’</w:t>
      </w:r>
      <w:r>
        <w:rPr>
          <w:lang w:val="fr-FR"/>
        </w:rPr>
        <w:t>une protection générale du bateau contre les détonations et les passages de flammes depuis la terre. Or, une telle protection n'est pas nécessaire et n</w:t>
      </w:r>
      <w:r w:rsidR="00D93C35">
        <w:rPr>
          <w:lang w:val="fr-FR"/>
        </w:rPr>
        <w:t>’</w:t>
      </w:r>
      <w:r>
        <w:rPr>
          <w:lang w:val="fr-FR"/>
        </w:rPr>
        <w:t>est généralement pas présente dans les conduites de retour de gaz utilisées pour les matières qui ne nécessitent pas de protection contre les explosions.</w:t>
      </w:r>
    </w:p>
    <w:p w:rsidR="006317AE" w:rsidRDefault="006317AE" w:rsidP="006317AE">
      <w:pPr>
        <w:pStyle w:val="SingleTxtG"/>
        <w:rPr>
          <w:lang w:val="fr-FR"/>
        </w:rPr>
      </w:pPr>
      <w:r>
        <w:rPr>
          <w:lang w:val="fr-FR"/>
        </w:rPr>
        <w:t>2.</w:t>
      </w:r>
      <w:r>
        <w:rPr>
          <w:lang w:val="fr-FR"/>
        </w:rPr>
        <w:tab/>
        <w:t>Étant donné que le 7.2.4.25.5 introduit pour l'ADN 2019 énonce clairement les exigences, nous invitons le Comité de sécurité à approuver notre proposition et de modifier au 1.2.1 de l</w:t>
      </w:r>
      <w:r w:rsidR="00D93C35">
        <w:rPr>
          <w:lang w:val="fr-FR"/>
        </w:rPr>
        <w:t>’</w:t>
      </w:r>
      <w:r>
        <w:rPr>
          <w:lang w:val="fr-FR"/>
        </w:rPr>
        <w:t>ADN la définition de la conduite de retour de gaz (à terre) comme indiqué ci-après.</w:t>
      </w:r>
    </w:p>
    <w:p w:rsidR="000F5EAC" w:rsidRPr="000F5EAC" w:rsidRDefault="000F5EAC" w:rsidP="000F5EAC">
      <w:pPr>
        <w:pStyle w:val="SingleTxtG"/>
        <w:keepNext/>
        <w:keepLines/>
        <w:tabs>
          <w:tab w:val="left" w:pos="3544"/>
        </w:tabs>
      </w:pPr>
      <w:r w:rsidRPr="000F5EAC">
        <w:t>Cette prescription figure au 7.2.4.25.5 de l’ADN à compter du 1.1.2019:</w:t>
      </w:r>
    </w:p>
    <w:p w:rsidR="000F5EAC" w:rsidRPr="000F5EAC" w:rsidRDefault="000F5EAC" w:rsidP="000F5EAC">
      <w:pPr>
        <w:pStyle w:val="SingleTxtG"/>
      </w:pPr>
      <w:r w:rsidRPr="000F5EAC">
        <w:t>3.</w:t>
      </w:r>
      <w:r w:rsidRPr="000F5EAC">
        <w:tab/>
        <w:t>« Si les matières à charger nécessitent une protection contre les explosions en vertu de la colonne (17) du tableau C du chapitre</w:t>
      </w:r>
      <w:r>
        <w:t> </w:t>
      </w:r>
      <w:r w:rsidRPr="000F5EAC">
        <w:t xml:space="preserve">3.2, et si l'utilisation d’une conduite de retour de gaz est prescrite, la conduite de retour de gaz doit être conçue de telle manière que le bateau soit protégé contre les détonations et les passages de flammes provenant de terre. La protection du bateau contre les détonations et les passages de flammes provenant de terre n’est pas exigée lorsque les citernes à cargaisons sont </w:t>
      </w:r>
      <w:proofErr w:type="spellStart"/>
      <w:r w:rsidRPr="000F5EAC">
        <w:t>inertisées</w:t>
      </w:r>
      <w:proofErr w:type="spellEnd"/>
      <w:r w:rsidRPr="000F5EAC">
        <w:t xml:space="preserve"> conformément au 7.2.4.18. ».</w:t>
      </w:r>
    </w:p>
    <w:p w:rsidR="000F5EAC" w:rsidRDefault="000F5EAC" w:rsidP="006317AE">
      <w:pPr>
        <w:pStyle w:val="SingleTxtG"/>
        <w:rPr>
          <w:lang w:val="fr-FR"/>
        </w:rPr>
      </w:pPr>
    </w:p>
    <w:p w:rsidR="006317AE" w:rsidRDefault="006317AE" w:rsidP="000F5EAC">
      <w:pPr>
        <w:pStyle w:val="HChG"/>
        <w:spacing w:before="240"/>
        <w:rPr>
          <w:lang w:val="fr-FR"/>
        </w:rPr>
      </w:pPr>
      <w:r>
        <w:rPr>
          <w:lang w:val="fr-FR"/>
        </w:rPr>
        <w:lastRenderedPageBreak/>
        <w:tab/>
      </w:r>
      <w:r>
        <w:rPr>
          <w:lang w:val="fr-FR"/>
        </w:rPr>
        <w:tab/>
        <w:t>Proposition</w:t>
      </w:r>
    </w:p>
    <w:p w:rsidR="000F5EAC" w:rsidRDefault="006317AE" w:rsidP="000F5EAC">
      <w:pPr>
        <w:pStyle w:val="SingleTxtG"/>
        <w:rPr>
          <w:lang w:val="fr-FR"/>
        </w:rPr>
      </w:pPr>
      <w:r w:rsidRPr="004E50F4">
        <w:rPr>
          <w:i/>
          <w:iCs/>
          <w:lang w:val="fr-FR"/>
        </w:rPr>
        <w:t>« Conduite de retour de gaz (à terre</w:t>
      </w:r>
      <w:proofErr w:type="gramStart"/>
      <w:r w:rsidRPr="004E50F4">
        <w:rPr>
          <w:i/>
          <w:iCs/>
          <w:lang w:val="fr-FR"/>
        </w:rPr>
        <w:t>)</w:t>
      </w:r>
      <w:r>
        <w:rPr>
          <w:i/>
          <w:iCs/>
          <w:lang w:val="fr-FR"/>
        </w:rPr>
        <w:t>:</w:t>
      </w:r>
      <w:proofErr w:type="gramEnd"/>
      <w:r>
        <w:rPr>
          <w:i/>
          <w:iCs/>
          <w:lang w:val="fr-FR"/>
        </w:rPr>
        <w:t xml:space="preserve"> </w:t>
      </w:r>
      <w:r>
        <w:rPr>
          <w:lang w:val="fr-FR"/>
        </w:rPr>
        <w:t xml:space="preserve">Une conduite de l’installation à terre reliée pendant le chargement ou le déchargement à la conduite d’évacuation de gaz du bateau. </w:t>
      </w:r>
      <w:r>
        <w:rPr>
          <w:strike/>
          <w:lang w:val="fr-FR"/>
        </w:rPr>
        <w:t>Cette conduite est conçue de manière à protéger le bateau contre les détonations ou les passages de flammes provenant du côté terre</w:t>
      </w:r>
      <w:r>
        <w:rPr>
          <w:lang w:val="fr-FR"/>
        </w:rPr>
        <w:t> ».</w:t>
      </w:r>
    </w:p>
    <w:p w:rsidR="000F5EAC" w:rsidRPr="000F5EAC" w:rsidRDefault="000F5EAC" w:rsidP="000F5EAC">
      <w:pPr>
        <w:spacing w:before="240"/>
        <w:jc w:val="center"/>
        <w:rPr>
          <w:u w:val="single"/>
          <w:lang w:val="fr-FR"/>
        </w:rPr>
      </w:pPr>
      <w:r>
        <w:rPr>
          <w:u w:val="single"/>
          <w:lang w:val="fr-FR"/>
        </w:rPr>
        <w:tab/>
      </w:r>
      <w:r>
        <w:rPr>
          <w:u w:val="single"/>
          <w:lang w:val="fr-FR"/>
        </w:rPr>
        <w:tab/>
      </w:r>
      <w:r>
        <w:rPr>
          <w:u w:val="single"/>
          <w:lang w:val="fr-FR"/>
        </w:rPr>
        <w:tab/>
      </w:r>
    </w:p>
    <w:p w:rsidR="006317AE" w:rsidRPr="004E50F4" w:rsidRDefault="006317AE" w:rsidP="00D93C35">
      <w:pPr>
        <w:pStyle w:val="HChG"/>
        <w:rPr>
          <w:u w:val="single"/>
          <w:lang w:val="en-GB"/>
        </w:rPr>
      </w:pPr>
      <w:r w:rsidRPr="004E50F4">
        <w:tab/>
      </w:r>
      <w:r w:rsidRPr="008B6B2E">
        <w:rPr>
          <w:lang w:val="fr-BE"/>
        </w:rPr>
        <w:tab/>
      </w:r>
    </w:p>
    <w:p w:rsidR="006317AE" w:rsidRDefault="006317AE" w:rsidP="00463B5C">
      <w:pPr>
        <w:rPr>
          <w:b/>
          <w:bCs/>
        </w:rPr>
      </w:pPr>
    </w:p>
    <w:p w:rsidR="00446FE5" w:rsidRPr="00150DB2" w:rsidRDefault="00446FE5" w:rsidP="00150DB2"/>
    <w:sectPr w:rsidR="00446FE5" w:rsidRPr="00150DB2" w:rsidSect="000C0777">
      <w:headerReference w:type="even" r:id="rId9"/>
      <w:headerReference w:type="default" r:id="rId1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B5C" w:rsidRDefault="00463B5C" w:rsidP="00F95C08">
      <w:pPr>
        <w:spacing w:line="240" w:lineRule="auto"/>
      </w:pPr>
    </w:p>
  </w:endnote>
  <w:endnote w:type="continuationSeparator" w:id="0">
    <w:p w:rsidR="00463B5C" w:rsidRPr="00AC3823" w:rsidRDefault="00463B5C" w:rsidP="00AC3823">
      <w:pPr>
        <w:pStyle w:val="Footer"/>
      </w:pPr>
    </w:p>
  </w:endnote>
  <w:endnote w:type="continuationNotice" w:id="1">
    <w:p w:rsidR="00463B5C" w:rsidRDefault="00463B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B5C" w:rsidRPr="00AC3823" w:rsidRDefault="00463B5C" w:rsidP="00AC3823">
      <w:pPr>
        <w:pStyle w:val="Footer"/>
        <w:tabs>
          <w:tab w:val="right" w:pos="2155"/>
        </w:tabs>
        <w:spacing w:after="80" w:line="240" w:lineRule="atLeast"/>
        <w:ind w:left="680"/>
        <w:rPr>
          <w:u w:val="single"/>
        </w:rPr>
      </w:pPr>
      <w:r>
        <w:rPr>
          <w:u w:val="single"/>
        </w:rPr>
        <w:tab/>
      </w:r>
    </w:p>
  </w:footnote>
  <w:footnote w:type="continuationSeparator" w:id="0">
    <w:p w:rsidR="00463B5C" w:rsidRPr="00AC3823" w:rsidRDefault="00463B5C" w:rsidP="00AC3823">
      <w:pPr>
        <w:pStyle w:val="Footer"/>
        <w:tabs>
          <w:tab w:val="right" w:pos="2155"/>
        </w:tabs>
        <w:spacing w:after="80" w:line="240" w:lineRule="atLeast"/>
        <w:ind w:left="680"/>
        <w:rPr>
          <w:u w:val="single"/>
        </w:rPr>
      </w:pPr>
      <w:r>
        <w:rPr>
          <w:u w:val="single"/>
        </w:rPr>
        <w:tab/>
      </w:r>
    </w:p>
  </w:footnote>
  <w:footnote w:type="continuationNotice" w:id="1">
    <w:p w:rsidR="00463B5C" w:rsidRPr="00AC3823" w:rsidRDefault="00463B5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588" w:rsidRDefault="00C67588">
    <w:pPr>
      <w:pStyle w:val="Header"/>
    </w:pPr>
    <w:r>
      <w:t>ECE/TRANS/WP.15/AC.2/2019/33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588" w:rsidRDefault="00C67588">
    <w:pPr>
      <w:pStyle w:val="Header"/>
    </w:pPr>
    <w:r>
      <w:t>ECE/TRANS/WP.15/AC.2/2019/33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5C"/>
    <w:rsid w:val="00017F94"/>
    <w:rsid w:val="00023842"/>
    <w:rsid w:val="000334F9"/>
    <w:rsid w:val="0007796D"/>
    <w:rsid w:val="000B7790"/>
    <w:rsid w:val="000C0777"/>
    <w:rsid w:val="000C390E"/>
    <w:rsid w:val="000F5EAC"/>
    <w:rsid w:val="00103267"/>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96385"/>
    <w:rsid w:val="003D1AD0"/>
    <w:rsid w:val="00446FE5"/>
    <w:rsid w:val="00452396"/>
    <w:rsid w:val="00463B5C"/>
    <w:rsid w:val="004D1CEB"/>
    <w:rsid w:val="005505B7"/>
    <w:rsid w:val="00573BE5"/>
    <w:rsid w:val="00586ED3"/>
    <w:rsid w:val="00596AA9"/>
    <w:rsid w:val="006122C4"/>
    <w:rsid w:val="006317AE"/>
    <w:rsid w:val="006E2C9B"/>
    <w:rsid w:val="0071601D"/>
    <w:rsid w:val="0076624F"/>
    <w:rsid w:val="00766CEC"/>
    <w:rsid w:val="0079527C"/>
    <w:rsid w:val="007A62E6"/>
    <w:rsid w:val="007D0A06"/>
    <w:rsid w:val="0080684C"/>
    <w:rsid w:val="00815502"/>
    <w:rsid w:val="00826B40"/>
    <w:rsid w:val="00871C75"/>
    <w:rsid w:val="008776DC"/>
    <w:rsid w:val="008F2A1D"/>
    <w:rsid w:val="0093050C"/>
    <w:rsid w:val="00957790"/>
    <w:rsid w:val="009705C8"/>
    <w:rsid w:val="00A12AB5"/>
    <w:rsid w:val="00AC3823"/>
    <w:rsid w:val="00AD3959"/>
    <w:rsid w:val="00AE323C"/>
    <w:rsid w:val="00AE7D9F"/>
    <w:rsid w:val="00B00181"/>
    <w:rsid w:val="00B43C66"/>
    <w:rsid w:val="00B765F7"/>
    <w:rsid w:val="00BA0CA9"/>
    <w:rsid w:val="00BB3E59"/>
    <w:rsid w:val="00BE1F4C"/>
    <w:rsid w:val="00BE4745"/>
    <w:rsid w:val="00BF3C2C"/>
    <w:rsid w:val="00C02897"/>
    <w:rsid w:val="00C67588"/>
    <w:rsid w:val="00C94FD2"/>
    <w:rsid w:val="00CF3AE1"/>
    <w:rsid w:val="00D3439C"/>
    <w:rsid w:val="00D40AEB"/>
    <w:rsid w:val="00D75EA3"/>
    <w:rsid w:val="00D93C35"/>
    <w:rsid w:val="00DA22F4"/>
    <w:rsid w:val="00DB1831"/>
    <w:rsid w:val="00DD3BFD"/>
    <w:rsid w:val="00DF6678"/>
    <w:rsid w:val="00E22CF2"/>
    <w:rsid w:val="00E33F14"/>
    <w:rsid w:val="00E52D9F"/>
    <w:rsid w:val="00F12269"/>
    <w:rsid w:val="00F164B0"/>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8C89D03-47E7-457A-936A-7D56588A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B5C"/>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character" w:customStyle="1" w:styleId="H1GChar">
    <w:name w:val="_ H_1_G Char"/>
    <w:link w:val="H1G"/>
    <w:locked/>
    <w:rsid w:val="006317AE"/>
    <w:rPr>
      <w:b/>
      <w:sz w:val="24"/>
    </w:rPr>
  </w:style>
  <w:style w:type="character" w:customStyle="1" w:styleId="SingleTxtGChar">
    <w:name w:val="_ Single Txt_G Char"/>
    <w:link w:val="SingleTxtG"/>
    <w:qFormat/>
    <w:locked/>
    <w:rsid w:val="006317AE"/>
  </w:style>
  <w:style w:type="character" w:customStyle="1" w:styleId="HChGChar">
    <w:name w:val="_ H _Ch_G Char"/>
    <w:link w:val="HChG"/>
    <w:locked/>
    <w:rsid w:val="006317AE"/>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715E-CF3D-4021-B13A-0605C8B4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2083</Characters>
  <Application>Microsoft Office Word</Application>
  <DocSecurity>0</DocSecurity>
  <Lines>52</Lines>
  <Paragraphs>28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Marie-Claude Collet</cp:lastModifiedBy>
  <cp:revision>3</cp:revision>
  <cp:lastPrinted>2014-05-14T10:59:00Z</cp:lastPrinted>
  <dcterms:created xsi:type="dcterms:W3CDTF">2019-06-13T13:40:00Z</dcterms:created>
  <dcterms:modified xsi:type="dcterms:W3CDTF">2019-06-13T13:44:00Z</dcterms:modified>
</cp:coreProperties>
</file>