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76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A076BF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 w:rsidR="00A076BF">
              <w:rPr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76BF" w:rsidP="00A076BF">
            <w:pPr>
              <w:jc w:val="right"/>
            </w:pPr>
            <w:r w:rsidRPr="00A076BF">
              <w:rPr>
                <w:sz w:val="40"/>
              </w:rPr>
              <w:t>ECE</w:t>
            </w:r>
            <w:r>
              <w:t>/TRANS/WP.15/AC.2/2019/10</w:t>
            </w:r>
          </w:p>
        </w:tc>
      </w:tr>
      <w:tr w:rsidR="002D5AAC" w:rsidRPr="0027756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Экономический</w:t>
            </w:r>
            <w:r w:rsidR="00A076BF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</w:t>
            </w:r>
            <w:r w:rsidR="00A076BF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Социальный</w:t>
            </w:r>
            <w:r w:rsidR="00A076BF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076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076BF" w:rsidRDefault="00A076BF" w:rsidP="00A076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2018</w:t>
            </w:r>
          </w:p>
          <w:p w:rsidR="00A076BF" w:rsidRDefault="00A076BF" w:rsidP="00A076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076BF" w:rsidRPr="008D53B6" w:rsidRDefault="00A076BF" w:rsidP="00A076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</w:t>
      </w:r>
      <w:r w:rsidR="00A076BF">
        <w:rPr>
          <w:b/>
          <w:sz w:val="28"/>
          <w:szCs w:val="28"/>
        </w:rPr>
        <w:t xml:space="preserve"> </w:t>
      </w:r>
      <w:r w:rsidRPr="00245892">
        <w:rPr>
          <w:b/>
          <w:sz w:val="28"/>
          <w:szCs w:val="28"/>
        </w:rPr>
        <w:t>экономическая</w:t>
      </w:r>
      <w:r w:rsidR="00A076BF">
        <w:rPr>
          <w:b/>
          <w:sz w:val="28"/>
          <w:szCs w:val="28"/>
        </w:rPr>
        <w:t xml:space="preserve"> </w:t>
      </w:r>
      <w:r w:rsidRPr="00245892">
        <w:rPr>
          <w:b/>
          <w:sz w:val="28"/>
          <w:szCs w:val="28"/>
        </w:rPr>
        <w:t>комиссия</w:t>
      </w:r>
    </w:p>
    <w:p w:rsidR="00A076BF" w:rsidRPr="00A618F0" w:rsidRDefault="00A076BF" w:rsidP="00A076BF">
      <w:pPr>
        <w:spacing w:before="120"/>
        <w:rPr>
          <w:sz w:val="28"/>
          <w:szCs w:val="28"/>
        </w:rPr>
      </w:pPr>
      <w:r w:rsidRPr="00A618F0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A618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8F0">
        <w:rPr>
          <w:sz w:val="28"/>
          <w:szCs w:val="28"/>
        </w:rPr>
        <w:t>внутреннему</w:t>
      </w:r>
      <w:r>
        <w:rPr>
          <w:sz w:val="28"/>
          <w:szCs w:val="28"/>
        </w:rPr>
        <w:t xml:space="preserve"> </w:t>
      </w:r>
      <w:r w:rsidRPr="00A618F0">
        <w:rPr>
          <w:sz w:val="28"/>
          <w:szCs w:val="28"/>
        </w:rPr>
        <w:t>транспорту</w:t>
      </w:r>
    </w:p>
    <w:p w:rsidR="00A076BF" w:rsidRPr="00A618F0" w:rsidRDefault="00A076BF" w:rsidP="00A076BF">
      <w:pPr>
        <w:spacing w:before="120"/>
        <w:rPr>
          <w:b/>
          <w:sz w:val="24"/>
          <w:szCs w:val="24"/>
        </w:rPr>
      </w:pPr>
      <w:r w:rsidRPr="00A618F0">
        <w:rPr>
          <w:b/>
          <w:bCs/>
          <w:sz w:val="24"/>
          <w:szCs w:val="24"/>
        </w:rPr>
        <w:t>Рабочая</w:t>
      </w:r>
      <w:r>
        <w:rPr>
          <w:b/>
          <w:bCs/>
          <w:sz w:val="24"/>
          <w:szCs w:val="24"/>
        </w:rPr>
        <w:t xml:space="preserve"> </w:t>
      </w:r>
      <w:r w:rsidRPr="00A618F0">
        <w:rPr>
          <w:b/>
          <w:bCs/>
          <w:sz w:val="24"/>
          <w:szCs w:val="24"/>
        </w:rPr>
        <w:t>группа</w:t>
      </w:r>
      <w:r>
        <w:rPr>
          <w:b/>
          <w:bCs/>
          <w:sz w:val="24"/>
          <w:szCs w:val="24"/>
        </w:rPr>
        <w:t xml:space="preserve"> </w:t>
      </w:r>
      <w:r w:rsidRPr="00A618F0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A618F0">
        <w:rPr>
          <w:b/>
          <w:bCs/>
          <w:sz w:val="24"/>
          <w:szCs w:val="24"/>
        </w:rPr>
        <w:t>перевозкам</w:t>
      </w:r>
      <w:r>
        <w:rPr>
          <w:b/>
          <w:bCs/>
          <w:sz w:val="24"/>
          <w:szCs w:val="24"/>
        </w:rPr>
        <w:t xml:space="preserve"> </w:t>
      </w:r>
      <w:r w:rsidRPr="00A618F0">
        <w:rPr>
          <w:b/>
          <w:bCs/>
          <w:sz w:val="24"/>
          <w:szCs w:val="24"/>
        </w:rPr>
        <w:t>опасных</w:t>
      </w:r>
      <w:r>
        <w:rPr>
          <w:b/>
          <w:bCs/>
          <w:sz w:val="24"/>
          <w:szCs w:val="24"/>
        </w:rPr>
        <w:t xml:space="preserve"> </w:t>
      </w:r>
      <w:r w:rsidRPr="00A618F0">
        <w:rPr>
          <w:b/>
          <w:bCs/>
          <w:sz w:val="24"/>
          <w:szCs w:val="24"/>
        </w:rPr>
        <w:t>грузов</w:t>
      </w:r>
    </w:p>
    <w:p w:rsidR="00A076BF" w:rsidRPr="00902A37" w:rsidRDefault="00A076BF" w:rsidP="00A076BF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A076BF" w:rsidRPr="00902A37" w:rsidRDefault="00A076BF" w:rsidP="00A076BF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A076BF" w:rsidRDefault="00A076BF" w:rsidP="00A076BF">
      <w:r>
        <w:t>Женева, 21</w:t>
      </w:r>
      <w:r w:rsidRPr="00A076BF">
        <w:t>–</w:t>
      </w:r>
      <w:r>
        <w:t>25 января 2019 года</w:t>
      </w:r>
    </w:p>
    <w:p w:rsidR="00A076BF" w:rsidRPr="00902A37" w:rsidRDefault="00A076BF" w:rsidP="00A076BF">
      <w:r>
        <w:t>Пункт 5 b) предварительной повестки дня</w:t>
      </w:r>
    </w:p>
    <w:p w:rsidR="00A076BF" w:rsidRPr="0018672C" w:rsidRDefault="00A076BF" w:rsidP="00A076BF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="00B72179" w:rsidRPr="00B72179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:rsidR="00A076BF" w:rsidRPr="0018672C" w:rsidRDefault="00A076BF" w:rsidP="00A076B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Уточнение пункта 1.1.3.6.1</w:t>
      </w:r>
    </w:p>
    <w:p w:rsidR="00A076BF" w:rsidRPr="004B76F9" w:rsidRDefault="00A076BF" w:rsidP="00A076BF">
      <w:pPr>
        <w:pStyle w:val="H1G"/>
        <w:rPr>
          <w:bCs/>
          <w:sz w:val="20"/>
          <w:vertAlign w:val="super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Европейским союзом речного судоходства (ЕСРС) и</w:t>
      </w:r>
      <w:r>
        <w:rPr>
          <w:bCs/>
          <w:lang w:val="en-US"/>
        </w:rPr>
        <w:t> </w:t>
      </w:r>
      <w:r>
        <w:rPr>
          <w:bCs/>
          <w:lang w:val="ru-RU"/>
        </w:rPr>
        <w:t>Европейской организацией судоводителей (ЕОС)</w:t>
      </w:r>
      <w:r w:rsidR="004B76F9" w:rsidRPr="00F313D9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="004B76F9" w:rsidRPr="00F313D9">
        <w:rPr>
          <w:b w:val="0"/>
          <w:bCs/>
          <w:sz w:val="20"/>
          <w:lang w:val="ru-RU"/>
        </w:rPr>
        <w:t xml:space="preserve"> </w:t>
      </w:r>
      <w:r w:rsidR="004B76F9" w:rsidRPr="00F313D9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5858"/>
      </w:tblGrid>
      <w:tr w:rsidR="00A076BF" w:rsidRPr="00D06412" w:rsidTr="00B72179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A076BF" w:rsidRPr="00277569" w:rsidRDefault="00A076BF" w:rsidP="00B72179">
            <w:pPr>
              <w:tabs>
                <w:tab w:val="left" w:pos="284"/>
              </w:tabs>
              <w:spacing w:before="120" w:after="120"/>
              <w:ind w:right="-204"/>
              <w:rPr>
                <w:i/>
              </w:rPr>
            </w:pPr>
            <w:r w:rsidRPr="00277569">
              <w:rPr>
                <w:i/>
              </w:rPr>
              <w:tab/>
            </w:r>
            <w:r w:rsidRPr="00277569">
              <w:rPr>
                <w:bCs/>
                <w:i/>
              </w:rPr>
              <w:t>Справочные документы: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076BF" w:rsidRPr="00C2709D" w:rsidRDefault="00A076BF" w:rsidP="00B72179">
            <w:pPr>
              <w:spacing w:before="120"/>
              <w:ind w:left="352"/>
              <w:rPr>
                <w:lang w:val="en-US"/>
              </w:rPr>
            </w:pPr>
            <w:r w:rsidRPr="00902A37">
              <w:rPr>
                <w:lang w:val="en-US"/>
              </w:rPr>
              <w:t>ECE/TRANS/WP.15/AC.2/2018/47</w:t>
            </w:r>
            <w:r w:rsidRPr="00C2709D">
              <w:rPr>
                <w:lang w:val="en-US"/>
              </w:rPr>
              <w:t>;</w:t>
            </w:r>
          </w:p>
          <w:p w:rsidR="00A076BF" w:rsidRPr="00C2709D" w:rsidRDefault="00A076BF" w:rsidP="00B72179">
            <w:pPr>
              <w:ind w:left="351"/>
              <w:rPr>
                <w:lang w:val="en-US"/>
              </w:rPr>
            </w:pPr>
            <w:r w:rsidRPr="00902A37">
              <w:rPr>
                <w:lang w:val="en-US"/>
              </w:rPr>
              <w:t>ECE/TRANS/WP.15/AC.2/66</w:t>
            </w:r>
            <w:r w:rsidRPr="00C2709D">
              <w:rPr>
                <w:lang w:val="en-US"/>
              </w:rPr>
              <w:t>;</w:t>
            </w:r>
          </w:p>
          <w:p w:rsidR="00A076BF" w:rsidRPr="00902A37" w:rsidRDefault="00A076BF" w:rsidP="00EB0F13">
            <w:pPr>
              <w:spacing w:after="120"/>
              <w:ind w:left="351"/>
            </w:pPr>
            <w:r>
              <w:t>неофициальный документ INF.20, представленный на</w:t>
            </w:r>
            <w:r w:rsidR="00EB0F13">
              <w:rPr>
                <w:lang w:val="en-US"/>
              </w:rPr>
              <w:t> </w:t>
            </w:r>
            <w:r>
              <w:t>тридцать второй сессии (подраздел А)</w:t>
            </w:r>
          </w:p>
        </w:tc>
      </w:tr>
    </w:tbl>
    <w:p w:rsidR="00A076BF" w:rsidRPr="00EA2253" w:rsidRDefault="00A076BF" w:rsidP="00A076B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A076BF" w:rsidRPr="00561977" w:rsidRDefault="00A076BF" w:rsidP="00A076BF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EA2253">
        <w:rPr>
          <w:lang w:val="ru-RU"/>
        </w:rPr>
        <w:t>ЕСРС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ЕОС</w:t>
      </w:r>
      <w:r>
        <w:rPr>
          <w:lang w:val="ru-RU"/>
        </w:rPr>
        <w:t xml:space="preserve"> </w:t>
      </w:r>
      <w:r w:rsidRPr="00EA2253">
        <w:rPr>
          <w:lang w:val="ru-RU"/>
        </w:rPr>
        <w:t>получили</w:t>
      </w:r>
      <w:r>
        <w:rPr>
          <w:lang w:val="ru-RU"/>
        </w:rPr>
        <w:t xml:space="preserve"> </w:t>
      </w:r>
      <w:r w:rsidRPr="00EA2253">
        <w:rPr>
          <w:lang w:val="ru-RU"/>
        </w:rPr>
        <w:t>от</w:t>
      </w:r>
      <w:r>
        <w:rPr>
          <w:lang w:val="ru-RU"/>
        </w:rPr>
        <w:t xml:space="preserve"> </w:t>
      </w:r>
      <w:r w:rsidRPr="00EA2253">
        <w:rPr>
          <w:lang w:val="ru-RU"/>
        </w:rPr>
        <w:t>организаторов</w:t>
      </w:r>
      <w:r>
        <w:rPr>
          <w:lang w:val="ru-RU"/>
        </w:rPr>
        <w:t xml:space="preserve"> </w:t>
      </w:r>
      <w:r w:rsidRPr="00EA2253">
        <w:rPr>
          <w:lang w:val="ru-RU"/>
        </w:rPr>
        <w:t>совещаний</w:t>
      </w:r>
      <w:r>
        <w:rPr>
          <w:lang w:val="ru-RU"/>
        </w:rPr>
        <w:t xml:space="preserve"> </w:t>
      </w:r>
      <w:r w:rsidRPr="00EA2253">
        <w:rPr>
          <w:lang w:val="ru-RU"/>
        </w:rPr>
        <w:t>ЕСРС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ЕОС</w:t>
      </w:r>
      <w:r>
        <w:rPr>
          <w:lang w:val="ru-RU"/>
        </w:rPr>
        <w:t xml:space="preserve"> </w:t>
      </w:r>
      <w:r w:rsidRPr="00EA2253">
        <w:rPr>
          <w:lang w:val="ru-RU"/>
        </w:rPr>
        <w:t>по</w:t>
      </w:r>
      <w:r>
        <w:rPr>
          <w:lang w:val="ru-RU"/>
        </w:rPr>
        <w:t xml:space="preserve"> </w:t>
      </w:r>
      <w:r w:rsidRPr="00EA2253">
        <w:rPr>
          <w:lang w:val="ru-RU"/>
        </w:rPr>
        <w:t>опасным</w:t>
      </w:r>
      <w:r>
        <w:rPr>
          <w:lang w:val="ru-RU"/>
        </w:rPr>
        <w:t xml:space="preserve"> </w:t>
      </w:r>
      <w:r w:rsidRPr="00EA2253">
        <w:rPr>
          <w:lang w:val="ru-RU"/>
        </w:rPr>
        <w:t>грузам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от</w:t>
      </w:r>
      <w:r>
        <w:rPr>
          <w:lang w:val="ru-RU"/>
        </w:rPr>
        <w:t xml:space="preserve"> </w:t>
      </w:r>
      <w:r w:rsidRPr="00EA2253">
        <w:rPr>
          <w:lang w:val="ru-RU"/>
        </w:rPr>
        <w:t>инструкторов</w:t>
      </w:r>
      <w:r>
        <w:rPr>
          <w:lang w:val="ru-RU"/>
        </w:rPr>
        <w:t xml:space="preserve"> </w:t>
      </w:r>
      <w:r w:rsidRPr="00EA2253">
        <w:rPr>
          <w:lang w:val="ru-RU"/>
        </w:rPr>
        <w:t>по</w:t>
      </w:r>
      <w:r>
        <w:rPr>
          <w:lang w:val="ru-RU"/>
        </w:rPr>
        <w:t xml:space="preserve"> </w:t>
      </w:r>
      <w:r w:rsidRPr="00EA2253">
        <w:rPr>
          <w:lang w:val="ru-RU"/>
        </w:rPr>
        <w:t>ВОПОГ,</w:t>
      </w:r>
      <w:r>
        <w:rPr>
          <w:lang w:val="ru-RU"/>
        </w:rPr>
        <w:t xml:space="preserve"> </w:t>
      </w:r>
      <w:r w:rsidRPr="00EA2253">
        <w:rPr>
          <w:lang w:val="ru-RU"/>
        </w:rPr>
        <w:t>участвующих</w:t>
      </w:r>
      <w:r>
        <w:rPr>
          <w:lang w:val="ru-RU"/>
        </w:rPr>
        <w:t xml:space="preserve"> </w:t>
      </w:r>
      <w:r w:rsidRPr="00EA2253">
        <w:rPr>
          <w:lang w:val="ru-RU"/>
        </w:rPr>
        <w:t>в</w:t>
      </w:r>
      <w:r>
        <w:rPr>
          <w:lang w:val="ru-RU"/>
        </w:rPr>
        <w:t xml:space="preserve"> </w:t>
      </w:r>
      <w:r w:rsidRPr="00EA2253">
        <w:rPr>
          <w:lang w:val="ru-RU"/>
        </w:rPr>
        <w:t>деятельности</w:t>
      </w:r>
      <w:r>
        <w:rPr>
          <w:lang w:val="ru-RU"/>
        </w:rPr>
        <w:t xml:space="preserve"> </w:t>
      </w:r>
      <w:r w:rsidRPr="00EA2253">
        <w:rPr>
          <w:lang w:val="ru-RU"/>
        </w:rPr>
        <w:t>неофициальной</w:t>
      </w:r>
      <w:r>
        <w:rPr>
          <w:lang w:val="ru-RU"/>
        </w:rPr>
        <w:t xml:space="preserve"> </w:t>
      </w:r>
      <w:r w:rsidRPr="00EA2253">
        <w:rPr>
          <w:lang w:val="ru-RU"/>
        </w:rPr>
        <w:t>рабочей</w:t>
      </w:r>
      <w:r>
        <w:rPr>
          <w:lang w:val="ru-RU"/>
        </w:rPr>
        <w:t xml:space="preserve"> </w:t>
      </w:r>
      <w:r w:rsidRPr="00EA2253">
        <w:rPr>
          <w:lang w:val="ru-RU"/>
        </w:rPr>
        <w:t>группы</w:t>
      </w:r>
      <w:r>
        <w:rPr>
          <w:lang w:val="ru-RU"/>
        </w:rPr>
        <w:t xml:space="preserve"> </w:t>
      </w:r>
      <w:r w:rsidRPr="00EA2253">
        <w:rPr>
          <w:lang w:val="ru-RU"/>
        </w:rPr>
        <w:t>по</w:t>
      </w:r>
      <w:r>
        <w:rPr>
          <w:lang w:val="ru-RU"/>
        </w:rPr>
        <w:t xml:space="preserve"> </w:t>
      </w:r>
      <w:r w:rsidRPr="00EA2253">
        <w:rPr>
          <w:lang w:val="ru-RU"/>
        </w:rPr>
        <w:t>подготовке</w:t>
      </w:r>
      <w:r>
        <w:rPr>
          <w:lang w:val="ru-RU"/>
        </w:rPr>
        <w:t xml:space="preserve"> </w:t>
      </w:r>
      <w:r w:rsidRPr="00EA2253">
        <w:rPr>
          <w:lang w:val="ru-RU"/>
        </w:rPr>
        <w:t>экспертов</w:t>
      </w:r>
      <w:r>
        <w:rPr>
          <w:lang w:val="ru-RU"/>
        </w:rPr>
        <w:t xml:space="preserve"> </w:t>
      </w:r>
      <w:r w:rsidRPr="00EA2253">
        <w:rPr>
          <w:lang w:val="ru-RU"/>
        </w:rPr>
        <w:t>(IAG</w:t>
      </w:r>
      <w:r>
        <w:rPr>
          <w:lang w:val="ru-RU"/>
        </w:rPr>
        <w:t xml:space="preserve"> </w:t>
      </w:r>
      <w:proofErr w:type="spellStart"/>
      <w:r w:rsidRPr="00EA2253">
        <w:rPr>
          <w:lang w:val="ru-RU"/>
        </w:rPr>
        <w:t>Sachkundigenausbildung</w:t>
      </w:r>
      <w:proofErr w:type="spellEnd"/>
      <w:r w:rsidRPr="00EA2253">
        <w:rPr>
          <w:lang w:val="ru-RU"/>
        </w:rPr>
        <w:t>),</w:t>
      </w:r>
      <w:r>
        <w:rPr>
          <w:lang w:val="ru-RU"/>
        </w:rPr>
        <w:t xml:space="preserve"> </w:t>
      </w:r>
      <w:r w:rsidRPr="00EA2253">
        <w:rPr>
          <w:lang w:val="ru-RU"/>
        </w:rPr>
        <w:t>ряд</w:t>
      </w:r>
      <w:r>
        <w:rPr>
          <w:lang w:val="ru-RU"/>
        </w:rPr>
        <w:t xml:space="preserve"> </w:t>
      </w:r>
      <w:r w:rsidRPr="00EA2253">
        <w:rPr>
          <w:lang w:val="ru-RU"/>
        </w:rPr>
        <w:t>предложений</w:t>
      </w:r>
      <w:r>
        <w:rPr>
          <w:lang w:val="ru-RU"/>
        </w:rPr>
        <w:t xml:space="preserve"> </w:t>
      </w:r>
      <w:r w:rsidRPr="00EA2253">
        <w:rPr>
          <w:lang w:val="ru-RU"/>
        </w:rPr>
        <w:t>об</w:t>
      </w:r>
      <w:r>
        <w:rPr>
          <w:lang w:val="ru-RU"/>
        </w:rPr>
        <w:t xml:space="preserve"> </w:t>
      </w:r>
      <w:r w:rsidRPr="00EA2253">
        <w:rPr>
          <w:lang w:val="ru-RU"/>
        </w:rPr>
        <w:t>улучшении</w:t>
      </w:r>
      <w:r>
        <w:rPr>
          <w:lang w:val="ru-RU"/>
        </w:rPr>
        <w:t xml:space="preserve"> </w:t>
      </w:r>
      <w:r w:rsidRPr="00EA2253">
        <w:rPr>
          <w:lang w:val="ru-RU"/>
        </w:rPr>
        <w:t>ВОПОГ.</w:t>
      </w:r>
      <w:r>
        <w:rPr>
          <w:lang w:val="ru-RU"/>
        </w:rPr>
        <w:t xml:space="preserve"> </w:t>
      </w:r>
      <w:r w:rsidRPr="00EA2253">
        <w:rPr>
          <w:lang w:val="ru-RU"/>
        </w:rPr>
        <w:t>Эти</w:t>
      </w:r>
      <w:r>
        <w:rPr>
          <w:lang w:val="ru-RU"/>
        </w:rPr>
        <w:t xml:space="preserve"> </w:t>
      </w:r>
      <w:r w:rsidRPr="00EA2253">
        <w:rPr>
          <w:lang w:val="ru-RU"/>
        </w:rPr>
        <w:t>предложения</w:t>
      </w:r>
      <w:r>
        <w:rPr>
          <w:lang w:val="ru-RU"/>
        </w:rPr>
        <w:t xml:space="preserve"> </w:t>
      </w:r>
      <w:r w:rsidRPr="00EA2253">
        <w:rPr>
          <w:lang w:val="ru-RU"/>
        </w:rPr>
        <w:t>носят</w:t>
      </w:r>
      <w:r>
        <w:rPr>
          <w:lang w:val="ru-RU"/>
        </w:rPr>
        <w:t xml:space="preserve"> </w:t>
      </w:r>
      <w:r w:rsidRPr="00EA2253">
        <w:rPr>
          <w:lang w:val="ru-RU"/>
        </w:rPr>
        <w:t>в</w:t>
      </w:r>
      <w:r>
        <w:rPr>
          <w:lang w:val="ru-RU"/>
        </w:rPr>
        <w:t xml:space="preserve"> </w:t>
      </w:r>
      <w:r w:rsidRPr="00EA2253">
        <w:rPr>
          <w:lang w:val="ru-RU"/>
        </w:rPr>
        <w:t>основном</w:t>
      </w:r>
      <w:r>
        <w:rPr>
          <w:lang w:val="ru-RU"/>
        </w:rPr>
        <w:t xml:space="preserve"> </w:t>
      </w:r>
      <w:r w:rsidRPr="00EA2253">
        <w:rPr>
          <w:lang w:val="ru-RU"/>
        </w:rPr>
        <w:t>редакционный</w:t>
      </w:r>
      <w:r>
        <w:rPr>
          <w:lang w:val="ru-RU"/>
        </w:rPr>
        <w:t xml:space="preserve"> </w:t>
      </w:r>
      <w:r w:rsidRPr="00EA2253">
        <w:rPr>
          <w:lang w:val="ru-RU"/>
        </w:rPr>
        <w:t>характер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направлены</w:t>
      </w:r>
      <w:r>
        <w:rPr>
          <w:lang w:val="ru-RU"/>
        </w:rPr>
        <w:t xml:space="preserve"> </w:t>
      </w:r>
      <w:r w:rsidRPr="00EA2253">
        <w:rPr>
          <w:lang w:val="ru-RU"/>
        </w:rPr>
        <w:t>на</w:t>
      </w:r>
      <w:r>
        <w:rPr>
          <w:lang w:val="ru-RU"/>
        </w:rPr>
        <w:t xml:space="preserve"> </w:t>
      </w:r>
      <w:r w:rsidRPr="00EA2253">
        <w:rPr>
          <w:lang w:val="ru-RU"/>
        </w:rPr>
        <w:t>улучшение</w:t>
      </w:r>
      <w:r>
        <w:rPr>
          <w:lang w:val="ru-RU"/>
        </w:rPr>
        <w:t xml:space="preserve"> </w:t>
      </w:r>
      <w:r w:rsidRPr="00EA2253">
        <w:rPr>
          <w:lang w:val="ru-RU"/>
        </w:rPr>
        <w:t>читаемости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удобства</w:t>
      </w:r>
      <w:r>
        <w:rPr>
          <w:lang w:val="ru-RU"/>
        </w:rPr>
        <w:t xml:space="preserve"> </w:t>
      </w:r>
      <w:r w:rsidRPr="00EA2253">
        <w:rPr>
          <w:lang w:val="ru-RU"/>
        </w:rPr>
        <w:t>использования</w:t>
      </w:r>
      <w:r>
        <w:rPr>
          <w:lang w:val="ru-RU"/>
        </w:rPr>
        <w:t xml:space="preserve"> </w:t>
      </w:r>
      <w:r w:rsidRPr="00EA2253">
        <w:rPr>
          <w:lang w:val="ru-RU"/>
        </w:rPr>
        <w:t>ВОПОГ</w:t>
      </w:r>
      <w:r>
        <w:rPr>
          <w:lang w:val="ru-RU"/>
        </w:rPr>
        <w:t xml:space="preserve"> </w:t>
      </w:r>
      <w:r w:rsidRPr="00EA2253">
        <w:rPr>
          <w:lang w:val="ru-RU"/>
        </w:rPr>
        <w:t>как</w:t>
      </w:r>
      <w:r>
        <w:rPr>
          <w:lang w:val="ru-RU"/>
        </w:rPr>
        <w:t xml:space="preserve"> </w:t>
      </w:r>
      <w:r w:rsidRPr="00EA2253">
        <w:rPr>
          <w:lang w:val="ru-RU"/>
        </w:rPr>
        <w:t>в</w:t>
      </w:r>
      <w:r>
        <w:rPr>
          <w:lang w:val="ru-RU"/>
        </w:rPr>
        <w:t xml:space="preserve"> </w:t>
      </w:r>
      <w:r w:rsidRPr="00EA2253">
        <w:rPr>
          <w:lang w:val="ru-RU"/>
        </w:rPr>
        <w:t>целом,</w:t>
      </w:r>
      <w:r>
        <w:rPr>
          <w:lang w:val="ru-RU"/>
        </w:rPr>
        <w:t xml:space="preserve"> </w:t>
      </w:r>
      <w:r w:rsidRPr="00EA2253">
        <w:rPr>
          <w:lang w:val="ru-RU"/>
        </w:rPr>
        <w:t>так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экипажами</w:t>
      </w:r>
      <w:r>
        <w:rPr>
          <w:lang w:val="ru-RU"/>
        </w:rPr>
        <w:t xml:space="preserve"> </w:t>
      </w:r>
      <w:r w:rsidRPr="00EA2253">
        <w:rPr>
          <w:lang w:val="ru-RU"/>
        </w:rPr>
        <w:t>барж,</w:t>
      </w:r>
      <w:r>
        <w:rPr>
          <w:lang w:val="ru-RU"/>
        </w:rPr>
        <w:t xml:space="preserve"> </w:t>
      </w:r>
      <w:r w:rsidRPr="00EA2253">
        <w:rPr>
          <w:lang w:val="ru-RU"/>
        </w:rPr>
        <w:t>являющимися</w:t>
      </w:r>
      <w:r>
        <w:rPr>
          <w:lang w:val="ru-RU"/>
        </w:rPr>
        <w:t xml:space="preserve"> </w:t>
      </w:r>
      <w:r w:rsidRPr="00EA2253">
        <w:rPr>
          <w:lang w:val="ru-RU"/>
        </w:rPr>
        <w:t>конкретными</w:t>
      </w:r>
      <w:r>
        <w:rPr>
          <w:lang w:val="ru-RU"/>
        </w:rPr>
        <w:t xml:space="preserve"> </w:t>
      </w:r>
      <w:r w:rsidRPr="00EA2253">
        <w:rPr>
          <w:lang w:val="ru-RU"/>
        </w:rPr>
        <w:t>практическими</w:t>
      </w:r>
      <w:r>
        <w:rPr>
          <w:lang w:val="ru-RU"/>
        </w:rPr>
        <w:t xml:space="preserve"> </w:t>
      </w:r>
      <w:r w:rsidRPr="00EA2253">
        <w:rPr>
          <w:lang w:val="ru-RU"/>
        </w:rPr>
        <w:t>пользователями</w:t>
      </w:r>
      <w:r>
        <w:rPr>
          <w:lang w:val="ru-RU"/>
        </w:rPr>
        <w:t xml:space="preserve"> </w:t>
      </w:r>
      <w:r w:rsidRPr="00EA2253">
        <w:rPr>
          <w:lang w:val="ru-RU"/>
        </w:rPr>
        <w:t>ВОПОГ,</w:t>
      </w:r>
      <w:r>
        <w:rPr>
          <w:lang w:val="ru-RU"/>
        </w:rPr>
        <w:t xml:space="preserve"> </w:t>
      </w:r>
      <w:r w:rsidRPr="00EA2253">
        <w:rPr>
          <w:lang w:val="ru-RU"/>
        </w:rPr>
        <w:t>и</w:t>
      </w:r>
      <w:r>
        <w:rPr>
          <w:lang w:val="ru-RU"/>
        </w:rPr>
        <w:t xml:space="preserve"> </w:t>
      </w:r>
      <w:r w:rsidRPr="00EA2253">
        <w:rPr>
          <w:lang w:val="ru-RU"/>
        </w:rPr>
        <w:t>экспертами</w:t>
      </w:r>
      <w:r>
        <w:rPr>
          <w:lang w:val="ru-RU"/>
        </w:rPr>
        <w:t xml:space="preserve"> </w:t>
      </w:r>
      <w:r w:rsidRPr="00EA2253">
        <w:rPr>
          <w:lang w:val="ru-RU"/>
        </w:rPr>
        <w:t>в</w:t>
      </w:r>
      <w:r>
        <w:rPr>
          <w:lang w:val="ru-RU"/>
        </w:rPr>
        <w:t xml:space="preserve"> </w:t>
      </w:r>
      <w:r w:rsidRPr="00EA2253">
        <w:rPr>
          <w:lang w:val="ru-RU"/>
        </w:rPr>
        <w:t>области</w:t>
      </w:r>
      <w:r>
        <w:rPr>
          <w:lang w:val="ru-RU"/>
        </w:rPr>
        <w:t xml:space="preserve"> </w:t>
      </w:r>
      <w:r w:rsidRPr="00EA2253">
        <w:rPr>
          <w:lang w:val="ru-RU"/>
        </w:rPr>
        <w:t>ВОПОГ,</w:t>
      </w:r>
      <w:r>
        <w:rPr>
          <w:lang w:val="ru-RU"/>
        </w:rPr>
        <w:t xml:space="preserve"> </w:t>
      </w:r>
      <w:r w:rsidRPr="00EA2253">
        <w:rPr>
          <w:lang w:val="ru-RU"/>
        </w:rPr>
        <w:t>находящимися</w:t>
      </w:r>
      <w:r>
        <w:rPr>
          <w:lang w:val="ru-RU"/>
        </w:rPr>
        <w:t xml:space="preserve"> </w:t>
      </w:r>
      <w:r w:rsidRPr="00EA2253">
        <w:rPr>
          <w:lang w:val="ru-RU"/>
        </w:rPr>
        <w:t>на</w:t>
      </w:r>
      <w:r>
        <w:rPr>
          <w:lang w:val="ru-RU"/>
        </w:rPr>
        <w:t xml:space="preserve"> </w:t>
      </w:r>
      <w:r w:rsidRPr="00EA2253">
        <w:rPr>
          <w:lang w:val="ru-RU"/>
        </w:rPr>
        <w:t>борту</w:t>
      </w:r>
      <w:r>
        <w:rPr>
          <w:lang w:val="ru-RU"/>
        </w:rPr>
        <w:t xml:space="preserve"> </w:t>
      </w:r>
      <w:r w:rsidRPr="00EA2253">
        <w:rPr>
          <w:lang w:val="ru-RU"/>
        </w:rPr>
        <w:t>барж.</w:t>
      </w:r>
    </w:p>
    <w:p w:rsidR="00A076BF" w:rsidRPr="00902A37" w:rsidRDefault="00A076BF" w:rsidP="00A076BF">
      <w:pPr>
        <w:pStyle w:val="SingleTxtG"/>
        <w:rPr>
          <w:lang w:val="ru-RU"/>
        </w:rPr>
      </w:pPr>
      <w:r>
        <w:rPr>
          <w:lang w:val="ru-RU"/>
        </w:rPr>
        <w:lastRenderedPageBreak/>
        <w:t>2.</w:t>
      </w:r>
      <w:r>
        <w:rPr>
          <w:lang w:val="ru-RU"/>
        </w:rPr>
        <w:tab/>
        <w:t xml:space="preserve">На тридцать второй и тридцать третьей сессиях Комитета по вопросам безопасности ВОПОГ данное предложение было представлено от имени ЕСРС и ЕОС (см. неофициальный документ INF. 20 и документ ECE/TRANS/WP.15/AC.2/2018/47). </w:t>
      </w:r>
      <w:r w:rsidRPr="00D51477">
        <w:rPr>
          <w:lang w:val="ru-RU"/>
        </w:rPr>
        <w:t>Комитет</w:t>
      </w:r>
      <w:r>
        <w:rPr>
          <w:lang w:val="ru-RU"/>
        </w:rPr>
        <w:t xml:space="preserve"> </w:t>
      </w:r>
      <w:r w:rsidRPr="00D51477">
        <w:rPr>
          <w:lang w:val="ru-RU"/>
        </w:rPr>
        <w:t>по</w:t>
      </w:r>
      <w:r>
        <w:rPr>
          <w:lang w:val="ru-RU"/>
        </w:rPr>
        <w:t xml:space="preserve"> </w:t>
      </w:r>
      <w:r w:rsidRPr="00D51477">
        <w:rPr>
          <w:lang w:val="ru-RU"/>
        </w:rPr>
        <w:t>вопросам</w:t>
      </w:r>
      <w:r>
        <w:rPr>
          <w:lang w:val="ru-RU"/>
        </w:rPr>
        <w:t xml:space="preserve"> </w:t>
      </w:r>
      <w:r w:rsidRPr="00D51477">
        <w:rPr>
          <w:lang w:val="ru-RU"/>
        </w:rPr>
        <w:t>безопасности</w:t>
      </w:r>
      <w:r>
        <w:rPr>
          <w:lang w:val="ru-RU"/>
        </w:rPr>
        <w:t xml:space="preserve"> </w:t>
      </w:r>
      <w:r w:rsidRPr="00D51477">
        <w:rPr>
          <w:lang w:val="ru-RU"/>
        </w:rPr>
        <w:t>ВОПОГ</w:t>
      </w:r>
      <w:r>
        <w:rPr>
          <w:lang w:val="ru-RU"/>
        </w:rPr>
        <w:t xml:space="preserve"> </w:t>
      </w:r>
      <w:r w:rsidRPr="00D51477">
        <w:rPr>
          <w:lang w:val="ru-RU"/>
        </w:rPr>
        <w:t>предложил</w:t>
      </w:r>
      <w:r>
        <w:rPr>
          <w:lang w:val="ru-RU"/>
        </w:rPr>
        <w:t xml:space="preserve"> </w:t>
      </w:r>
      <w:r w:rsidRPr="00D51477">
        <w:rPr>
          <w:lang w:val="ru-RU"/>
        </w:rPr>
        <w:t>представителям</w:t>
      </w:r>
      <w:r>
        <w:rPr>
          <w:lang w:val="ru-RU"/>
        </w:rPr>
        <w:t xml:space="preserve"> </w:t>
      </w:r>
      <w:r w:rsidRPr="00D51477">
        <w:rPr>
          <w:lang w:val="ru-RU"/>
        </w:rPr>
        <w:t>ЕСРС</w:t>
      </w:r>
      <w:r>
        <w:rPr>
          <w:lang w:val="ru-RU"/>
        </w:rPr>
        <w:t xml:space="preserve"> </w:t>
      </w:r>
      <w:r w:rsidRPr="00D51477">
        <w:rPr>
          <w:lang w:val="ru-RU"/>
        </w:rPr>
        <w:t>и</w:t>
      </w:r>
      <w:r>
        <w:rPr>
          <w:lang w:val="ru-RU"/>
        </w:rPr>
        <w:t xml:space="preserve"> </w:t>
      </w:r>
      <w:r w:rsidRPr="00D51477">
        <w:rPr>
          <w:lang w:val="ru-RU"/>
        </w:rPr>
        <w:t>ЕОС</w:t>
      </w:r>
      <w:r>
        <w:rPr>
          <w:lang w:val="ru-RU"/>
        </w:rPr>
        <w:t xml:space="preserve"> </w:t>
      </w:r>
      <w:r w:rsidRPr="00D51477">
        <w:rPr>
          <w:lang w:val="ru-RU"/>
        </w:rPr>
        <w:t>учесть</w:t>
      </w:r>
      <w:r>
        <w:rPr>
          <w:lang w:val="ru-RU"/>
        </w:rPr>
        <w:t xml:space="preserve"> </w:t>
      </w:r>
      <w:r w:rsidRPr="00D51477">
        <w:rPr>
          <w:lang w:val="ru-RU"/>
        </w:rPr>
        <w:t>высказанные</w:t>
      </w:r>
      <w:r>
        <w:rPr>
          <w:lang w:val="ru-RU"/>
        </w:rPr>
        <w:t xml:space="preserve"> </w:t>
      </w:r>
      <w:r w:rsidRPr="00D51477">
        <w:rPr>
          <w:lang w:val="ru-RU"/>
        </w:rPr>
        <w:t>замечания</w:t>
      </w:r>
      <w:r>
        <w:rPr>
          <w:lang w:val="ru-RU"/>
        </w:rPr>
        <w:t xml:space="preserve"> </w:t>
      </w:r>
      <w:r w:rsidRPr="00D51477">
        <w:rPr>
          <w:lang w:val="ru-RU"/>
        </w:rPr>
        <w:t>и</w:t>
      </w:r>
      <w:r>
        <w:rPr>
          <w:lang w:val="ru-RU"/>
        </w:rPr>
        <w:t xml:space="preserve"> </w:t>
      </w:r>
      <w:r w:rsidRPr="00D51477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D51477">
        <w:rPr>
          <w:lang w:val="ru-RU"/>
        </w:rPr>
        <w:t>пересмотренное</w:t>
      </w:r>
      <w:r>
        <w:rPr>
          <w:lang w:val="ru-RU"/>
        </w:rPr>
        <w:t xml:space="preserve"> </w:t>
      </w:r>
      <w:r w:rsidRPr="00D51477">
        <w:rPr>
          <w:lang w:val="ru-RU"/>
        </w:rPr>
        <w:t>предложение</w:t>
      </w:r>
      <w:r>
        <w:rPr>
          <w:lang w:val="ru-RU"/>
        </w:rPr>
        <w:t xml:space="preserve"> </w:t>
      </w:r>
      <w:r w:rsidRPr="00D51477">
        <w:rPr>
          <w:lang w:val="ru-RU"/>
        </w:rPr>
        <w:t>в</w:t>
      </w:r>
      <w:r>
        <w:rPr>
          <w:lang w:val="ru-RU"/>
        </w:rPr>
        <w:t xml:space="preserve"> </w:t>
      </w:r>
      <w:r w:rsidRPr="00D51477">
        <w:rPr>
          <w:lang w:val="ru-RU"/>
        </w:rPr>
        <w:t>качестве</w:t>
      </w:r>
      <w:r>
        <w:rPr>
          <w:lang w:val="ru-RU"/>
        </w:rPr>
        <w:t xml:space="preserve"> </w:t>
      </w:r>
      <w:r w:rsidRPr="00D51477">
        <w:rPr>
          <w:lang w:val="ru-RU"/>
        </w:rPr>
        <w:t>официального</w:t>
      </w:r>
      <w:r>
        <w:rPr>
          <w:lang w:val="ru-RU"/>
        </w:rPr>
        <w:t xml:space="preserve"> </w:t>
      </w:r>
      <w:r w:rsidRPr="00D51477">
        <w:rPr>
          <w:lang w:val="ru-RU"/>
        </w:rPr>
        <w:t>документа</w:t>
      </w:r>
      <w:r>
        <w:rPr>
          <w:lang w:val="ru-RU"/>
        </w:rPr>
        <w:t xml:space="preserve"> </w:t>
      </w:r>
      <w:r w:rsidRPr="00D51477">
        <w:rPr>
          <w:lang w:val="ru-RU"/>
        </w:rPr>
        <w:t>тридцать</w:t>
      </w:r>
      <w:r>
        <w:rPr>
          <w:lang w:val="ru-RU"/>
        </w:rPr>
        <w:t xml:space="preserve"> </w:t>
      </w:r>
      <w:r w:rsidRPr="00D51477">
        <w:rPr>
          <w:lang w:val="ru-RU"/>
        </w:rPr>
        <w:t>четвертой</w:t>
      </w:r>
      <w:r>
        <w:rPr>
          <w:lang w:val="ru-RU"/>
        </w:rPr>
        <w:t xml:space="preserve"> </w:t>
      </w:r>
      <w:r w:rsidRPr="00D51477">
        <w:rPr>
          <w:lang w:val="ru-RU"/>
        </w:rPr>
        <w:t>сессии.</w:t>
      </w:r>
      <w:r>
        <w:rPr>
          <w:lang w:val="ru-RU"/>
        </w:rPr>
        <w:t xml:space="preserve"> Представленное в настоящем документе предложение подготовлено с учетом этой просьбы.</w:t>
      </w:r>
    </w:p>
    <w:p w:rsidR="00A076BF" w:rsidRPr="00902A37" w:rsidRDefault="00A076BF" w:rsidP="00A076BF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ЕСРС и ЕОС предлагают Комитету по вопросам безопасности рассмотреть следующую поправку к пункту 1.1.3.6.1.</w:t>
      </w:r>
    </w:p>
    <w:p w:rsidR="00A076BF" w:rsidRPr="00902A37" w:rsidRDefault="00A076BF" w:rsidP="00A076B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A076BF" w:rsidRPr="00902A37" w:rsidRDefault="00A076BF" w:rsidP="00A076BF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Проблема: в пункте 1.1.3.6.1 ВОПОГ описываются изъятия, связанные с количествами, перевозимыми судами, и положения, к которым эти изъятия не применяются.</w:t>
      </w:r>
    </w:p>
    <w:p w:rsidR="00A076BF" w:rsidRPr="00902A37" w:rsidRDefault="00A076BF" w:rsidP="00A076BF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Предложение об уточнении текста: в целях улучшения читаемости и понимания представить текст </w:t>
      </w:r>
      <w:proofErr w:type="gramStart"/>
      <w:r>
        <w:rPr>
          <w:lang w:val="ru-RU"/>
        </w:rPr>
        <w:t>подпунктов</w:t>
      </w:r>
      <w:proofErr w:type="gramEnd"/>
      <w:r>
        <w:rPr>
          <w:lang w:val="ru-RU"/>
        </w:rPr>
        <w:t xml:space="preserve"> </w:t>
      </w:r>
      <w:r w:rsidRPr="00B72179">
        <w:rPr>
          <w:lang w:val="ru-RU"/>
        </w:rPr>
        <w:t>а</w:t>
      </w:r>
      <w:r w:rsidR="00B72179" w:rsidRPr="00B72179">
        <w:rPr>
          <w:lang w:val="ru-RU"/>
        </w:rPr>
        <w:t>)</w:t>
      </w:r>
      <w:r w:rsidRPr="00B72179">
        <w:rPr>
          <w:lang w:val="ru-RU"/>
        </w:rPr>
        <w:t xml:space="preserve"> и b</w:t>
      </w:r>
      <w:r w:rsidR="00B72179" w:rsidRPr="00B72179">
        <w:rPr>
          <w:lang w:val="ru-RU"/>
        </w:rPr>
        <w:t>)</w:t>
      </w:r>
      <w:r>
        <w:rPr>
          <w:lang w:val="ru-RU"/>
        </w:rPr>
        <w:t xml:space="preserve"> пункта 1.1.3.6.1 в виде таблицы следующим образом:</w:t>
      </w:r>
    </w:p>
    <w:p w:rsidR="00A076BF" w:rsidRPr="00902A37" w:rsidRDefault="00A076BF" w:rsidP="00A076BF">
      <w:pPr>
        <w:pStyle w:val="SingleTxtG"/>
        <w:rPr>
          <w:b/>
          <w:bCs/>
          <w:i/>
          <w:i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1.1.3.6</w:t>
      </w:r>
      <w:r>
        <w:rPr>
          <w:lang w:val="ru-RU"/>
        </w:rPr>
        <w:tab/>
      </w:r>
      <w:r>
        <w:rPr>
          <w:b/>
          <w:bCs/>
          <w:i/>
          <w:iCs/>
          <w:lang w:val="ru-RU"/>
        </w:rPr>
        <w:t>Изъятия, связанные с количествами, перевозимыми судами</w:t>
      </w:r>
    </w:p>
    <w:p w:rsidR="00A076BF" w:rsidRPr="00902A37" w:rsidRDefault="00A076BF" w:rsidP="00A076BF">
      <w:pPr>
        <w:pStyle w:val="SingleTxtG"/>
        <w:rPr>
          <w:lang w:val="ru-RU"/>
        </w:rPr>
      </w:pPr>
      <w:proofErr w:type="gramStart"/>
      <w:r>
        <w:rPr>
          <w:lang w:val="ru-RU"/>
        </w:rPr>
        <w:t>1.1.3.6.1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случае перевозки опасных грузов в упаковках положения ВОПОГ, за исключением положений пункта 1.1.3.6.2, не применяются, если масса брутто всех перевозимых опасных грузов не превышает 3 000 кг, а для отдельных классов не превышает количеств, указанных в нижеприведенной таблице.</w:t>
      </w:r>
    </w:p>
    <w:p w:rsidR="00A076BF" w:rsidRPr="00902A37" w:rsidRDefault="00A076BF" w:rsidP="00A076BF">
      <w:pPr>
        <w:pStyle w:val="SingleTxtG"/>
        <w:rPr>
          <w:lang w:val="ru-RU"/>
        </w:rPr>
      </w:pPr>
      <w:r>
        <w:rPr>
          <w:strike/>
          <w:lang w:val="ru-RU"/>
        </w:rPr>
        <w:t>Это положение не применяется к перевозке:</w:t>
      </w:r>
      <w:r>
        <w:rPr>
          <w:lang w:val="ru-RU"/>
        </w:rPr>
        <w:t xml:space="preserve"> 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i)</w:t>
      </w:r>
      <w:r w:rsidR="00482E2C">
        <w:rPr>
          <w:strike/>
          <w:lang w:val="ru-RU"/>
        </w:rPr>
        <w:tab/>
      </w:r>
      <w:r>
        <w:rPr>
          <w:strike/>
          <w:lang w:val="ru-RU"/>
        </w:rPr>
        <w:t>веществ и изделий класса 1;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proofErr w:type="spellStart"/>
      <w:r w:rsidRPr="00B72179">
        <w:rPr>
          <w:strike/>
          <w:lang w:val="ru-RU"/>
        </w:rPr>
        <w:t>ii</w:t>
      </w:r>
      <w:proofErr w:type="spellEnd"/>
      <w:r w:rsidRPr="00B72179">
        <w:rPr>
          <w:strike/>
          <w:lang w:val="ru-RU"/>
        </w:rPr>
        <w:t>)</w:t>
      </w:r>
      <w:r w:rsidR="00482E2C">
        <w:rPr>
          <w:strike/>
          <w:lang w:val="ru-RU"/>
        </w:rPr>
        <w:tab/>
      </w:r>
      <w:r w:rsidR="00B72179">
        <w:rPr>
          <w:strike/>
          <w:lang w:val="ru-RU"/>
        </w:rPr>
        <w:t>веществ</w:t>
      </w:r>
      <w:r>
        <w:rPr>
          <w:strike/>
          <w:lang w:val="ru-RU"/>
        </w:rPr>
        <w:t xml:space="preserve"> класса 2, отнесенны</w:t>
      </w:r>
      <w:r w:rsidR="00B72179">
        <w:rPr>
          <w:strike/>
          <w:lang w:val="ru-RU"/>
        </w:rPr>
        <w:t>х</w:t>
      </w:r>
      <w:r>
        <w:rPr>
          <w:strike/>
          <w:lang w:val="ru-RU"/>
        </w:rPr>
        <w:t xml:space="preserve"> к группам T, F, TF, TC, TO, TFC или ТОС согласно пункту 2.2.2.1.3, и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аэрозолей групп C, CO, F, FC, T, TF, TC, TO, TFC и TOC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согласно пункту 2.2.2.1.6;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proofErr w:type="spellStart"/>
      <w:r w:rsidRPr="00B72179">
        <w:rPr>
          <w:strike/>
          <w:lang w:val="ru-RU"/>
        </w:rPr>
        <w:t>iii</w:t>
      </w:r>
      <w:proofErr w:type="spellEnd"/>
      <w:r w:rsidRPr="00B72179">
        <w:rPr>
          <w:strike/>
          <w:lang w:val="ru-RU"/>
        </w:rPr>
        <w:t>)</w:t>
      </w:r>
      <w:r w:rsidR="00482E2C">
        <w:rPr>
          <w:strike/>
          <w:lang w:val="ru-RU"/>
        </w:rPr>
        <w:tab/>
      </w:r>
      <w:r>
        <w:rPr>
          <w:strike/>
          <w:lang w:val="ru-RU"/>
        </w:rPr>
        <w:t>веществ классов 4.1 или 5.2, для которых в колонке 5 таблицы А главы 3.2</w:t>
      </w:r>
      <w:r>
        <w:rPr>
          <w:lang w:val="ru-RU"/>
        </w:rPr>
        <w:t xml:space="preserve"> </w:t>
      </w:r>
      <w:r>
        <w:rPr>
          <w:strike/>
          <w:lang w:val="ru-RU"/>
        </w:rPr>
        <w:t>предписан знак опасности образца № 1;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proofErr w:type="spellStart"/>
      <w:r w:rsidRPr="00B72179">
        <w:rPr>
          <w:strike/>
          <w:lang w:val="ru-RU"/>
        </w:rPr>
        <w:t>iv</w:t>
      </w:r>
      <w:proofErr w:type="spellEnd"/>
      <w:r w:rsidRPr="00B72179">
        <w:rPr>
          <w:strike/>
          <w:lang w:val="ru-RU"/>
        </w:rPr>
        <w:t>)</w:t>
      </w:r>
      <w:r w:rsidR="00482E2C">
        <w:rPr>
          <w:strike/>
          <w:lang w:val="ru-RU"/>
        </w:rPr>
        <w:tab/>
      </w:r>
      <w:r>
        <w:rPr>
          <w:strike/>
          <w:lang w:val="ru-RU"/>
        </w:rPr>
        <w:t>веществ класса 6.2, категория А;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v)</w:t>
      </w:r>
      <w:r w:rsidR="00482E2C">
        <w:rPr>
          <w:strike/>
          <w:lang w:val="ru-RU"/>
        </w:rPr>
        <w:tab/>
      </w:r>
      <w:r>
        <w:rPr>
          <w:strike/>
          <w:lang w:val="ru-RU"/>
        </w:rPr>
        <w:t>материалов класса 7, кроме № ООН 2908, 2909, 2910 и 2911;</w:t>
      </w:r>
    </w:p>
    <w:p w:rsidR="00A076BF" w:rsidRPr="00B72179" w:rsidRDefault="00A076BF" w:rsidP="00A076BF">
      <w:pPr>
        <w:pStyle w:val="SingleTxtG"/>
        <w:rPr>
          <w:strike/>
          <w:lang w:val="ru-RU"/>
        </w:rPr>
      </w:pPr>
      <w:proofErr w:type="spellStart"/>
      <w:r w:rsidRPr="00B72179">
        <w:rPr>
          <w:strike/>
          <w:lang w:val="ru-RU"/>
        </w:rPr>
        <w:t>vi</w:t>
      </w:r>
      <w:proofErr w:type="spellEnd"/>
      <w:r w:rsidRPr="00B72179">
        <w:rPr>
          <w:strike/>
          <w:lang w:val="ru-RU"/>
        </w:rPr>
        <w:t>)</w:t>
      </w:r>
      <w:r w:rsidR="00482E2C">
        <w:rPr>
          <w:strike/>
          <w:lang w:val="ru-RU"/>
        </w:rPr>
        <w:tab/>
      </w:r>
      <w:r w:rsidRPr="00B72179">
        <w:rPr>
          <w:strike/>
          <w:lang w:val="ru-RU"/>
        </w:rPr>
        <w:t>веществ, отнесенных к группе упаковки I;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proofErr w:type="spellStart"/>
      <w:r w:rsidRPr="00B72179">
        <w:rPr>
          <w:strike/>
          <w:lang w:val="ru-RU"/>
        </w:rPr>
        <w:t>vii</w:t>
      </w:r>
      <w:proofErr w:type="spellEnd"/>
      <w:r w:rsidRPr="00B72179">
        <w:rPr>
          <w:strike/>
          <w:lang w:val="ru-RU"/>
        </w:rPr>
        <w:t>)</w:t>
      </w:r>
      <w:r w:rsidR="00482E2C">
        <w:rPr>
          <w:strike/>
          <w:lang w:val="ru-RU"/>
        </w:rPr>
        <w:tab/>
      </w:r>
      <w:r w:rsidRPr="00B72179">
        <w:rPr>
          <w:strike/>
          <w:lang w:val="ru-RU"/>
        </w:rPr>
        <w:t>в</w:t>
      </w:r>
      <w:r>
        <w:rPr>
          <w:strike/>
          <w:lang w:val="ru-RU"/>
        </w:rPr>
        <w:t>еществ, перевозимых в цистернах.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proofErr w:type="gramStart"/>
      <w:r w:rsidRPr="00B72179">
        <w:rPr>
          <w:strike/>
          <w:lang w:val="ru-RU"/>
        </w:rPr>
        <w:t>b)</w:t>
      </w:r>
      <w:r w:rsidR="00482E2C">
        <w:rPr>
          <w:strike/>
          <w:lang w:val="ru-RU"/>
        </w:rPr>
        <w:tab/>
      </w:r>
      <w:r w:rsidRPr="00B72179">
        <w:rPr>
          <w:strike/>
          <w:lang w:val="ru-RU"/>
        </w:rPr>
        <w:t>В</w:t>
      </w:r>
      <w:proofErr w:type="gramEnd"/>
      <w:r w:rsidRPr="00B72179">
        <w:rPr>
          <w:strike/>
          <w:lang w:val="ru-RU"/>
        </w:rPr>
        <w:t xml:space="preserve"> </w:t>
      </w:r>
      <w:r>
        <w:rPr>
          <w:strike/>
          <w:lang w:val="ru-RU"/>
        </w:rPr>
        <w:t>случае перевозки опасных грузов в упаковках, за исключением цистерн,</w:t>
      </w:r>
    </w:p>
    <w:p w:rsidR="00A076BF" w:rsidRPr="00902A37" w:rsidRDefault="00A076BF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положения ВОПОГ, за исключением положений пункта 1.1.3.6.2, не применяются к перевозке:</w:t>
      </w:r>
    </w:p>
    <w:p w:rsidR="00A076BF" w:rsidRPr="00902A37" w:rsidRDefault="00B72179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-</w:t>
      </w:r>
      <w:r w:rsidR="007D3D05">
        <w:rPr>
          <w:strike/>
          <w:lang w:val="ru-RU"/>
        </w:rPr>
        <w:tab/>
      </w:r>
      <w:r w:rsidR="00A076BF">
        <w:rPr>
          <w:strike/>
          <w:lang w:val="ru-RU"/>
        </w:rPr>
        <w:t>веществ класса 2, отнесенных к группе F согласно пункту 2.2.2.1.3, или аэрозолей,</w:t>
      </w:r>
      <w:r w:rsidR="00641014">
        <w:rPr>
          <w:strike/>
          <w:lang w:val="ru-RU"/>
        </w:rPr>
        <w:t xml:space="preserve"> </w:t>
      </w:r>
      <w:r w:rsidR="00A076BF">
        <w:rPr>
          <w:strike/>
          <w:lang w:val="ru-RU"/>
        </w:rPr>
        <w:t>отнесенных к группе F согласно пункту 2.2.2.1.6;</w:t>
      </w:r>
      <w:r w:rsidR="00A076BF">
        <w:rPr>
          <w:lang w:val="ru-RU"/>
        </w:rPr>
        <w:t xml:space="preserve"> </w:t>
      </w:r>
      <w:r w:rsidR="00A076BF">
        <w:rPr>
          <w:strike/>
          <w:lang w:val="ru-RU"/>
        </w:rPr>
        <w:t>или</w:t>
      </w:r>
    </w:p>
    <w:p w:rsidR="00A076BF" w:rsidRPr="00902A37" w:rsidRDefault="00B72179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-</w:t>
      </w:r>
      <w:r w:rsidR="007D3D05">
        <w:rPr>
          <w:strike/>
          <w:lang w:val="ru-RU"/>
        </w:rPr>
        <w:tab/>
      </w:r>
      <w:r w:rsidR="00A076BF">
        <w:rPr>
          <w:strike/>
          <w:lang w:val="ru-RU"/>
        </w:rPr>
        <w:t>веществ, отнесенных к группе упаковки I, за исключением веществ класса 6.1,</w:t>
      </w:r>
    </w:p>
    <w:p w:rsidR="00482E2C" w:rsidRDefault="00B72179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t>-</w:t>
      </w:r>
      <w:r w:rsidR="007D3D05">
        <w:rPr>
          <w:strike/>
          <w:lang w:val="ru-RU"/>
        </w:rPr>
        <w:tab/>
      </w:r>
      <w:r w:rsidR="00A076BF">
        <w:rPr>
          <w:strike/>
          <w:lang w:val="ru-RU"/>
        </w:rPr>
        <w:t>если масса брутто этих грузов не превышает 300 кг.</w:t>
      </w:r>
    </w:p>
    <w:p w:rsidR="00EB0F13" w:rsidRDefault="00EB0F13" w:rsidP="00A076BF">
      <w:pPr>
        <w:pStyle w:val="SingleTxtG"/>
        <w:rPr>
          <w:strike/>
          <w:lang w:val="ru-RU"/>
        </w:rPr>
      </w:pPr>
      <w:r>
        <w:rPr>
          <w:strike/>
          <w:lang w:val="ru-RU"/>
        </w:rPr>
        <w:br w:type="page"/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28"/>
        <w:gridCol w:w="4349"/>
        <w:gridCol w:w="804"/>
        <w:gridCol w:w="805"/>
        <w:gridCol w:w="687"/>
      </w:tblGrid>
      <w:tr w:rsidR="00A076BF" w:rsidRPr="003C0906" w:rsidTr="000A5A7C">
        <w:trPr>
          <w:trHeight w:val="334"/>
          <w:tblHeader/>
        </w:trPr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6BF" w:rsidRPr="00CB2315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CB2315">
              <w:rPr>
                <w:i/>
                <w:iCs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6BF" w:rsidRPr="003C0906" w:rsidRDefault="00A076BF" w:rsidP="00310258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6BF" w:rsidRPr="00CB2315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CB2315">
              <w:rPr>
                <w:i/>
                <w:iCs/>
                <w:sz w:val="16"/>
                <w:szCs w:val="16"/>
              </w:rPr>
              <w:t>Вещества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2315">
              <w:rPr>
                <w:i/>
                <w:iCs/>
                <w:sz w:val="16"/>
                <w:szCs w:val="16"/>
              </w:rPr>
              <w:t>или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2315">
              <w:rPr>
                <w:i/>
                <w:iCs/>
                <w:sz w:val="16"/>
                <w:szCs w:val="16"/>
              </w:rPr>
              <w:t>изделия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2315">
              <w:rPr>
                <w:i/>
                <w:iCs/>
                <w:sz w:val="16"/>
                <w:szCs w:val="16"/>
              </w:rPr>
              <w:t>в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2315">
              <w:rPr>
                <w:i/>
                <w:iCs/>
                <w:sz w:val="16"/>
                <w:szCs w:val="16"/>
              </w:rPr>
              <w:t>упаковках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76BF" w:rsidRPr="00CB2315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CB2315">
              <w:rPr>
                <w:i/>
                <w:iCs/>
                <w:sz w:val="16"/>
                <w:szCs w:val="16"/>
              </w:rPr>
              <w:t>Освобожденные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2315">
              <w:rPr>
                <w:i/>
                <w:iCs/>
                <w:sz w:val="16"/>
                <w:szCs w:val="16"/>
              </w:rPr>
              <w:t>количества,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2315">
              <w:rPr>
                <w:i/>
                <w:iCs/>
                <w:sz w:val="16"/>
                <w:szCs w:val="16"/>
              </w:rPr>
              <w:t>кг</w:t>
            </w:r>
          </w:p>
        </w:tc>
      </w:tr>
      <w:tr w:rsidR="00A076BF" w:rsidRPr="003C0906" w:rsidTr="00B72179">
        <w:trPr>
          <w:trHeight w:hRule="exact" w:val="576"/>
        </w:trPr>
        <w:tc>
          <w:tcPr>
            <w:tcW w:w="7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i/>
                <w:szCs w:val="18"/>
              </w:rPr>
            </w:pPr>
            <w:r>
              <w:rPr>
                <w:b/>
                <w:bCs/>
                <w:i/>
                <w:iCs/>
              </w:rPr>
              <w:t>все</w:t>
            </w:r>
          </w:p>
        </w:tc>
        <w:tc>
          <w:tcPr>
            <w:tcW w:w="43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i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Перевозка в цистернах веществ и изделий </w:t>
            </w:r>
            <w:r w:rsidR="00B72179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любого класса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6BF" w:rsidRPr="00B72179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 w:rsidRPr="00B72179">
              <w:rPr>
                <w:b/>
              </w:rP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B72179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B72179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B72179" w:rsidP="00B7217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contextualSpacing/>
              <w:rPr>
                <w:rFonts w:eastAsia="Arial Unicode MS"/>
                <w:szCs w:val="18"/>
                <w:bdr w:val="nil"/>
              </w:rPr>
            </w:pPr>
            <w:r>
              <w:t>–</w:t>
            </w:r>
            <w:r>
              <w:tab/>
            </w:r>
            <w:r w:rsidR="00A076BF">
              <w:t xml:space="preserve">вещества и изделия класса 2, отнесенные </w:t>
            </w:r>
            <w:r>
              <w:br/>
            </w:r>
            <w:r w:rsidR="00A076BF">
              <w:t xml:space="preserve">к группам T, F, TF, TC, TO, TFC или ТОС </w:t>
            </w:r>
            <w:r>
              <w:br/>
            </w:r>
            <w:r w:rsidR="00A076BF">
              <w:t xml:space="preserve">согласно пункту 2.2.2.1.3, и </w:t>
            </w:r>
          </w:p>
          <w:p w:rsidR="00A076BF" w:rsidRPr="00902A37" w:rsidRDefault="00B72179" w:rsidP="00B7217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Arial Unicode MS"/>
                <w:szCs w:val="18"/>
                <w:bdr w:val="nil"/>
              </w:rPr>
            </w:pPr>
            <w:r>
              <w:t>–</w:t>
            </w:r>
            <w:r>
              <w:tab/>
            </w:r>
            <w:r w:rsidR="00A076BF">
              <w:t>аэрозоли, отнесенные к группам С, СO, F, FC, T, TF, TC, TO, TFC и TOC согласно пункту</w:t>
            </w:r>
            <w:r>
              <w:t> </w:t>
            </w:r>
            <w:r w:rsidR="00A076BF">
              <w:t>2.2.2.1.6;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B72179" w:rsidP="00B7217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contextualSpacing/>
              <w:rPr>
                <w:rFonts w:eastAsia="Arial Unicode MS"/>
                <w:bCs/>
                <w:szCs w:val="18"/>
                <w:u w:color="000000"/>
                <w:bdr w:val="nil"/>
              </w:rPr>
            </w:pPr>
            <w:r>
              <w:t>–</w:t>
            </w:r>
            <w:r>
              <w:tab/>
            </w:r>
            <w:r w:rsidR="00A076BF">
              <w:t xml:space="preserve">вещества и изделия класса 2, отнесенные </w:t>
            </w:r>
            <w:r>
              <w:br/>
            </w:r>
            <w:r w:rsidR="00A076BF">
              <w:t>к группе F согласно пункту 2.2.2.1.3, или</w:t>
            </w:r>
          </w:p>
          <w:p w:rsidR="00A076BF" w:rsidRPr="00902A37" w:rsidRDefault="00B72179" w:rsidP="00B7217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Arial Unicode MS"/>
                <w:szCs w:val="18"/>
                <w:bdr w:val="nil"/>
              </w:rPr>
            </w:pPr>
            <w:r>
              <w:t>–</w:t>
            </w:r>
            <w:r>
              <w:tab/>
            </w:r>
            <w:r w:rsidR="00A076BF">
              <w:t>аэрозоли, отнесенные к группе F согласно пункту 2.2.2.1.6;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Cs/>
                <w:szCs w:val="18"/>
                <w:u w:color="000000"/>
              </w:rPr>
            </w:pPr>
            <w:r>
              <w:t>любые другие вещества класса 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3,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u w:color="000000"/>
              </w:rPr>
            </w:pPr>
            <w:r>
              <w:t xml:space="preserve">вещества и изделия класса 4.1, для которых </w:t>
            </w:r>
            <w:r w:rsidR="00B72179">
              <w:br/>
            </w:r>
            <w:r>
              <w:t xml:space="preserve">в колонке 5 таблицы А главы 3.2 предписан </w:t>
            </w:r>
            <w:r w:rsidR="00B72179">
              <w:br/>
            </w:r>
            <w:r>
              <w:t>знак опасности образца № 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u w:color="000000"/>
              </w:rPr>
            </w:pPr>
            <w:r>
              <w:t>любые другие вещества и изделия класса 4.1,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4.1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4.2,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4.2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4.3,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4.3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5.1,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любые другие вещества и изделия класса 5.1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286AC5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вещества и изделия класса 5.2, для которых </w:t>
            </w:r>
            <w:r w:rsidR="00B72179">
              <w:br/>
            </w:r>
            <w:r>
              <w:t>в колонке 5 таблицы А главы 3.2 предписан знак опасности образца № 1;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5.2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6.1,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6.1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вещества и изделия класса 6.2, категория А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6.2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материалы и изделия класса 7, отнесенные </w:t>
            </w:r>
            <w:r w:rsidR="00B72179">
              <w:br/>
            </w:r>
            <w:r>
              <w:t>к № ООН 2908, 2909, 2910 и 2911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материалы и изделия класса 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вещества и изделия класса 8, группа упаковки I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и изделия класса 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A076BF" w:rsidRPr="003C0906" w:rsidTr="00B72179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shd w:val="clear" w:color="auto" w:fill="auto"/>
          </w:tcPr>
          <w:p w:rsidR="00A076BF" w:rsidRPr="00902A37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все вещества и изделия класса 9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3 000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A076BF" w:rsidRPr="003C0906" w:rsidRDefault="00A076BF" w:rsidP="0031025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</w:tbl>
    <w:p w:rsidR="00A076BF" w:rsidRPr="00A076BF" w:rsidRDefault="00A076BF" w:rsidP="00A076BF">
      <w:pPr>
        <w:pStyle w:val="HChG"/>
        <w:ind w:left="567" w:firstLine="0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Последствия для безопасности</w:t>
      </w:r>
    </w:p>
    <w:p w:rsidR="00A076BF" w:rsidRDefault="00A076BF" w:rsidP="00A076BF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По сути, в настоящем предложении не содержится изменений, затрагивающих цель этого пункта. Его ожидаемым положительным результатом будет более правильное понимание этого пункта с внесенными в него изменениями находящимися на борту лицами, что положительно скажется на безопасности.</w:t>
      </w:r>
    </w:p>
    <w:p w:rsidR="00E12C5F" w:rsidRPr="00A076BF" w:rsidRDefault="00A076BF" w:rsidP="00A076B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076BF" w:rsidSect="00A076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1E" w:rsidRPr="00A312BC" w:rsidRDefault="004E4F1E" w:rsidP="00A312BC"/>
  </w:endnote>
  <w:endnote w:type="continuationSeparator" w:id="0">
    <w:p w:rsidR="004E4F1E" w:rsidRPr="00A312BC" w:rsidRDefault="004E4F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F" w:rsidRPr="00A076BF" w:rsidRDefault="00A076BF">
    <w:pPr>
      <w:pStyle w:val="Footer"/>
    </w:pPr>
    <w:r w:rsidRPr="00A076BF">
      <w:rPr>
        <w:b/>
        <w:sz w:val="18"/>
      </w:rPr>
      <w:fldChar w:fldCharType="begin"/>
    </w:r>
    <w:r w:rsidRPr="00A076BF">
      <w:rPr>
        <w:b/>
        <w:sz w:val="18"/>
      </w:rPr>
      <w:instrText xml:space="preserve"> PAGE  \* MERGEFORMAT </w:instrText>
    </w:r>
    <w:r w:rsidRPr="00A076BF">
      <w:rPr>
        <w:b/>
        <w:sz w:val="18"/>
      </w:rPr>
      <w:fldChar w:fldCharType="separate"/>
    </w:r>
    <w:r w:rsidR="00D91963">
      <w:rPr>
        <w:b/>
        <w:noProof/>
        <w:sz w:val="18"/>
      </w:rPr>
      <w:t>2</w:t>
    </w:r>
    <w:r w:rsidRPr="00A076BF">
      <w:rPr>
        <w:b/>
        <w:sz w:val="18"/>
      </w:rPr>
      <w:fldChar w:fldCharType="end"/>
    </w:r>
    <w:r>
      <w:rPr>
        <w:b/>
        <w:sz w:val="18"/>
      </w:rPr>
      <w:tab/>
    </w:r>
    <w:r>
      <w:t>GE.18-18869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F" w:rsidRPr="00A076BF" w:rsidRDefault="00A076BF" w:rsidP="00A076B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GE.18-18869</w:t>
    </w:r>
    <w:r>
      <w:tab/>
    </w:r>
    <w:r w:rsidRPr="00A076BF">
      <w:rPr>
        <w:b/>
        <w:sz w:val="18"/>
      </w:rPr>
      <w:fldChar w:fldCharType="begin"/>
    </w:r>
    <w:r w:rsidRPr="00A076BF">
      <w:rPr>
        <w:b/>
        <w:sz w:val="18"/>
      </w:rPr>
      <w:instrText xml:space="preserve"> PAGE  \* MERGEFORMAT </w:instrText>
    </w:r>
    <w:r w:rsidRPr="00A076BF">
      <w:rPr>
        <w:b/>
        <w:sz w:val="18"/>
      </w:rPr>
      <w:fldChar w:fldCharType="separate"/>
    </w:r>
    <w:r w:rsidR="00D91963">
      <w:rPr>
        <w:b/>
        <w:noProof/>
        <w:sz w:val="18"/>
      </w:rPr>
      <w:t>3</w:t>
    </w:r>
    <w:r w:rsidRPr="00A076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076BF" w:rsidRDefault="00A076BF" w:rsidP="00A076B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18-18869  (R)</w:t>
    </w:r>
    <w:r>
      <w:rPr>
        <w:lang w:val="en-US"/>
      </w:rPr>
      <w:t xml:space="preserve">  121118  121118</w:t>
    </w:r>
    <w:r>
      <w:br/>
    </w:r>
    <w:r w:rsidRPr="00A076BF">
      <w:rPr>
        <w:rFonts w:ascii="C39T30Lfz" w:hAnsi="C39T30Lfz"/>
        <w:kern w:val="14"/>
        <w:sz w:val="56"/>
      </w:rPr>
      <w:t></w:t>
    </w:r>
    <w:r w:rsidRPr="00A076BF">
      <w:rPr>
        <w:rFonts w:ascii="C39T30Lfz" w:hAnsi="C39T30Lfz"/>
        <w:kern w:val="14"/>
        <w:sz w:val="56"/>
      </w:rPr>
      <w:t></w:t>
    </w:r>
    <w:r w:rsidRPr="00A076BF">
      <w:rPr>
        <w:rFonts w:ascii="C39T30Lfz" w:hAnsi="C39T30Lfz"/>
        <w:kern w:val="14"/>
        <w:sz w:val="56"/>
      </w:rPr>
      <w:t></w:t>
    </w:r>
    <w:r w:rsidRPr="00A076BF">
      <w:rPr>
        <w:rFonts w:ascii="C39T30Lfz" w:hAnsi="C39T30Lfz"/>
        <w:kern w:val="14"/>
        <w:sz w:val="56"/>
      </w:rPr>
      <w:t></w:t>
    </w:r>
    <w:r w:rsidRPr="00A076BF">
      <w:rPr>
        <w:rFonts w:ascii="C39T30Lfz" w:hAnsi="C39T30Lfz"/>
        <w:kern w:val="14"/>
        <w:sz w:val="56"/>
      </w:rPr>
      <w:t></w:t>
    </w:r>
    <w:r w:rsidRPr="00A076BF">
      <w:rPr>
        <w:rFonts w:ascii="C39T30Lfz" w:hAnsi="C39T30Lfz"/>
        <w:kern w:val="14"/>
        <w:sz w:val="56"/>
      </w:rPr>
      <w:t></w:t>
    </w:r>
    <w:r w:rsidRPr="00A076BF">
      <w:rPr>
        <w:rFonts w:ascii="C39T30Lfz" w:hAnsi="C39T30Lfz"/>
        <w:kern w:val="14"/>
        <w:sz w:val="56"/>
      </w:rPr>
      <w:t></w:t>
    </w:r>
    <w:r w:rsidRPr="00A076BF">
      <w:rPr>
        <w:rFonts w:ascii="C39T30Lfz" w:hAnsi="C39T30Lfz"/>
        <w:kern w:val="14"/>
        <w:sz w:val="56"/>
      </w:rPr>
      <w:t></w:t>
    </w:r>
    <w:r w:rsidRPr="00A076B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1E" w:rsidRPr="001075E9" w:rsidRDefault="004E4F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4F1E" w:rsidRDefault="004E4F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76F9" w:rsidRPr="004B76F9" w:rsidRDefault="004B76F9">
      <w:pPr>
        <w:pStyle w:val="FootnoteText"/>
        <w:rPr>
          <w:sz w:val="20"/>
        </w:rPr>
      </w:pPr>
      <w:r>
        <w:tab/>
      </w:r>
      <w:r w:rsidRPr="004B76F9">
        <w:rPr>
          <w:rStyle w:val="FootnoteReference"/>
          <w:sz w:val="20"/>
          <w:vertAlign w:val="baseline"/>
        </w:rPr>
        <w:t>*</w:t>
      </w:r>
      <w:r w:rsidRPr="004B76F9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CCNR-ZKR/ADN/WP.15/AC.2/2019/10.</w:t>
      </w:r>
    </w:p>
  </w:footnote>
  <w:footnote w:id="2">
    <w:p w:rsidR="004B76F9" w:rsidRPr="004B76F9" w:rsidRDefault="004B76F9">
      <w:pPr>
        <w:pStyle w:val="FootnoteText"/>
        <w:rPr>
          <w:sz w:val="20"/>
        </w:rPr>
      </w:pPr>
      <w:r>
        <w:tab/>
      </w:r>
      <w:r w:rsidRPr="004B76F9">
        <w:rPr>
          <w:rStyle w:val="FootnoteReference"/>
          <w:sz w:val="20"/>
          <w:vertAlign w:val="baseline"/>
        </w:rPr>
        <w:t>**</w:t>
      </w:r>
      <w:r w:rsidRPr="004B76F9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F" w:rsidRPr="00A076BF" w:rsidRDefault="0007738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1963">
      <w:t>ECE/TRANS/WP.15/AC.2/2019/10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F" w:rsidRPr="00A076BF" w:rsidRDefault="0007738B" w:rsidP="00A076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1963">
      <w:t>ECE/TRANS/WP.15/AC.2/2019/10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  <w:lvlOverride w:ilvl="0">
      <w:lvl w:ilvl="0" w:tplc="AFDE445C">
        <w:start w:val="300"/>
        <w:numFmt w:val="bullet"/>
        <w:lvlText w:val="-"/>
        <w:lvlJc w:val="left"/>
        <w:pPr>
          <w:ind w:left="720" w:hanging="360"/>
        </w:pPr>
        <w:rPr>
          <w:rFonts w:ascii="Verdana" w:eastAsia="Arial Unicode MS" w:hAnsi="Verdana" w:cs="Arial Unicode MS" w:hint="default"/>
          <w:color w:val="000000"/>
        </w:rPr>
      </w:lvl>
    </w:lvlOverride>
  </w:num>
  <w:num w:numId="23">
    <w:abstractNumId w:val="12"/>
    <w:lvlOverride w:ilvl="0">
      <w:lvl w:ilvl="0" w:tplc="853CBB36">
        <w:start w:val="300"/>
        <w:numFmt w:val="bullet"/>
        <w:lvlText w:val="-"/>
        <w:lvlJc w:val="left"/>
        <w:pPr>
          <w:ind w:left="720" w:hanging="360"/>
        </w:pPr>
        <w:rPr>
          <w:rFonts w:ascii="Verdana" w:eastAsia="Arial Unicode MS" w:hAnsi="Verdana" w:cs="Arial Unicode MS" w:hint="default"/>
          <w:color w:val="000000"/>
        </w:rPr>
      </w:lvl>
    </w:lvlOverride>
  </w:num>
  <w:num w:numId="24">
    <w:abstractNumId w:val="12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1E"/>
    <w:rsid w:val="00033EE1"/>
    <w:rsid w:val="00042B72"/>
    <w:rsid w:val="000558BD"/>
    <w:rsid w:val="0007738B"/>
    <w:rsid w:val="000A5A7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756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15E"/>
    <w:rsid w:val="003555E0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E2C"/>
    <w:rsid w:val="004B76F9"/>
    <w:rsid w:val="004E05B7"/>
    <w:rsid w:val="004E4F1E"/>
    <w:rsid w:val="0050108D"/>
    <w:rsid w:val="00506444"/>
    <w:rsid w:val="00513081"/>
    <w:rsid w:val="00517901"/>
    <w:rsid w:val="00526683"/>
    <w:rsid w:val="005639C1"/>
    <w:rsid w:val="005709E0"/>
    <w:rsid w:val="00572E19"/>
    <w:rsid w:val="00573238"/>
    <w:rsid w:val="005961C8"/>
    <w:rsid w:val="005966F1"/>
    <w:rsid w:val="005D7914"/>
    <w:rsid w:val="005E2B41"/>
    <w:rsid w:val="005F0B42"/>
    <w:rsid w:val="00617A43"/>
    <w:rsid w:val="006345DB"/>
    <w:rsid w:val="00640F49"/>
    <w:rsid w:val="0064101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3D05"/>
    <w:rsid w:val="00806737"/>
    <w:rsid w:val="00825F8D"/>
    <w:rsid w:val="00834B71"/>
    <w:rsid w:val="0086445C"/>
    <w:rsid w:val="0089350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76B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179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963"/>
    <w:rsid w:val="00DD78D1"/>
    <w:rsid w:val="00DE32CD"/>
    <w:rsid w:val="00DF5767"/>
    <w:rsid w:val="00DF71B9"/>
    <w:rsid w:val="00E12C5F"/>
    <w:rsid w:val="00E73F76"/>
    <w:rsid w:val="00EA2C9F"/>
    <w:rsid w:val="00EA420E"/>
    <w:rsid w:val="00EB0F13"/>
    <w:rsid w:val="00ED0BDA"/>
    <w:rsid w:val="00EE142A"/>
    <w:rsid w:val="00EF1360"/>
    <w:rsid w:val="00EF3220"/>
    <w:rsid w:val="00F2523A"/>
    <w:rsid w:val="00F313D9"/>
    <w:rsid w:val="00F43903"/>
    <w:rsid w:val="00F806A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4E3B48C-38A3-40E1-914C-A63917C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A076BF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A076B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A076B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A076B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25B2-B360-45B3-8B3B-40198237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4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ECE/TRANS/WP.15/AC.2/2019/10</vt:lpstr>
      <vt:lpstr>ECE/TRANS/WP.15/AC.2/2019/10</vt:lpstr>
      <vt:lpstr>A/</vt:lpstr>
    </vt:vector>
  </TitlesOfParts>
  <Company>DCM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ECE/TRANS/WP.15/AC.2/2019/10</dc:title>
  <dc:subject/>
  <dc:creator>Tatiana SHARKINA</dc:creator>
  <cp:keywords/>
  <cp:lastModifiedBy>Marie-Claude Collet</cp:lastModifiedBy>
  <cp:revision>2</cp:revision>
  <cp:lastPrinted>2018-11-12T10:07:00Z</cp:lastPrinted>
  <dcterms:created xsi:type="dcterms:W3CDTF">2018-12-03T08:04:00Z</dcterms:created>
  <dcterms:modified xsi:type="dcterms:W3CDTF">2018-12-03T08:04:00Z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