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5316B0">
        <w:trPr>
          <w:trHeight w:hRule="exact" w:val="851"/>
        </w:trPr>
        <w:tc>
          <w:tcPr>
            <w:tcW w:w="1276" w:type="dxa"/>
            <w:tcBorders>
              <w:bottom w:val="single" w:sz="4" w:space="0" w:color="auto"/>
            </w:tcBorders>
          </w:tcPr>
          <w:p w:rsidR="001433FD" w:rsidRPr="00DB58B5" w:rsidRDefault="001433FD" w:rsidP="0001207F"/>
        </w:tc>
        <w:tc>
          <w:tcPr>
            <w:tcW w:w="2268" w:type="dxa"/>
            <w:tcBorders>
              <w:bottom w:val="single" w:sz="4" w:space="0" w:color="auto"/>
            </w:tcBorders>
            <w:vAlign w:val="bottom"/>
          </w:tcPr>
          <w:p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045F8A" w:rsidP="00045F8A">
            <w:pPr>
              <w:jc w:val="right"/>
            </w:pPr>
            <w:r w:rsidRPr="00045F8A">
              <w:rPr>
                <w:sz w:val="40"/>
              </w:rPr>
              <w:t>ECE</w:t>
            </w:r>
            <w:r>
              <w:t>/TRANS/WP.15/AC.2/2019/</w:t>
            </w:r>
            <w:r w:rsidR="00A11CD7">
              <w:t>18</w:t>
            </w:r>
            <w:r w:rsidR="006F134C">
              <w:t xml:space="preserve"> </w:t>
            </w:r>
          </w:p>
        </w:tc>
      </w:tr>
      <w:tr w:rsidR="001433FD" w:rsidRPr="00DB58B5" w:rsidTr="007D3236">
        <w:trPr>
          <w:trHeight w:hRule="exact" w:val="2835"/>
        </w:trPr>
        <w:tc>
          <w:tcPr>
            <w:tcW w:w="1276" w:type="dxa"/>
            <w:tcBorders>
              <w:top w:val="single" w:sz="4" w:space="0" w:color="auto"/>
              <w:bottom w:val="single" w:sz="12" w:space="0" w:color="auto"/>
            </w:tcBorders>
          </w:tcPr>
          <w:p w:rsidR="001433FD" w:rsidRPr="00DB58B5" w:rsidRDefault="001433FD" w:rsidP="007D3236">
            <w:pPr>
              <w:spacing w:before="120"/>
              <w:jc w:val="center"/>
            </w:pPr>
            <w:r>
              <w:rPr>
                <w:noProof/>
                <w:lang w:eastAsia="fr-CH"/>
              </w:rPr>
              <w:drawing>
                <wp:inline distT="0" distB="0" distL="0" distR="0" wp14:anchorId="02B727A0" wp14:editId="4777D7C7">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01207F" w:rsidRDefault="00045F8A" w:rsidP="00045F8A">
            <w:pPr>
              <w:spacing w:before="240" w:line="240" w:lineRule="exact"/>
            </w:pPr>
            <w:proofErr w:type="spellStart"/>
            <w:r>
              <w:t>Distr</w:t>
            </w:r>
            <w:proofErr w:type="spellEnd"/>
            <w:r>
              <w:t xml:space="preserve">. </w:t>
            </w:r>
            <w:proofErr w:type="gramStart"/>
            <w:r>
              <w:t>générale</w:t>
            </w:r>
            <w:proofErr w:type="gramEnd"/>
          </w:p>
          <w:p w:rsidR="00045F8A" w:rsidRDefault="00B50CB7" w:rsidP="00045F8A">
            <w:pPr>
              <w:spacing w:line="240" w:lineRule="exact"/>
            </w:pPr>
            <w:r>
              <w:t>7 juin</w:t>
            </w:r>
            <w:r w:rsidR="00045F8A">
              <w:t xml:space="preserve"> 2019</w:t>
            </w:r>
          </w:p>
          <w:p w:rsidR="00045F8A" w:rsidRDefault="00045F8A" w:rsidP="00045F8A">
            <w:pPr>
              <w:spacing w:line="240" w:lineRule="exact"/>
            </w:pPr>
          </w:p>
          <w:p w:rsidR="00045F8A" w:rsidRPr="00DB58B5" w:rsidRDefault="00045F8A" w:rsidP="00045F8A">
            <w:pPr>
              <w:spacing w:line="240" w:lineRule="exact"/>
            </w:pPr>
            <w:r>
              <w:t>Original : français</w:t>
            </w:r>
          </w:p>
        </w:tc>
      </w:tr>
    </w:tbl>
    <w:p w:rsidR="00564657" w:rsidRDefault="00564657" w:rsidP="00045F8A">
      <w:pPr>
        <w:spacing w:before="120"/>
        <w:rPr>
          <w:b/>
          <w:sz w:val="28"/>
          <w:szCs w:val="28"/>
        </w:rPr>
      </w:pPr>
      <w:r w:rsidRPr="000312C0">
        <w:rPr>
          <w:b/>
          <w:sz w:val="28"/>
          <w:szCs w:val="28"/>
        </w:rPr>
        <w:t>Commission économique pour l</w:t>
      </w:r>
      <w:r>
        <w:rPr>
          <w:b/>
          <w:sz w:val="28"/>
          <w:szCs w:val="28"/>
        </w:rPr>
        <w:t>’</w:t>
      </w:r>
      <w:r w:rsidRPr="000312C0">
        <w:rPr>
          <w:b/>
          <w:sz w:val="28"/>
          <w:szCs w:val="28"/>
        </w:rPr>
        <w:t>Europe</w:t>
      </w:r>
    </w:p>
    <w:p w:rsidR="00045F8A" w:rsidRDefault="00045F8A" w:rsidP="00045F8A">
      <w:pPr>
        <w:spacing w:before="120"/>
        <w:rPr>
          <w:sz w:val="28"/>
          <w:szCs w:val="28"/>
        </w:rPr>
      </w:pPr>
      <w:r w:rsidRPr="00685843">
        <w:rPr>
          <w:sz w:val="28"/>
          <w:szCs w:val="28"/>
        </w:rPr>
        <w:t>Comité des transports intérieurs</w:t>
      </w:r>
    </w:p>
    <w:p w:rsidR="00045F8A" w:rsidRPr="009E01B8" w:rsidRDefault="00045F8A" w:rsidP="00045F8A">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rsidR="00045F8A" w:rsidRPr="004812F5" w:rsidRDefault="00045F8A" w:rsidP="00045F8A">
      <w:pPr>
        <w:spacing w:before="120"/>
        <w:rPr>
          <w:b/>
        </w:rPr>
      </w:pPr>
      <w:r w:rsidRPr="004812F5">
        <w:rPr>
          <w:b/>
          <w:lang w:val="fr-FR"/>
        </w:rPr>
        <w:t>Réunion commune d’experts sur le Règlement annexé</w:t>
      </w:r>
      <w:r>
        <w:rPr>
          <w:b/>
          <w:lang w:val="fr-FR"/>
        </w:rPr>
        <w:t xml:space="preserve"> </w:t>
      </w:r>
      <w:r>
        <w:rPr>
          <w:b/>
          <w:lang w:val="fr-FR"/>
        </w:rPr>
        <w:br/>
      </w:r>
      <w:r w:rsidRPr="004812F5">
        <w:rPr>
          <w:b/>
          <w:lang w:val="fr-FR"/>
        </w:rPr>
        <w:t>à l’Accord européen</w:t>
      </w:r>
      <w:r>
        <w:rPr>
          <w:b/>
          <w:lang w:val="fr-FR"/>
        </w:rPr>
        <w:t xml:space="preserve"> </w:t>
      </w:r>
      <w:r w:rsidRPr="004812F5">
        <w:rPr>
          <w:b/>
          <w:lang w:val="fr-FR"/>
        </w:rPr>
        <w:t>relatif au transport international</w:t>
      </w:r>
      <w:r>
        <w:rPr>
          <w:b/>
          <w:lang w:val="fr-FR"/>
        </w:rPr>
        <w:t xml:space="preserve"> </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t xml:space="preserve"> </w:t>
      </w:r>
      <w:r>
        <w:rPr>
          <w:b/>
          <w:bCs/>
          <w:iCs/>
          <w:lang w:val="fr-FR"/>
        </w:rPr>
        <w:br/>
      </w:r>
      <w:r w:rsidRPr="004812F5">
        <w:rPr>
          <w:b/>
          <w:bCs/>
          <w:iCs/>
          <w:lang w:val="fr-FR"/>
        </w:rPr>
        <w:t xml:space="preserve">intérieures (ADN) </w:t>
      </w:r>
      <w:r w:rsidRPr="004812F5">
        <w:rPr>
          <w:b/>
          <w:bCs/>
          <w:lang w:val="fr-FR"/>
        </w:rPr>
        <w:t>(Comité de sécurité de l’ADN)</w:t>
      </w:r>
    </w:p>
    <w:p w:rsidR="00045F8A" w:rsidRPr="00234E40" w:rsidRDefault="00045F8A" w:rsidP="00045F8A">
      <w:pPr>
        <w:spacing w:before="120"/>
        <w:rPr>
          <w:b/>
        </w:rPr>
      </w:pPr>
      <w:r>
        <w:rPr>
          <w:b/>
        </w:rPr>
        <w:t>Trente-cinquième session</w:t>
      </w:r>
    </w:p>
    <w:p w:rsidR="00045F8A" w:rsidRDefault="00045F8A" w:rsidP="00045F8A">
      <w:r>
        <w:t>Genève, 26-30 août 2019</w:t>
      </w:r>
    </w:p>
    <w:p w:rsidR="00045F8A" w:rsidRDefault="00045F8A" w:rsidP="00045F8A">
      <w:r w:rsidRPr="00B93E72">
        <w:t xml:space="preserve">Point </w:t>
      </w:r>
      <w:r w:rsidR="00A900C6">
        <w:t>4</w:t>
      </w:r>
      <w:r w:rsidR="00DD66FA">
        <w:t xml:space="preserve"> </w:t>
      </w:r>
      <w:r w:rsidR="00A900C6">
        <w:t>b)</w:t>
      </w:r>
      <w:r>
        <w:t xml:space="preserve"> </w:t>
      </w:r>
      <w:r w:rsidRPr="00B93E72">
        <w:t>de l’ordre du jour provisoire</w:t>
      </w:r>
    </w:p>
    <w:p w:rsidR="00045F8A" w:rsidRDefault="00045F8A" w:rsidP="00045F8A">
      <w:pPr>
        <w:rPr>
          <w:b/>
          <w:bCs/>
        </w:rPr>
      </w:pPr>
      <w:r w:rsidRPr="001120F0">
        <w:rPr>
          <w:b/>
          <w:bCs/>
        </w:rPr>
        <w:t>Propositions d’amendements au Règlement annexé à l’ADN :</w:t>
      </w:r>
      <w:r w:rsidRPr="001120F0">
        <w:rPr>
          <w:b/>
          <w:bCs/>
        </w:rPr>
        <w:br/>
        <w:t>autres propositions</w:t>
      </w:r>
    </w:p>
    <w:p w:rsidR="00045F8A" w:rsidRPr="009567A2" w:rsidRDefault="009567A2" w:rsidP="009567A2">
      <w:pPr>
        <w:pStyle w:val="HChG"/>
      </w:pPr>
      <w:r>
        <w:tab/>
      </w:r>
      <w:r>
        <w:tab/>
      </w:r>
      <w:r w:rsidR="00045F8A" w:rsidRPr="009567A2">
        <w:t>Corrections dans l’ADN 2019</w:t>
      </w:r>
    </w:p>
    <w:p w:rsidR="00045F8A" w:rsidRPr="0001509E" w:rsidRDefault="009567A2" w:rsidP="009567A2">
      <w:pPr>
        <w:pStyle w:val="H1G"/>
        <w:rPr>
          <w:lang w:val="fr-FR"/>
        </w:rPr>
      </w:pPr>
      <w:r>
        <w:rPr>
          <w:lang w:val="fr-FR"/>
        </w:rPr>
        <w:tab/>
      </w:r>
      <w:r>
        <w:rPr>
          <w:lang w:val="fr-FR"/>
        </w:rPr>
        <w:tab/>
      </w:r>
      <w:r w:rsidR="00045F8A" w:rsidRPr="0001509E">
        <w:rPr>
          <w:lang w:val="fr-FR"/>
        </w:rPr>
        <w:t>Communication du Gouvernement de l’Autriche</w:t>
      </w:r>
      <w:r w:rsidR="00A900C6" w:rsidRPr="00A900C6">
        <w:rPr>
          <w:rStyle w:val="FootnoteReference"/>
          <w:b w:val="0"/>
          <w:bCs/>
          <w:sz w:val="20"/>
          <w:vertAlign w:val="baseline"/>
        </w:rPr>
        <w:footnoteReference w:customMarkFollows="1" w:id="2"/>
        <w:t>*</w:t>
      </w:r>
      <w:r w:rsidR="001D5DD4" w:rsidRPr="001D5DD4">
        <w:rPr>
          <w:bCs/>
          <w:sz w:val="20"/>
          <w:vertAlign w:val="superscript"/>
          <w:lang w:val="fr-FR"/>
        </w:rPr>
        <w:t>,</w:t>
      </w:r>
      <w:r w:rsidR="001D5DD4">
        <w:rPr>
          <w:bCs/>
          <w:sz w:val="20"/>
          <w:lang w:val="fr-FR"/>
        </w:rPr>
        <w:t xml:space="preserve"> </w:t>
      </w:r>
      <w:r w:rsidR="00045F8A" w:rsidRPr="00A900C6">
        <w:rPr>
          <w:rStyle w:val="FootnoteReference"/>
          <w:b w:val="0"/>
          <w:sz w:val="20"/>
          <w:vertAlign w:val="baseline"/>
          <w:lang w:val="fr-FR"/>
        </w:rPr>
        <w:footnoteReference w:customMarkFollows="1" w:id="3"/>
        <w:t>**</w:t>
      </w:r>
      <w:r w:rsidR="00045F8A" w:rsidRPr="00A900C6">
        <w:rPr>
          <w:b w:val="0"/>
          <w:sz w:val="20"/>
          <w:lang w:val="fr-FR"/>
        </w:rPr>
        <w:t xml:space="preserve"> </w:t>
      </w:r>
    </w:p>
    <w:p w:rsidR="00045F8A" w:rsidRPr="0001509E" w:rsidRDefault="001D5DD4" w:rsidP="00A900C6">
      <w:pPr>
        <w:pStyle w:val="H1G"/>
        <w:rPr>
          <w:bCs/>
          <w:lang w:val="fr-FR"/>
        </w:rPr>
      </w:pPr>
      <w:r>
        <w:rPr>
          <w:lang w:val="fr-FR"/>
        </w:rPr>
        <w:tab/>
      </w:r>
      <w:r w:rsidR="00A900C6">
        <w:rPr>
          <w:lang w:val="fr-FR"/>
        </w:rPr>
        <w:t>A</w:t>
      </w:r>
      <w:r w:rsidR="00045F8A" w:rsidRPr="0001509E">
        <w:rPr>
          <w:lang w:val="fr-FR"/>
        </w:rPr>
        <w:t>.</w:t>
      </w:r>
      <w:r w:rsidR="00045F8A" w:rsidRPr="0001509E">
        <w:rPr>
          <w:lang w:val="fr-FR"/>
        </w:rPr>
        <w:tab/>
        <w:t>Précisions concernant la correction au 1.6.7.2.2.2</w:t>
      </w:r>
    </w:p>
    <w:p w:rsidR="00045F8A" w:rsidRPr="0001509E" w:rsidRDefault="00A900C6" w:rsidP="001D5DD4">
      <w:pPr>
        <w:pStyle w:val="SingleTxtG"/>
        <w:rPr>
          <w:lang w:val="fr-FR"/>
        </w:rPr>
      </w:pPr>
      <w:r>
        <w:rPr>
          <w:lang w:val="fr-FR"/>
        </w:rPr>
        <w:t>1.</w:t>
      </w:r>
      <w:r>
        <w:rPr>
          <w:lang w:val="fr-FR"/>
        </w:rPr>
        <w:tab/>
      </w:r>
      <w:r w:rsidR="00045F8A" w:rsidRPr="0001509E">
        <w:rPr>
          <w:lang w:val="fr-FR"/>
        </w:rPr>
        <w:t>La disposition transitoire ad 7.2.2.19.4 au 1.6.7.2.2.2 contient dans la colonne « Délai et observations » une liste des sections, sous-sections et paragraphe devant être observés à bord de bateaux en service utilisés pour la propulsion dans un convoi poussé ou une formation à couple.</w:t>
      </w:r>
    </w:p>
    <w:p w:rsidR="00045F8A" w:rsidRPr="0001509E" w:rsidRDefault="00A900C6" w:rsidP="001D5DD4">
      <w:pPr>
        <w:pStyle w:val="SingleTxtG"/>
        <w:rPr>
          <w:lang w:val="fr-FR"/>
        </w:rPr>
      </w:pPr>
      <w:r>
        <w:rPr>
          <w:lang w:val="fr-FR"/>
        </w:rPr>
        <w:t>2.</w:t>
      </w:r>
      <w:r>
        <w:rPr>
          <w:lang w:val="fr-FR"/>
        </w:rPr>
        <w:tab/>
      </w:r>
      <w:r w:rsidR="00045F8A" w:rsidRPr="0001509E">
        <w:rPr>
          <w:lang w:val="fr-FR"/>
        </w:rPr>
        <w:t>Pour les nouveaux bateaux, ces dispositions figurent au 7.2.2.19.3.</w:t>
      </w:r>
    </w:p>
    <w:p w:rsidR="00045F8A" w:rsidRPr="0001509E" w:rsidRDefault="00A900C6" w:rsidP="001D5DD4">
      <w:pPr>
        <w:pStyle w:val="SingleTxtG"/>
        <w:rPr>
          <w:lang w:val="fr-FR"/>
        </w:rPr>
      </w:pPr>
      <w:r>
        <w:rPr>
          <w:lang w:val="fr-FR"/>
        </w:rPr>
        <w:t>3.</w:t>
      </w:r>
      <w:r>
        <w:rPr>
          <w:lang w:val="fr-FR"/>
        </w:rPr>
        <w:tab/>
      </w:r>
      <w:r w:rsidR="00045F8A" w:rsidRPr="0001509E">
        <w:rPr>
          <w:lang w:val="fr-FR"/>
        </w:rPr>
        <w:t>Le 7.2.2.19.4 contient des dispositions indiquant quels sont les installations et équipements pouvant être utilisés sur le pont des autres bateaux de la formation pendant le chargement et le déchargement.</w:t>
      </w:r>
    </w:p>
    <w:p w:rsidR="00045F8A" w:rsidRPr="0001509E" w:rsidRDefault="00A900C6" w:rsidP="001D5DD4">
      <w:pPr>
        <w:pStyle w:val="SingleTxtG"/>
        <w:rPr>
          <w:lang w:val="fr-FR"/>
        </w:rPr>
      </w:pPr>
      <w:r>
        <w:rPr>
          <w:lang w:val="fr-FR"/>
        </w:rPr>
        <w:t>4.</w:t>
      </w:r>
      <w:r>
        <w:rPr>
          <w:lang w:val="fr-FR"/>
        </w:rPr>
        <w:tab/>
      </w:r>
      <w:r w:rsidR="00045F8A" w:rsidRPr="0001509E">
        <w:rPr>
          <w:lang w:val="fr-FR"/>
        </w:rPr>
        <w:t>Ces dispositions concernant l</w:t>
      </w:r>
      <w:r w:rsidR="00B77A3D">
        <w:rPr>
          <w:lang w:val="fr-FR"/>
        </w:rPr>
        <w:t>’</w:t>
      </w:r>
      <w:r w:rsidR="00045F8A" w:rsidRPr="0001509E">
        <w:rPr>
          <w:lang w:val="fr-FR"/>
        </w:rPr>
        <w:t>exploitation de bateaux en service ont par conséquent été placées dans la mauvaise ligne au 1.6.7.2.2.2.</w:t>
      </w:r>
    </w:p>
    <w:p w:rsidR="00045F8A" w:rsidRPr="0001509E" w:rsidRDefault="0003781F" w:rsidP="0039205E">
      <w:pPr>
        <w:pStyle w:val="HChG"/>
        <w:rPr>
          <w:lang w:val="fr-FR"/>
        </w:rPr>
      </w:pPr>
      <w:r>
        <w:rPr>
          <w:lang w:val="fr-FR"/>
        </w:rPr>
        <w:tab/>
      </w:r>
      <w:r>
        <w:rPr>
          <w:lang w:val="fr-FR"/>
        </w:rPr>
        <w:tab/>
      </w:r>
      <w:r w:rsidR="00045F8A" w:rsidRPr="0001509E">
        <w:rPr>
          <w:lang w:val="fr-FR"/>
        </w:rPr>
        <w:t>Proposition</w:t>
      </w:r>
    </w:p>
    <w:p w:rsidR="00045F8A" w:rsidRPr="0001509E" w:rsidRDefault="00A900C6" w:rsidP="00A900C6">
      <w:pPr>
        <w:pStyle w:val="SingleTxtG"/>
        <w:rPr>
          <w:lang w:val="fr-FR"/>
        </w:rPr>
      </w:pPr>
      <w:r>
        <w:rPr>
          <w:lang w:val="fr-FR"/>
        </w:rPr>
        <w:t>5.</w:t>
      </w:r>
      <w:r>
        <w:rPr>
          <w:lang w:val="fr-FR"/>
        </w:rPr>
        <w:tab/>
      </w:r>
      <w:r w:rsidR="00045F8A" w:rsidRPr="0001509E">
        <w:rPr>
          <w:lang w:val="fr-FR"/>
        </w:rPr>
        <w:t>Dans le tableau du 1.6.7.2.2.2, le texte « Jusqu</w:t>
      </w:r>
      <w:r w:rsidR="00B77A3D">
        <w:rPr>
          <w:lang w:val="fr-FR"/>
        </w:rPr>
        <w:t>’</w:t>
      </w:r>
      <w:r w:rsidR="00045F8A" w:rsidRPr="0001509E">
        <w:rPr>
          <w:lang w:val="fr-FR"/>
        </w:rPr>
        <w:t xml:space="preserve">à cette échéance, les prescriptions suivantes sont applicables à bord des bateaux en service : » figurant dans la colonne « Délai </w:t>
      </w:r>
      <w:r w:rsidR="00045F8A" w:rsidRPr="0001509E">
        <w:rPr>
          <w:lang w:val="fr-FR"/>
        </w:rPr>
        <w:lastRenderedPageBreak/>
        <w:t>et observations » à la ligne 7.2.2.19.4 doit par conséquent être déplacé pour figurer à la ligne 7.2.2.19.3.</w:t>
      </w:r>
    </w:p>
    <w:p w:rsidR="00045F8A" w:rsidRPr="0001509E" w:rsidRDefault="001D5DD4" w:rsidP="00A900C6">
      <w:pPr>
        <w:pStyle w:val="H1G"/>
        <w:rPr>
          <w:lang w:val="fr-FR"/>
        </w:rPr>
      </w:pPr>
      <w:r>
        <w:rPr>
          <w:lang w:val="fr-FR"/>
        </w:rPr>
        <w:tab/>
      </w:r>
      <w:r>
        <w:rPr>
          <w:lang w:val="fr-FR"/>
        </w:rPr>
        <w:tab/>
      </w:r>
      <w:r w:rsidR="00045F8A" w:rsidRPr="0001509E">
        <w:rPr>
          <w:lang w:val="fr-FR"/>
        </w:rPr>
        <w:t>Conséquences et faisabilité</w:t>
      </w:r>
    </w:p>
    <w:p w:rsidR="00045F8A" w:rsidRPr="0001509E" w:rsidRDefault="00A900C6" w:rsidP="001D5DD4">
      <w:pPr>
        <w:pStyle w:val="SingleTxtG"/>
        <w:rPr>
          <w:lang w:val="fr-FR"/>
        </w:rPr>
      </w:pPr>
      <w:r>
        <w:rPr>
          <w:lang w:val="fr-FR"/>
        </w:rPr>
        <w:t>6.</w:t>
      </w:r>
      <w:r>
        <w:rPr>
          <w:lang w:val="fr-FR"/>
        </w:rPr>
        <w:tab/>
      </w:r>
      <w:r w:rsidR="00045F8A" w:rsidRPr="0001509E">
        <w:rPr>
          <w:lang w:val="fr-FR"/>
        </w:rPr>
        <w:t>La teneur des exigences applicables aux bateaux en service n</w:t>
      </w:r>
      <w:r w:rsidR="006F134C">
        <w:rPr>
          <w:lang w:val="fr-FR"/>
        </w:rPr>
        <w:t>’</w:t>
      </w:r>
      <w:r w:rsidR="00045F8A" w:rsidRPr="0001509E">
        <w:rPr>
          <w:lang w:val="fr-FR"/>
        </w:rPr>
        <w:t>est pas modifiée, les exigences sont seulement déplacées pour figurer à la ligne correcte.</w:t>
      </w:r>
    </w:p>
    <w:p w:rsidR="00045F8A" w:rsidRPr="0001509E" w:rsidRDefault="001D5DD4" w:rsidP="00A900C6">
      <w:pPr>
        <w:pStyle w:val="H1G"/>
        <w:rPr>
          <w:lang w:val="fr-FR"/>
        </w:rPr>
      </w:pPr>
      <w:r>
        <w:rPr>
          <w:lang w:val="fr-FR"/>
        </w:rPr>
        <w:tab/>
      </w:r>
      <w:r w:rsidR="00A900C6">
        <w:rPr>
          <w:lang w:val="fr-FR"/>
        </w:rPr>
        <w:t>B</w:t>
      </w:r>
      <w:r w:rsidR="00045F8A" w:rsidRPr="0001509E">
        <w:rPr>
          <w:lang w:val="fr-FR"/>
        </w:rPr>
        <w:t>.</w:t>
      </w:r>
      <w:r w:rsidR="00045F8A" w:rsidRPr="0001509E">
        <w:rPr>
          <w:lang w:val="fr-FR"/>
        </w:rPr>
        <w:tab/>
        <w:t>Précisions concernant la correction au 7.2.3.1.5</w:t>
      </w:r>
    </w:p>
    <w:p w:rsidR="00045F8A" w:rsidRPr="0001509E" w:rsidRDefault="00A900C6" w:rsidP="0003781F">
      <w:pPr>
        <w:pStyle w:val="SingleTxtG"/>
        <w:rPr>
          <w:lang w:val="fr-FR"/>
        </w:rPr>
      </w:pPr>
      <w:r>
        <w:rPr>
          <w:lang w:val="fr-FR"/>
        </w:rPr>
        <w:t>7.</w:t>
      </w:r>
      <w:r>
        <w:rPr>
          <w:lang w:val="fr-FR"/>
        </w:rPr>
        <w:tab/>
      </w:r>
      <w:r w:rsidR="00045F8A" w:rsidRPr="0001509E">
        <w:rPr>
          <w:lang w:val="fr-FR"/>
        </w:rPr>
        <w:t>Conformément au 7.2.3.1.5, il convient de s'assurer au moyen d</w:t>
      </w:r>
      <w:r w:rsidR="006F134C">
        <w:rPr>
          <w:lang w:val="fr-FR"/>
        </w:rPr>
        <w:t>’</w:t>
      </w:r>
      <w:r w:rsidR="00045F8A" w:rsidRPr="0001509E">
        <w:rPr>
          <w:lang w:val="fr-FR"/>
        </w:rPr>
        <w:t>un détecteur de gaz que la concentration de gaz ou de vapeurs inflammables émis par la cargaison n</w:t>
      </w:r>
      <w:r w:rsidR="006F134C">
        <w:rPr>
          <w:lang w:val="fr-FR"/>
        </w:rPr>
        <w:t>’</w:t>
      </w:r>
      <w:r w:rsidR="00045F8A" w:rsidRPr="0001509E">
        <w:rPr>
          <w:lang w:val="fr-FR"/>
        </w:rPr>
        <w:t xml:space="preserve">est pas supérieure à 50 % de la LIE, « avant que quiconque ne pénètre dans une citerne à cargaison, une citerne à restes de cargaison, une chambre des pompes à cargaison sous pont, un </w:t>
      </w:r>
      <w:proofErr w:type="spellStart"/>
      <w:r w:rsidR="00045F8A" w:rsidRPr="0001509E">
        <w:rPr>
          <w:lang w:val="fr-FR"/>
        </w:rPr>
        <w:t>cofferdam</w:t>
      </w:r>
      <w:proofErr w:type="spellEnd"/>
      <w:r w:rsidR="00045F8A" w:rsidRPr="0001509E">
        <w:rPr>
          <w:lang w:val="fr-FR"/>
        </w:rPr>
        <w:t>, un espace de double coque, un double fond, un espace de cale ou un autre espace confiné ».</w:t>
      </w:r>
    </w:p>
    <w:p w:rsidR="00045F8A" w:rsidRPr="0001509E" w:rsidRDefault="00A900C6" w:rsidP="0003781F">
      <w:pPr>
        <w:pStyle w:val="SingleTxtG"/>
        <w:rPr>
          <w:lang w:val="fr-FR"/>
        </w:rPr>
      </w:pPr>
      <w:r>
        <w:rPr>
          <w:lang w:val="fr-FR"/>
        </w:rPr>
        <w:t>8.</w:t>
      </w:r>
      <w:r>
        <w:rPr>
          <w:lang w:val="fr-FR"/>
        </w:rPr>
        <w:tab/>
      </w:r>
      <w:r w:rsidR="00045F8A" w:rsidRPr="0001509E">
        <w:rPr>
          <w:lang w:val="fr-FR"/>
        </w:rPr>
        <w:t xml:space="preserve">Conformément au 7.2.3.1.6, on ne doit pénétrer dans une citerne à cargaison, une citerne à restes de cargaison, une chambre des pompes à cargaison sous pont, un </w:t>
      </w:r>
      <w:proofErr w:type="spellStart"/>
      <w:r w:rsidR="00045F8A" w:rsidRPr="0001509E">
        <w:rPr>
          <w:lang w:val="fr-FR"/>
        </w:rPr>
        <w:t>cofferdam</w:t>
      </w:r>
      <w:proofErr w:type="spellEnd"/>
      <w:r w:rsidR="00045F8A" w:rsidRPr="0001509E">
        <w:rPr>
          <w:lang w:val="fr-FR"/>
        </w:rPr>
        <w:t>, un espace de double coque, un double fond, un espace de cale ou un autre espace confiné, que si la concentration de gaz et de vapeurs inflammables provenant de la cargaison est inférieure à 10 % de la LIE.</w:t>
      </w:r>
    </w:p>
    <w:p w:rsidR="00045F8A" w:rsidRPr="0001509E" w:rsidRDefault="00A900C6" w:rsidP="0003781F">
      <w:pPr>
        <w:pStyle w:val="SingleTxtG"/>
        <w:rPr>
          <w:lang w:val="fr-FR"/>
        </w:rPr>
      </w:pPr>
      <w:r>
        <w:rPr>
          <w:lang w:val="fr-FR"/>
        </w:rPr>
        <w:t>9.</w:t>
      </w:r>
      <w:r>
        <w:rPr>
          <w:lang w:val="fr-FR"/>
        </w:rPr>
        <w:tab/>
      </w:r>
      <w:r w:rsidR="00045F8A" w:rsidRPr="0001509E">
        <w:rPr>
          <w:lang w:val="fr-FR"/>
        </w:rPr>
        <w:t>Cela soulève la question de savoir pourquoi la concentration ne doit pas être supérieure à 50</w:t>
      </w:r>
      <w:r w:rsidR="006F134C">
        <w:rPr>
          <w:lang w:val="fr-FR"/>
        </w:rPr>
        <w:t> </w:t>
      </w:r>
      <w:r w:rsidR="00045F8A" w:rsidRPr="0001509E">
        <w:rPr>
          <w:lang w:val="fr-FR"/>
        </w:rPr>
        <w:t>% de la LIE « avant de pénétrer », dès lors qu'il est interdit de pénétrer lorsque la concentration est supérieure à 10 % de la LIE.</w:t>
      </w:r>
    </w:p>
    <w:p w:rsidR="00045F8A" w:rsidRPr="0001509E" w:rsidRDefault="00A900C6" w:rsidP="0003781F">
      <w:pPr>
        <w:pStyle w:val="SingleTxtG"/>
        <w:rPr>
          <w:lang w:val="fr-FR"/>
        </w:rPr>
      </w:pPr>
      <w:r>
        <w:rPr>
          <w:lang w:val="fr-FR"/>
        </w:rPr>
        <w:t>10.</w:t>
      </w:r>
      <w:r>
        <w:rPr>
          <w:lang w:val="fr-FR"/>
        </w:rPr>
        <w:tab/>
      </w:r>
      <w:r w:rsidR="00045F8A" w:rsidRPr="0001509E">
        <w:rPr>
          <w:lang w:val="fr-FR"/>
        </w:rPr>
        <w:t>Une comparaison aux dispositions applicables aux bateaux à cargaison sèche fait apparaître que n</w:t>
      </w:r>
      <w:r w:rsidR="00B77A3D">
        <w:rPr>
          <w:lang w:val="fr-FR"/>
        </w:rPr>
        <w:t>’</w:t>
      </w:r>
      <w:r w:rsidR="00045F8A" w:rsidRPr="0001509E">
        <w:rPr>
          <w:lang w:val="fr-FR"/>
        </w:rPr>
        <w:t>y est mentionnée dans première disposition, au 7.1.3.1.4, que l</w:t>
      </w:r>
      <w:r w:rsidR="006F134C">
        <w:rPr>
          <w:lang w:val="fr-FR"/>
        </w:rPr>
        <w:t>’</w:t>
      </w:r>
      <w:r w:rsidR="00045F8A" w:rsidRPr="0001509E">
        <w:rPr>
          <w:lang w:val="fr-FR"/>
        </w:rPr>
        <w:t>obligation d</w:t>
      </w:r>
      <w:r w:rsidR="00B77A3D">
        <w:rPr>
          <w:lang w:val="fr-FR"/>
        </w:rPr>
        <w:t>’</w:t>
      </w:r>
      <w:r w:rsidR="00045F8A" w:rsidRPr="0001509E">
        <w:rPr>
          <w:lang w:val="fr-FR"/>
        </w:rPr>
        <w:t>effectuer les mesures avant de pénétrer, tandis que la deuxième disposition, au 7.1.3.1.5, énonce les concentrations de gaz admissibles concrètement, lesquelles sont identiques à celles énoncées au 7.2.3.1.6.</w:t>
      </w:r>
    </w:p>
    <w:p w:rsidR="00045F8A" w:rsidRPr="0001509E" w:rsidRDefault="00A900C6" w:rsidP="0003781F">
      <w:pPr>
        <w:pStyle w:val="SingleTxtG"/>
        <w:rPr>
          <w:lang w:val="fr-FR"/>
        </w:rPr>
      </w:pPr>
      <w:r>
        <w:rPr>
          <w:lang w:val="fr-FR"/>
        </w:rPr>
        <w:t>11.</w:t>
      </w:r>
      <w:r>
        <w:rPr>
          <w:lang w:val="fr-FR"/>
        </w:rPr>
        <w:tab/>
      </w:r>
      <w:r w:rsidR="00045F8A" w:rsidRPr="0001509E">
        <w:rPr>
          <w:lang w:val="fr-FR"/>
        </w:rPr>
        <w:t>Par conséquent, les valeurs limites figurant au 7.2.3.1.5 résultent probablement d</w:t>
      </w:r>
      <w:r w:rsidR="00B77A3D">
        <w:rPr>
          <w:lang w:val="fr-FR"/>
        </w:rPr>
        <w:t>’</w:t>
      </w:r>
      <w:r w:rsidR="00045F8A" w:rsidRPr="0001509E">
        <w:rPr>
          <w:lang w:val="fr-FR"/>
        </w:rPr>
        <w:t>une erreur de transcription lors de la reprise de l</w:t>
      </w:r>
      <w:r w:rsidR="00B77A3D">
        <w:rPr>
          <w:lang w:val="fr-FR"/>
        </w:rPr>
        <w:t>’</w:t>
      </w:r>
      <w:r w:rsidR="00045F8A" w:rsidRPr="0001509E">
        <w:rPr>
          <w:lang w:val="fr-FR"/>
        </w:rPr>
        <w:t>ADN 2017. La teneur du 7.2.3.1.5 devrait être alignée sur celle du 7.1.3.1.4.</w:t>
      </w:r>
    </w:p>
    <w:p w:rsidR="00045F8A" w:rsidRPr="0001509E" w:rsidRDefault="0003781F" w:rsidP="0039205E">
      <w:pPr>
        <w:pStyle w:val="HChG"/>
        <w:rPr>
          <w:lang w:val="fr-FR"/>
        </w:rPr>
      </w:pPr>
      <w:r>
        <w:rPr>
          <w:lang w:val="fr-FR"/>
        </w:rPr>
        <w:tab/>
      </w:r>
      <w:r>
        <w:rPr>
          <w:lang w:val="fr-FR"/>
        </w:rPr>
        <w:tab/>
      </w:r>
      <w:r w:rsidR="00045F8A" w:rsidRPr="0001509E">
        <w:rPr>
          <w:lang w:val="fr-FR"/>
        </w:rPr>
        <w:t>Proposition</w:t>
      </w:r>
    </w:p>
    <w:p w:rsidR="00045F8A" w:rsidRPr="0001509E" w:rsidRDefault="00045F8A" w:rsidP="0003781F">
      <w:pPr>
        <w:pStyle w:val="SingleTxtG"/>
        <w:rPr>
          <w:lang w:val="fr-FR"/>
        </w:rPr>
      </w:pPr>
      <w:r w:rsidRPr="0001509E">
        <w:rPr>
          <w:lang w:val="fr-FR"/>
        </w:rPr>
        <w:t>Modifier 7.2.3.1.5 pour lire comme suit :</w:t>
      </w:r>
    </w:p>
    <w:p w:rsidR="00045F8A" w:rsidRPr="0001509E" w:rsidRDefault="00045F8A" w:rsidP="0003781F">
      <w:pPr>
        <w:pStyle w:val="SingleTxtG"/>
        <w:rPr>
          <w:lang w:val="fr-FR"/>
        </w:rPr>
      </w:pPr>
      <w:bookmarkStart w:id="0" w:name="_Hlk6915767"/>
      <w:r w:rsidRPr="0001509E">
        <w:rPr>
          <w:lang w:val="fr-FR"/>
        </w:rPr>
        <w:t xml:space="preserve">« Avant que quiconque ne pénètre dans une citerne à cargaison, une citerne à restes de cargaison, une chambre des pompes à cargaison sous pont, un </w:t>
      </w:r>
      <w:proofErr w:type="spellStart"/>
      <w:r w:rsidRPr="0001509E">
        <w:rPr>
          <w:lang w:val="fr-FR"/>
        </w:rPr>
        <w:t>cofferdam</w:t>
      </w:r>
      <w:proofErr w:type="spellEnd"/>
      <w:r w:rsidRPr="0001509E">
        <w:rPr>
          <w:lang w:val="fr-FR"/>
        </w:rPr>
        <w:t>, un espace de double coque, un double fond, un espace de cale ou un autre espace confiné</w:t>
      </w:r>
      <w:bookmarkEnd w:id="0"/>
      <w:r w:rsidRPr="0001509E">
        <w:rPr>
          <w:lang w:val="fr-FR"/>
        </w:rPr>
        <w:t xml:space="preserve">, lorsque sont transportées des matières dangereuses des classes 2, 3, 4.1, 6.1, 8 ou 9, pour lesquelles la mention EX et/ou TOX figure dans la colonne (18) du tableau C du </w:t>
      </w:r>
      <w:r w:rsidR="00A900C6">
        <w:rPr>
          <w:lang w:val="fr-FR"/>
        </w:rPr>
        <w:t xml:space="preserve">chapitre </w:t>
      </w:r>
      <w:r w:rsidRPr="0001509E">
        <w:rPr>
          <w:lang w:val="fr-FR"/>
        </w:rPr>
        <w:t xml:space="preserve">3.2., la concentration de gaz et de vapeurs inflammables et/ou toxiques doit être mesurée dans lesdits citerne à cargaison, citerne à restes de cargaison, chambre des pompes à cargaison sous pont, </w:t>
      </w:r>
      <w:proofErr w:type="spellStart"/>
      <w:r w:rsidRPr="0001509E">
        <w:rPr>
          <w:lang w:val="fr-FR"/>
        </w:rPr>
        <w:t>cofferdam</w:t>
      </w:r>
      <w:proofErr w:type="spellEnd"/>
      <w:r w:rsidRPr="0001509E">
        <w:rPr>
          <w:lang w:val="fr-FR"/>
        </w:rPr>
        <w:t>, espace de double coque, double fond ou espace de cale. ».</w:t>
      </w:r>
    </w:p>
    <w:p w:rsidR="00045F8A" w:rsidRPr="0001509E" w:rsidRDefault="0003781F" w:rsidP="0039205E">
      <w:pPr>
        <w:pStyle w:val="HChG"/>
        <w:rPr>
          <w:lang w:val="fr-FR"/>
        </w:rPr>
      </w:pPr>
      <w:r>
        <w:rPr>
          <w:lang w:val="fr-FR"/>
        </w:rPr>
        <w:tab/>
      </w:r>
      <w:r>
        <w:rPr>
          <w:lang w:val="fr-FR"/>
        </w:rPr>
        <w:tab/>
      </w:r>
      <w:r w:rsidR="00045F8A" w:rsidRPr="0001509E">
        <w:rPr>
          <w:lang w:val="fr-FR"/>
        </w:rPr>
        <w:t>Conséquences et faisabilité</w:t>
      </w:r>
    </w:p>
    <w:p w:rsidR="005164F9" w:rsidRDefault="00A900C6" w:rsidP="00A900C6">
      <w:pPr>
        <w:pStyle w:val="SingleTxtG"/>
        <w:rPr>
          <w:lang w:val="fr-FR"/>
        </w:rPr>
      </w:pPr>
      <w:r>
        <w:rPr>
          <w:lang w:val="fr-FR"/>
        </w:rPr>
        <w:t>12.</w:t>
      </w:r>
      <w:r>
        <w:rPr>
          <w:lang w:val="fr-FR"/>
        </w:rPr>
        <w:tab/>
      </w:r>
      <w:r w:rsidR="00045F8A" w:rsidRPr="0001509E">
        <w:rPr>
          <w:lang w:val="fr-FR"/>
        </w:rPr>
        <w:t>Le niveau de sécurité n</w:t>
      </w:r>
      <w:r w:rsidR="00B77A3D">
        <w:rPr>
          <w:lang w:val="fr-FR"/>
        </w:rPr>
        <w:t>’</w:t>
      </w:r>
      <w:r w:rsidR="00045F8A" w:rsidRPr="0001509E">
        <w:rPr>
          <w:lang w:val="fr-FR"/>
        </w:rPr>
        <w:t>est pas abaissé, étant donné que n</w:t>
      </w:r>
      <w:r w:rsidR="00B77A3D">
        <w:rPr>
          <w:lang w:val="fr-FR"/>
        </w:rPr>
        <w:t>’</w:t>
      </w:r>
      <w:r w:rsidR="00045F8A" w:rsidRPr="0001509E">
        <w:rPr>
          <w:lang w:val="fr-FR"/>
        </w:rPr>
        <w:t>est supprimée que la mention des valeurs limites moins restrictives. Cela n</w:t>
      </w:r>
      <w:r w:rsidR="00B77A3D">
        <w:rPr>
          <w:lang w:val="fr-FR"/>
        </w:rPr>
        <w:t>’</w:t>
      </w:r>
      <w:r w:rsidR="00045F8A" w:rsidRPr="0001509E">
        <w:rPr>
          <w:lang w:val="fr-FR"/>
        </w:rPr>
        <w:t>implique aucune modification dans la pratique, étant donné que même en application des dispositions actuellement en vigueur, les mesures ne sont probablement effectuées qu</w:t>
      </w:r>
      <w:r w:rsidR="00B77A3D">
        <w:rPr>
          <w:lang w:val="fr-FR"/>
        </w:rPr>
        <w:t>’</w:t>
      </w:r>
      <w:r w:rsidR="00045F8A" w:rsidRPr="0001509E">
        <w:rPr>
          <w:lang w:val="fr-FR"/>
        </w:rPr>
        <w:t>une seule fois avant de pénétrer dans les locaux.</w:t>
      </w:r>
    </w:p>
    <w:p w:rsidR="00045F8A" w:rsidRPr="0001509E" w:rsidRDefault="0003781F" w:rsidP="00DF10EB">
      <w:pPr>
        <w:pStyle w:val="H1G"/>
        <w:tabs>
          <w:tab w:val="left" w:pos="8505"/>
        </w:tabs>
        <w:rPr>
          <w:lang w:val="fr-FR"/>
        </w:rPr>
      </w:pPr>
      <w:r>
        <w:rPr>
          <w:lang w:val="fr-FR"/>
        </w:rPr>
        <w:lastRenderedPageBreak/>
        <w:tab/>
      </w:r>
      <w:r w:rsidR="00A900C6">
        <w:rPr>
          <w:lang w:val="fr-FR"/>
        </w:rPr>
        <w:t>C.</w:t>
      </w:r>
      <w:r w:rsidR="00045F8A" w:rsidRPr="0001509E">
        <w:rPr>
          <w:lang w:val="fr-FR"/>
        </w:rPr>
        <w:tab/>
        <w:t>Précisions concernant la correction au 7.2.4.16.4</w:t>
      </w:r>
    </w:p>
    <w:p w:rsidR="00045F8A" w:rsidRPr="0001509E" w:rsidRDefault="005164F9" w:rsidP="0003781F">
      <w:pPr>
        <w:pStyle w:val="SingleTxtG"/>
        <w:rPr>
          <w:lang w:val="fr-FR"/>
        </w:rPr>
      </w:pPr>
      <w:r>
        <w:rPr>
          <w:lang w:val="fr-FR"/>
        </w:rPr>
        <w:t>13.</w:t>
      </w:r>
      <w:r>
        <w:rPr>
          <w:lang w:val="fr-FR"/>
        </w:rPr>
        <w:tab/>
      </w:r>
      <w:r w:rsidR="00045F8A" w:rsidRPr="0001509E">
        <w:rPr>
          <w:lang w:val="fr-FR"/>
        </w:rPr>
        <w:t>Le 7.2.4.16.4 a été repris sans modifications d</w:t>
      </w:r>
      <w:r w:rsidR="009C3A8A">
        <w:rPr>
          <w:lang w:val="fr-FR"/>
        </w:rPr>
        <w:t>’</w:t>
      </w:r>
      <w:r w:rsidR="00045F8A" w:rsidRPr="0001509E">
        <w:rPr>
          <w:lang w:val="fr-FR"/>
        </w:rPr>
        <w:t>éditions antérieures de l</w:t>
      </w:r>
      <w:r w:rsidR="006F134C">
        <w:rPr>
          <w:lang w:val="fr-FR"/>
        </w:rPr>
        <w:t>’</w:t>
      </w:r>
      <w:r w:rsidR="00045F8A" w:rsidRPr="0001509E">
        <w:rPr>
          <w:lang w:val="fr-FR"/>
        </w:rPr>
        <w:t>ADN :</w:t>
      </w:r>
    </w:p>
    <w:p w:rsidR="00045F8A" w:rsidRPr="0001509E" w:rsidRDefault="00045F8A" w:rsidP="0003781F">
      <w:pPr>
        <w:pStyle w:val="SingleTxtG"/>
        <w:rPr>
          <w:color w:val="000000"/>
          <w:lang w:val="fr-FR"/>
        </w:rPr>
      </w:pPr>
      <w:r w:rsidRPr="0001509E">
        <w:rPr>
          <w:color w:val="000000"/>
          <w:lang w:val="fr-FR"/>
        </w:rPr>
        <w:t>« Si le bateau est muni d</w:t>
      </w:r>
      <w:r w:rsidR="009C3A8A">
        <w:rPr>
          <w:color w:val="000000"/>
          <w:lang w:val="fr-FR"/>
        </w:rPr>
        <w:t>’</w:t>
      </w:r>
      <w:r w:rsidRPr="0001509E">
        <w:rPr>
          <w:color w:val="000000"/>
          <w:lang w:val="fr-FR"/>
        </w:rPr>
        <w:t xml:space="preserve">une cloison transversale conformément aux 9.3.1.25.3, 9.3.2.25.3 ou 9.3.3.25.3, les portes dans ces cloisons doivent être fermées pendant le chargement et le </w:t>
      </w:r>
      <w:bookmarkStart w:id="1" w:name="_GoBack"/>
      <w:bookmarkEnd w:id="1"/>
      <w:r w:rsidRPr="0001509E">
        <w:rPr>
          <w:color w:val="000000"/>
          <w:lang w:val="fr-FR"/>
        </w:rPr>
        <w:t>déchargement. ».</w:t>
      </w:r>
    </w:p>
    <w:p w:rsidR="00045F8A" w:rsidRDefault="005164F9" w:rsidP="0003781F">
      <w:pPr>
        <w:pStyle w:val="SingleTxtG"/>
        <w:rPr>
          <w:lang w:val="fr-FR"/>
        </w:rPr>
      </w:pPr>
      <w:r>
        <w:rPr>
          <w:lang w:val="fr-FR"/>
        </w:rPr>
        <w:t>14.</w:t>
      </w:r>
      <w:r>
        <w:rPr>
          <w:lang w:val="fr-FR"/>
        </w:rPr>
        <w:tab/>
      </w:r>
      <w:r w:rsidR="00045F8A" w:rsidRPr="0001509E">
        <w:rPr>
          <w:lang w:val="fr-FR"/>
        </w:rPr>
        <w:t>La teneur du 9.3.x.25.3 ayant été supprimée dans l'ADN 2019, ce renvoi est obsolète.</w:t>
      </w:r>
    </w:p>
    <w:p w:rsidR="00045F8A" w:rsidRPr="0001509E" w:rsidRDefault="005164F9" w:rsidP="0003781F">
      <w:pPr>
        <w:pStyle w:val="SingleTxtG"/>
        <w:rPr>
          <w:lang w:val="fr-FR"/>
        </w:rPr>
      </w:pPr>
      <w:r>
        <w:rPr>
          <w:lang w:val="fr-FR"/>
        </w:rPr>
        <w:t>15.</w:t>
      </w:r>
      <w:r>
        <w:rPr>
          <w:lang w:val="fr-FR"/>
        </w:rPr>
        <w:tab/>
      </w:r>
      <w:r w:rsidR="00045F8A" w:rsidRPr="0001509E">
        <w:rPr>
          <w:lang w:val="fr-FR"/>
        </w:rPr>
        <w:t>Dans l</w:t>
      </w:r>
      <w:r w:rsidR="0003781F">
        <w:rPr>
          <w:lang w:val="fr-FR"/>
        </w:rPr>
        <w:t>’</w:t>
      </w:r>
      <w:r w:rsidR="00045F8A" w:rsidRPr="0001509E">
        <w:rPr>
          <w:lang w:val="fr-FR"/>
        </w:rPr>
        <w:t>édition 2017, le texte du 9.3.x.25.3 était libellé comme suit :</w:t>
      </w:r>
    </w:p>
    <w:p w:rsidR="00045F8A" w:rsidRPr="0001509E" w:rsidRDefault="00045F8A" w:rsidP="00B50CB7">
      <w:pPr>
        <w:pStyle w:val="SingleTxtG"/>
        <w:rPr>
          <w:bCs/>
          <w:lang w:val="fr-FR"/>
        </w:rPr>
      </w:pPr>
      <w:r w:rsidRPr="0001509E">
        <w:rPr>
          <w:lang w:val="fr-FR"/>
        </w:rPr>
        <w:t>« La distance mentionnée aux 9.3.x.25.1 et 9.3.x.25.2 e) peut être réduite à 3,00 m à condition qu</w:t>
      </w:r>
      <w:r w:rsidR="0003781F">
        <w:rPr>
          <w:lang w:val="fr-FR"/>
        </w:rPr>
        <w:t>’</w:t>
      </w:r>
      <w:r w:rsidRPr="0001509E">
        <w:rPr>
          <w:lang w:val="fr-FR"/>
        </w:rPr>
        <w:t>à l</w:t>
      </w:r>
      <w:r w:rsidR="009C3A8A">
        <w:rPr>
          <w:lang w:val="fr-FR"/>
        </w:rPr>
        <w:t>’</w:t>
      </w:r>
      <w:r w:rsidRPr="0001509E">
        <w:rPr>
          <w:lang w:val="fr-FR"/>
        </w:rPr>
        <w:t>extrémité de la zone de cargaison soit aménagée une cloison transversale conforme au 9.</w:t>
      </w:r>
      <w:proofErr w:type="gramStart"/>
      <w:r w:rsidRPr="0001509E">
        <w:rPr>
          <w:lang w:val="fr-FR"/>
        </w:rPr>
        <w:t>3.x.</w:t>
      </w:r>
      <w:proofErr w:type="gramEnd"/>
      <w:r w:rsidRPr="0001509E">
        <w:rPr>
          <w:lang w:val="fr-FR"/>
        </w:rPr>
        <w:t>10.2. Dans ce cas les ouvertures de passage doivent être munies de portes.</w:t>
      </w:r>
      <w:r w:rsidR="00B50CB7">
        <w:rPr>
          <w:lang w:val="fr-FR"/>
        </w:rPr>
        <w:t xml:space="preserve"> </w:t>
      </w:r>
      <w:r w:rsidRPr="0001509E">
        <w:rPr>
          <w:lang w:val="fr-FR"/>
        </w:rPr>
        <w:t>La consigne suivante doit être apposée à ces portes :</w:t>
      </w:r>
    </w:p>
    <w:p w:rsidR="00045F8A" w:rsidRPr="0003781F" w:rsidRDefault="00045F8A" w:rsidP="0003781F">
      <w:pPr>
        <w:pStyle w:val="SingleTxtG"/>
        <w:spacing w:after="0"/>
        <w:jc w:val="center"/>
        <w:rPr>
          <w:b/>
          <w:bCs/>
          <w:lang w:val="fr-FR"/>
        </w:rPr>
      </w:pPr>
      <w:r w:rsidRPr="0003781F">
        <w:rPr>
          <w:b/>
          <w:bCs/>
          <w:lang w:val="fr-FR"/>
        </w:rPr>
        <w:t>Pendant le chargement et le déchargement,</w:t>
      </w:r>
    </w:p>
    <w:p w:rsidR="00045F8A" w:rsidRPr="0003781F" w:rsidRDefault="00045F8A" w:rsidP="0003781F">
      <w:pPr>
        <w:pStyle w:val="SingleTxtG"/>
        <w:spacing w:after="0"/>
        <w:jc w:val="center"/>
        <w:rPr>
          <w:b/>
          <w:bCs/>
          <w:lang w:val="fr-FR"/>
        </w:rPr>
      </w:pPr>
      <w:proofErr w:type="gramStart"/>
      <w:r w:rsidRPr="0003781F">
        <w:rPr>
          <w:b/>
          <w:bCs/>
          <w:lang w:val="fr-FR"/>
        </w:rPr>
        <w:t>ne</w:t>
      </w:r>
      <w:proofErr w:type="gramEnd"/>
      <w:r w:rsidRPr="0003781F">
        <w:rPr>
          <w:b/>
          <w:bCs/>
          <w:lang w:val="fr-FR"/>
        </w:rPr>
        <w:t xml:space="preserve"> pas ouvrir sans autorisation du conducteur.</w:t>
      </w:r>
    </w:p>
    <w:p w:rsidR="00045F8A" w:rsidRPr="0003781F" w:rsidRDefault="00045F8A" w:rsidP="0003781F">
      <w:pPr>
        <w:pStyle w:val="SingleTxtG"/>
        <w:jc w:val="center"/>
        <w:rPr>
          <w:b/>
          <w:bCs/>
          <w:lang w:val="fr-FR"/>
        </w:rPr>
      </w:pPr>
      <w:r w:rsidRPr="0003781F">
        <w:rPr>
          <w:b/>
          <w:bCs/>
          <w:lang w:val="fr-FR"/>
        </w:rPr>
        <w:t>Refermer immédiatement. ».</w:t>
      </w:r>
    </w:p>
    <w:p w:rsidR="00045F8A" w:rsidRPr="0001509E" w:rsidRDefault="00045F8A" w:rsidP="0003781F">
      <w:pPr>
        <w:pStyle w:val="SingleTxtG"/>
        <w:rPr>
          <w:lang w:val="fr-FR"/>
        </w:rPr>
      </w:pPr>
      <w:r w:rsidRPr="0001509E">
        <w:rPr>
          <w:lang w:val="fr-FR"/>
        </w:rPr>
        <w:t>9.3.x.10.2 était libellé comme suit :</w:t>
      </w:r>
    </w:p>
    <w:p w:rsidR="00045F8A" w:rsidRPr="0001509E" w:rsidRDefault="0003781F" w:rsidP="0003781F">
      <w:pPr>
        <w:pStyle w:val="SingleTxtG"/>
        <w:ind w:left="1701" w:hanging="567"/>
        <w:rPr>
          <w:lang w:val="fr-FR"/>
        </w:rPr>
      </w:pPr>
      <w:r>
        <w:rPr>
          <w:lang w:val="fr-FR"/>
        </w:rPr>
        <w:tab/>
      </w:r>
      <w:r w:rsidR="00045F8A" w:rsidRPr="0001509E">
        <w:rPr>
          <w:lang w:val="fr-FR"/>
        </w:rPr>
        <w:t>« […] Il peut être dérogé à cette prescription si la paroi des superstructures faisant face à la zone de cargaison s</w:t>
      </w:r>
      <w:r w:rsidR="00B77A3D">
        <w:rPr>
          <w:lang w:val="fr-FR"/>
        </w:rPr>
        <w:t>’</w:t>
      </w:r>
      <w:r w:rsidR="00045F8A" w:rsidRPr="0001509E">
        <w:rPr>
          <w:lang w:val="fr-FR"/>
        </w:rPr>
        <w:t>étend d</w:t>
      </w:r>
      <w:r w:rsidR="00B77A3D">
        <w:rPr>
          <w:lang w:val="fr-FR"/>
        </w:rPr>
        <w:t>’</w:t>
      </w:r>
      <w:r w:rsidR="00045F8A" w:rsidRPr="0001509E">
        <w:rPr>
          <w:lang w:val="fr-FR"/>
        </w:rPr>
        <w:t>un bordage à l</w:t>
      </w:r>
      <w:r w:rsidR="00B77A3D">
        <w:rPr>
          <w:lang w:val="fr-FR"/>
        </w:rPr>
        <w:t>’</w:t>
      </w:r>
      <w:r w:rsidR="00045F8A" w:rsidRPr="0001509E">
        <w:rPr>
          <w:lang w:val="fr-FR"/>
        </w:rPr>
        <w:t>autre du bateau et si les portes situées dans cette paroi ont des seuils d</w:t>
      </w:r>
      <w:r w:rsidR="00B77A3D">
        <w:rPr>
          <w:lang w:val="fr-FR"/>
        </w:rPr>
        <w:t>’</w:t>
      </w:r>
      <w:r w:rsidR="00045F8A" w:rsidRPr="0001509E">
        <w:rPr>
          <w:lang w:val="fr-FR"/>
        </w:rPr>
        <w:t>au moins 0,50 m au-dessus du pont. La hauteur de cette paroi doit être d</w:t>
      </w:r>
      <w:r w:rsidR="009C3A8A">
        <w:rPr>
          <w:lang w:val="fr-FR"/>
        </w:rPr>
        <w:t>’</w:t>
      </w:r>
      <w:r w:rsidR="00045F8A" w:rsidRPr="0001509E">
        <w:rPr>
          <w:lang w:val="fr-FR"/>
        </w:rPr>
        <w:t>au moins 2,00 m. […] ».</w:t>
      </w:r>
    </w:p>
    <w:p w:rsidR="00045F8A" w:rsidRPr="0001509E" w:rsidRDefault="005164F9" w:rsidP="0003781F">
      <w:pPr>
        <w:pStyle w:val="SingleTxtG"/>
        <w:rPr>
          <w:lang w:val="fr-FR"/>
        </w:rPr>
      </w:pPr>
      <w:r>
        <w:rPr>
          <w:lang w:val="fr-FR"/>
        </w:rPr>
        <w:t>1</w:t>
      </w:r>
      <w:r w:rsidR="00B50CB7">
        <w:rPr>
          <w:lang w:val="fr-FR"/>
        </w:rPr>
        <w:t>6</w:t>
      </w:r>
      <w:r>
        <w:rPr>
          <w:lang w:val="fr-FR"/>
        </w:rPr>
        <w:t>.</w:t>
      </w:r>
      <w:r>
        <w:rPr>
          <w:lang w:val="fr-FR"/>
        </w:rPr>
        <w:tab/>
      </w:r>
      <w:r w:rsidR="00045F8A" w:rsidRPr="0001509E">
        <w:rPr>
          <w:lang w:val="fr-FR"/>
        </w:rPr>
        <w:t>Étant donné que l</w:t>
      </w:r>
      <w:r w:rsidR="00B77A3D">
        <w:rPr>
          <w:lang w:val="fr-FR"/>
        </w:rPr>
        <w:t>’</w:t>
      </w:r>
      <w:r w:rsidR="00045F8A" w:rsidRPr="0001509E">
        <w:rPr>
          <w:lang w:val="fr-FR"/>
        </w:rPr>
        <w:t>exploitation de bateaux équipés d</w:t>
      </w:r>
      <w:r w:rsidR="009C3A8A">
        <w:rPr>
          <w:lang w:val="fr-FR"/>
        </w:rPr>
        <w:t>’</w:t>
      </w:r>
      <w:r w:rsidR="00045F8A" w:rsidRPr="0001509E">
        <w:rPr>
          <w:lang w:val="fr-FR"/>
        </w:rPr>
        <w:t>une telle cloison transversale peut se poursuivre et que la fermeture des portes pendant le chargement et le déchargement contribue notablement à la protection contre les explosions à bord de ces bateaux en service, il conviendrait de ne pas supprimer la disposition du 7.2.4.16.4 mais d</w:t>
      </w:r>
      <w:r w:rsidR="009C3A8A">
        <w:rPr>
          <w:lang w:val="fr-FR"/>
        </w:rPr>
        <w:t>’</w:t>
      </w:r>
      <w:r w:rsidR="00045F8A" w:rsidRPr="0001509E">
        <w:rPr>
          <w:lang w:val="fr-FR"/>
        </w:rPr>
        <w:t>en adapter le libellé.</w:t>
      </w:r>
    </w:p>
    <w:p w:rsidR="00045F8A" w:rsidRPr="0001509E" w:rsidRDefault="0003781F" w:rsidP="0039205E">
      <w:pPr>
        <w:pStyle w:val="HChG"/>
        <w:rPr>
          <w:lang w:val="fr-FR"/>
        </w:rPr>
      </w:pPr>
      <w:r>
        <w:rPr>
          <w:lang w:val="fr-FR"/>
        </w:rPr>
        <w:tab/>
      </w:r>
      <w:r>
        <w:rPr>
          <w:lang w:val="fr-FR"/>
        </w:rPr>
        <w:tab/>
      </w:r>
      <w:r w:rsidR="00045F8A" w:rsidRPr="0001509E">
        <w:rPr>
          <w:lang w:val="fr-FR"/>
        </w:rPr>
        <w:t>Proposition</w:t>
      </w:r>
    </w:p>
    <w:p w:rsidR="00045F8A" w:rsidRPr="0001509E" w:rsidRDefault="00045F8A" w:rsidP="0003781F">
      <w:pPr>
        <w:pStyle w:val="SingleTxtG"/>
        <w:rPr>
          <w:lang w:val="fr-FR"/>
        </w:rPr>
      </w:pPr>
      <w:r w:rsidRPr="0001509E">
        <w:rPr>
          <w:lang w:val="fr-FR"/>
        </w:rPr>
        <w:t>Modifier 7.2.4.16.4 pour lire comme suit :</w:t>
      </w:r>
    </w:p>
    <w:p w:rsidR="00045F8A" w:rsidRPr="0001509E" w:rsidRDefault="00045F8A" w:rsidP="0003781F">
      <w:pPr>
        <w:pStyle w:val="SingleTxtG"/>
        <w:rPr>
          <w:lang w:val="fr-FR"/>
        </w:rPr>
      </w:pPr>
      <w:r w:rsidRPr="0001509E">
        <w:rPr>
          <w:lang w:val="fr-FR"/>
        </w:rPr>
        <w:t>« Si le bateau est muni à l</w:t>
      </w:r>
      <w:r w:rsidR="00B77A3D">
        <w:rPr>
          <w:lang w:val="fr-FR"/>
        </w:rPr>
        <w:t>’</w:t>
      </w:r>
      <w:r w:rsidRPr="0001509E">
        <w:rPr>
          <w:lang w:val="fr-FR"/>
        </w:rPr>
        <w:t>extrémité de la zone de cargaison d</w:t>
      </w:r>
      <w:r w:rsidR="009C3A8A">
        <w:rPr>
          <w:lang w:val="fr-FR"/>
        </w:rPr>
        <w:t>’</w:t>
      </w:r>
      <w:r w:rsidRPr="0001509E">
        <w:rPr>
          <w:lang w:val="fr-FR"/>
        </w:rPr>
        <w:t>une paroi qui s'étend d</w:t>
      </w:r>
      <w:r w:rsidR="009C3A8A">
        <w:rPr>
          <w:lang w:val="fr-FR"/>
        </w:rPr>
        <w:t>’</w:t>
      </w:r>
      <w:r w:rsidRPr="0001509E">
        <w:rPr>
          <w:lang w:val="fr-FR"/>
        </w:rPr>
        <w:t>un bordage à l</w:t>
      </w:r>
      <w:r w:rsidR="009C3A8A">
        <w:rPr>
          <w:lang w:val="fr-FR"/>
        </w:rPr>
        <w:t>’</w:t>
      </w:r>
      <w:r w:rsidRPr="0001509E">
        <w:rPr>
          <w:lang w:val="fr-FR"/>
        </w:rPr>
        <w:t>autre (cloison transversale) conformément aux 9.3.1.10.2, 9.3.2.10.2 ou 9.3.3.10.2 de la version de l</w:t>
      </w:r>
      <w:r w:rsidR="009C3A8A">
        <w:rPr>
          <w:lang w:val="fr-FR"/>
        </w:rPr>
        <w:t>’</w:t>
      </w:r>
      <w:r w:rsidRPr="0001509E">
        <w:rPr>
          <w:lang w:val="fr-FR"/>
        </w:rPr>
        <w:t>ADN en vigueur jusqu</w:t>
      </w:r>
      <w:r w:rsidR="009C3A8A">
        <w:rPr>
          <w:lang w:val="fr-FR"/>
        </w:rPr>
        <w:t>’</w:t>
      </w:r>
      <w:r w:rsidRPr="0001509E">
        <w:rPr>
          <w:lang w:val="fr-FR"/>
        </w:rPr>
        <w:t>au 31 décembre 2018, les portes situées dans cette paroi doivent être fermées pendant le chargement et le déchargement. »</w:t>
      </w:r>
    </w:p>
    <w:p w:rsidR="00045F8A" w:rsidRPr="0001509E" w:rsidRDefault="003F0B4E" w:rsidP="0039205E">
      <w:pPr>
        <w:pStyle w:val="HChG"/>
        <w:rPr>
          <w:lang w:val="fr-FR"/>
        </w:rPr>
      </w:pPr>
      <w:r>
        <w:rPr>
          <w:lang w:val="fr-FR"/>
        </w:rPr>
        <w:tab/>
      </w:r>
      <w:r>
        <w:rPr>
          <w:lang w:val="fr-FR"/>
        </w:rPr>
        <w:tab/>
      </w:r>
      <w:r w:rsidR="00045F8A" w:rsidRPr="0001509E">
        <w:rPr>
          <w:lang w:val="fr-FR"/>
        </w:rPr>
        <w:t>Conséquences et faisabilité</w:t>
      </w:r>
    </w:p>
    <w:p w:rsidR="00045F8A" w:rsidRPr="0001509E" w:rsidRDefault="005164F9" w:rsidP="003F0B4E">
      <w:pPr>
        <w:pStyle w:val="SingleTxtG"/>
        <w:rPr>
          <w:lang w:val="fr-FR"/>
        </w:rPr>
      </w:pPr>
      <w:r>
        <w:rPr>
          <w:lang w:val="fr-FR"/>
        </w:rPr>
        <w:t>1</w:t>
      </w:r>
      <w:r w:rsidR="00B50CB7">
        <w:rPr>
          <w:lang w:val="fr-FR"/>
        </w:rPr>
        <w:t>7</w:t>
      </w:r>
      <w:r>
        <w:rPr>
          <w:lang w:val="fr-FR"/>
        </w:rPr>
        <w:t>.</w:t>
      </w:r>
      <w:r>
        <w:rPr>
          <w:lang w:val="fr-FR"/>
        </w:rPr>
        <w:tab/>
      </w:r>
      <w:r w:rsidR="00045F8A" w:rsidRPr="0001509E">
        <w:rPr>
          <w:lang w:val="fr-FR"/>
        </w:rPr>
        <w:t>L</w:t>
      </w:r>
      <w:r w:rsidR="00B77A3D">
        <w:rPr>
          <w:lang w:val="fr-FR"/>
        </w:rPr>
        <w:t>’</w:t>
      </w:r>
      <w:r w:rsidR="00045F8A" w:rsidRPr="0001509E">
        <w:rPr>
          <w:lang w:val="fr-FR"/>
        </w:rPr>
        <w:t>amendement rétablit pour les bateaux déjà en service la prescription qui était en vigueur jusque fin 2018. Aucune modification n</w:t>
      </w:r>
      <w:r w:rsidR="00B77A3D">
        <w:rPr>
          <w:lang w:val="fr-FR"/>
        </w:rPr>
        <w:t>’</w:t>
      </w:r>
      <w:r w:rsidR="00045F8A" w:rsidRPr="0001509E">
        <w:rPr>
          <w:lang w:val="fr-FR"/>
        </w:rPr>
        <w:t>est nécessaire à bord des bateaux déjà en service. Si un bateau fait l</w:t>
      </w:r>
      <w:r w:rsidR="00B77A3D">
        <w:rPr>
          <w:lang w:val="fr-FR"/>
        </w:rPr>
        <w:t>’</w:t>
      </w:r>
      <w:r w:rsidR="00045F8A" w:rsidRPr="0001509E">
        <w:rPr>
          <w:lang w:val="fr-FR"/>
        </w:rPr>
        <w:t>objet d</w:t>
      </w:r>
      <w:r w:rsidR="009C3A8A">
        <w:rPr>
          <w:lang w:val="fr-FR"/>
        </w:rPr>
        <w:t>’</w:t>
      </w:r>
      <w:r w:rsidR="00045F8A" w:rsidRPr="0001509E">
        <w:rPr>
          <w:lang w:val="fr-FR"/>
        </w:rPr>
        <w:t>adaptations pour sa mise en conformité avec les dispositions du nouveau concept pour la protection contre les explosions, cette disposition n</w:t>
      </w:r>
      <w:r w:rsidR="00B77A3D">
        <w:rPr>
          <w:lang w:val="fr-FR"/>
        </w:rPr>
        <w:t>’</w:t>
      </w:r>
      <w:r w:rsidR="00045F8A" w:rsidRPr="0001509E">
        <w:rPr>
          <w:lang w:val="fr-FR"/>
        </w:rPr>
        <w:t>est plus applicable.</w:t>
      </w:r>
    </w:p>
    <w:p w:rsidR="00045F8A" w:rsidRPr="0001509E" w:rsidRDefault="003F0B4E" w:rsidP="005164F9">
      <w:pPr>
        <w:pStyle w:val="H1G"/>
        <w:rPr>
          <w:lang w:val="fr-FR"/>
        </w:rPr>
      </w:pPr>
      <w:r>
        <w:rPr>
          <w:lang w:val="fr-FR"/>
        </w:rPr>
        <w:tab/>
      </w:r>
      <w:r w:rsidR="005164F9">
        <w:rPr>
          <w:lang w:val="fr-FR"/>
        </w:rPr>
        <w:t>D.</w:t>
      </w:r>
      <w:r w:rsidR="00045F8A" w:rsidRPr="0001509E">
        <w:rPr>
          <w:lang w:val="fr-FR"/>
        </w:rPr>
        <w:tab/>
        <w:t>Précisions concernant la correction au 8.2.1.3</w:t>
      </w:r>
    </w:p>
    <w:p w:rsidR="00045F8A" w:rsidRPr="0001509E" w:rsidRDefault="00B50CB7" w:rsidP="003F0B4E">
      <w:pPr>
        <w:pStyle w:val="SingleTxtG"/>
        <w:rPr>
          <w:lang w:val="fr-FR"/>
        </w:rPr>
      </w:pPr>
      <w:r>
        <w:rPr>
          <w:lang w:val="fr-FR"/>
        </w:rPr>
        <w:t>18.</w:t>
      </w:r>
      <w:r>
        <w:rPr>
          <w:lang w:val="fr-FR"/>
        </w:rPr>
        <w:tab/>
      </w:r>
      <w:r w:rsidR="00045F8A" w:rsidRPr="0001509E">
        <w:rPr>
          <w:lang w:val="fr-FR"/>
        </w:rPr>
        <w:t>8.1.2.1 f) est libellé comme suit :</w:t>
      </w:r>
    </w:p>
    <w:p w:rsidR="00045F8A" w:rsidRPr="0001509E" w:rsidRDefault="003F0B4E" w:rsidP="003F0B4E">
      <w:pPr>
        <w:pStyle w:val="SingleTxtG"/>
        <w:ind w:left="1701" w:hanging="567"/>
        <w:rPr>
          <w:lang w:val="fr-FR"/>
        </w:rPr>
      </w:pPr>
      <w:r>
        <w:rPr>
          <w:lang w:val="fr-FR"/>
        </w:rPr>
        <w:tab/>
      </w:r>
      <w:r w:rsidR="00045F8A" w:rsidRPr="0001509E">
        <w:rPr>
          <w:lang w:val="fr-FR"/>
        </w:rPr>
        <w:t xml:space="preserve">« f) </w:t>
      </w:r>
      <w:r w:rsidR="006F134C">
        <w:rPr>
          <w:lang w:val="fr-FR"/>
        </w:rPr>
        <w:t>L</w:t>
      </w:r>
      <w:r w:rsidR="00045F8A" w:rsidRPr="0001509E">
        <w:rPr>
          <w:lang w:val="fr-FR"/>
        </w:rPr>
        <w:t>’attestation relative à l’inspection des tuyaux d’extinction d’incendie, prescrite au 8.1.6.1 et l</w:t>
      </w:r>
      <w:r w:rsidR="00B77A3D">
        <w:rPr>
          <w:lang w:val="fr-FR"/>
        </w:rPr>
        <w:t>’</w:t>
      </w:r>
      <w:r w:rsidR="00045F8A" w:rsidRPr="0001509E">
        <w:rPr>
          <w:lang w:val="fr-FR"/>
        </w:rPr>
        <w:t>attestation relative à l’inspection de l’équipement spécial prescrite au 8.1.6.3; ».</w:t>
      </w:r>
    </w:p>
    <w:p w:rsidR="00045F8A" w:rsidRPr="0001509E" w:rsidRDefault="00B50CB7" w:rsidP="005164F9">
      <w:pPr>
        <w:pStyle w:val="SingleTxtG"/>
        <w:keepNext/>
        <w:keepLines/>
        <w:rPr>
          <w:lang w:val="fr-FR"/>
        </w:rPr>
      </w:pPr>
      <w:r>
        <w:rPr>
          <w:lang w:val="fr-FR"/>
        </w:rPr>
        <w:lastRenderedPageBreak/>
        <w:t>19.</w:t>
      </w:r>
      <w:r>
        <w:rPr>
          <w:lang w:val="fr-FR"/>
        </w:rPr>
        <w:tab/>
      </w:r>
      <w:r w:rsidR="00045F8A" w:rsidRPr="0001509E">
        <w:rPr>
          <w:lang w:val="fr-FR"/>
        </w:rPr>
        <w:t>8.1.2.3 f) est libellé comme suit :</w:t>
      </w:r>
    </w:p>
    <w:p w:rsidR="00045F8A" w:rsidRPr="0001509E" w:rsidRDefault="003F0B4E" w:rsidP="005164F9">
      <w:pPr>
        <w:pStyle w:val="SingleTxtG"/>
        <w:keepNext/>
        <w:keepLines/>
        <w:ind w:left="1701" w:hanging="567"/>
        <w:rPr>
          <w:lang w:val="fr-FR"/>
        </w:rPr>
      </w:pPr>
      <w:bookmarkStart w:id="2" w:name="_Hlk6915587"/>
      <w:r>
        <w:rPr>
          <w:lang w:val="fr-FR"/>
        </w:rPr>
        <w:tab/>
      </w:r>
      <w:r w:rsidR="00045F8A" w:rsidRPr="0001509E">
        <w:rPr>
          <w:lang w:val="fr-FR"/>
        </w:rPr>
        <w:t>« Les attestations relatives à l’inspection de l’équipement spécial, des installations de détection de gaz et de l’installation de mesure de l’oxygène prescrites au 8.1.6.3; ».</w:t>
      </w:r>
    </w:p>
    <w:bookmarkEnd w:id="2"/>
    <w:p w:rsidR="00045F8A" w:rsidRPr="0001509E" w:rsidRDefault="00B50CB7" w:rsidP="003F0B4E">
      <w:pPr>
        <w:pStyle w:val="SingleTxtG"/>
        <w:rPr>
          <w:lang w:val="fr-FR"/>
        </w:rPr>
      </w:pPr>
      <w:r>
        <w:rPr>
          <w:lang w:val="fr-FR"/>
        </w:rPr>
        <w:t>20</w:t>
      </w:r>
      <w:r w:rsidR="005164F9">
        <w:rPr>
          <w:lang w:val="fr-FR"/>
        </w:rPr>
        <w:t>.</w:t>
      </w:r>
      <w:r w:rsidR="005164F9">
        <w:rPr>
          <w:lang w:val="fr-FR"/>
        </w:rPr>
        <w:tab/>
      </w:r>
      <w:r w:rsidR="00045F8A" w:rsidRPr="0001509E">
        <w:rPr>
          <w:lang w:val="fr-FR"/>
        </w:rPr>
        <w:t>L</w:t>
      </w:r>
      <w:r w:rsidR="006F134C">
        <w:rPr>
          <w:lang w:val="fr-FR"/>
        </w:rPr>
        <w:t>’</w:t>
      </w:r>
      <w:r w:rsidR="00045F8A" w:rsidRPr="0001509E">
        <w:rPr>
          <w:lang w:val="fr-FR"/>
        </w:rPr>
        <w:t>attestation relative à la vérification de l</w:t>
      </w:r>
      <w:r w:rsidR="006F134C">
        <w:rPr>
          <w:lang w:val="fr-FR"/>
        </w:rPr>
        <w:t>’</w:t>
      </w:r>
      <w:r w:rsidR="00045F8A" w:rsidRPr="0001509E">
        <w:rPr>
          <w:lang w:val="fr-FR"/>
        </w:rPr>
        <w:t>équipement spécial visée au 8.1.6.3 est par conséquent mentionnée à la fois au 8.1.2.1 (pour tous les bateaux) et au 8.1.2.3 (pour les bateaux-citernes). Étant donné que ne devraient être mentionnés au 8.1.2.3 que les documents devant se trouver à bord des bateaux-citernes en plus des documents requis en vertu du 8.1.2.1, il conviendrait d'adapter le 8.1.2.3 f).</w:t>
      </w:r>
    </w:p>
    <w:p w:rsidR="00045F8A" w:rsidRPr="0001509E" w:rsidRDefault="003F0B4E" w:rsidP="004C3669">
      <w:pPr>
        <w:pStyle w:val="HChG"/>
        <w:rPr>
          <w:lang w:val="fr-FR"/>
        </w:rPr>
      </w:pPr>
      <w:r>
        <w:rPr>
          <w:lang w:val="fr-FR"/>
        </w:rPr>
        <w:tab/>
      </w:r>
      <w:r>
        <w:rPr>
          <w:lang w:val="fr-FR"/>
        </w:rPr>
        <w:tab/>
      </w:r>
      <w:r w:rsidR="00045F8A" w:rsidRPr="0001509E">
        <w:rPr>
          <w:lang w:val="fr-FR"/>
        </w:rPr>
        <w:t>Proposition</w:t>
      </w:r>
    </w:p>
    <w:p w:rsidR="00045F8A" w:rsidRPr="0001509E" w:rsidRDefault="00045F8A" w:rsidP="003F0B4E">
      <w:pPr>
        <w:pStyle w:val="SingleTxtG"/>
        <w:rPr>
          <w:lang w:val="fr-FR"/>
        </w:rPr>
      </w:pPr>
      <w:r w:rsidRPr="0001509E">
        <w:rPr>
          <w:lang w:val="fr-FR"/>
        </w:rPr>
        <w:t>Modifier 8.1.2.3 f) pour lire comme suit :</w:t>
      </w:r>
    </w:p>
    <w:p w:rsidR="00045F8A" w:rsidRPr="0001509E" w:rsidRDefault="003F0B4E" w:rsidP="003F0B4E">
      <w:pPr>
        <w:pStyle w:val="SingleTxtG"/>
        <w:ind w:left="1701" w:hanging="567"/>
        <w:rPr>
          <w:lang w:val="fr-FR"/>
        </w:rPr>
      </w:pPr>
      <w:r>
        <w:rPr>
          <w:lang w:val="fr-FR"/>
        </w:rPr>
        <w:tab/>
      </w:r>
      <w:r w:rsidR="00045F8A" w:rsidRPr="0001509E">
        <w:rPr>
          <w:lang w:val="fr-FR"/>
        </w:rPr>
        <w:t>« Les attestations relatives à l’inspection des installations de détection de gaz et de l’installation de mesure de l’oxygène prescrites au 8.1.6.3; ».</w:t>
      </w:r>
    </w:p>
    <w:p w:rsidR="00045F8A" w:rsidRPr="0001509E" w:rsidRDefault="003F0B4E" w:rsidP="004C3669">
      <w:pPr>
        <w:pStyle w:val="HChG"/>
        <w:rPr>
          <w:lang w:val="fr-FR"/>
        </w:rPr>
      </w:pPr>
      <w:r>
        <w:rPr>
          <w:lang w:val="fr-FR"/>
        </w:rPr>
        <w:tab/>
      </w:r>
      <w:r>
        <w:rPr>
          <w:lang w:val="fr-FR"/>
        </w:rPr>
        <w:tab/>
      </w:r>
      <w:r w:rsidR="00045F8A" w:rsidRPr="0001509E">
        <w:rPr>
          <w:lang w:val="fr-FR"/>
        </w:rPr>
        <w:t>Conséquences</w:t>
      </w:r>
    </w:p>
    <w:p w:rsidR="00045F8A" w:rsidRDefault="005164F9" w:rsidP="003F0B4E">
      <w:pPr>
        <w:pStyle w:val="SingleTxtG"/>
        <w:rPr>
          <w:lang w:val="fr-FR"/>
        </w:rPr>
      </w:pPr>
      <w:r>
        <w:rPr>
          <w:lang w:val="fr-FR"/>
        </w:rPr>
        <w:t>2</w:t>
      </w:r>
      <w:r w:rsidR="00B50CB7">
        <w:rPr>
          <w:lang w:val="fr-FR"/>
        </w:rPr>
        <w:t>1</w:t>
      </w:r>
      <w:r>
        <w:rPr>
          <w:lang w:val="fr-FR"/>
        </w:rPr>
        <w:t>.</w:t>
      </w:r>
      <w:r>
        <w:rPr>
          <w:lang w:val="fr-FR"/>
        </w:rPr>
        <w:tab/>
      </w:r>
      <w:r w:rsidR="00045F8A" w:rsidRPr="0001509E">
        <w:rPr>
          <w:lang w:val="fr-FR"/>
        </w:rPr>
        <w:t>L</w:t>
      </w:r>
      <w:r w:rsidR="009C3A8A">
        <w:rPr>
          <w:lang w:val="fr-FR"/>
        </w:rPr>
        <w:t>’</w:t>
      </w:r>
      <w:r w:rsidR="00045F8A" w:rsidRPr="0001509E">
        <w:rPr>
          <w:lang w:val="fr-FR"/>
        </w:rPr>
        <w:t>amendement n</w:t>
      </w:r>
      <w:r w:rsidR="006F134C">
        <w:rPr>
          <w:lang w:val="fr-FR"/>
        </w:rPr>
        <w:t>’</w:t>
      </w:r>
      <w:r w:rsidR="00045F8A" w:rsidRPr="0001509E">
        <w:rPr>
          <w:lang w:val="fr-FR"/>
        </w:rPr>
        <w:t>a pas d</w:t>
      </w:r>
      <w:r w:rsidR="006F134C">
        <w:rPr>
          <w:lang w:val="fr-FR"/>
        </w:rPr>
        <w:t>’</w:t>
      </w:r>
      <w:r w:rsidR="00045F8A" w:rsidRPr="0001509E">
        <w:rPr>
          <w:lang w:val="fr-FR"/>
        </w:rPr>
        <w:t>incidence sur les documents devant se trouver à bord. Il s</w:t>
      </w:r>
      <w:r w:rsidR="006F134C">
        <w:rPr>
          <w:lang w:val="fr-FR"/>
        </w:rPr>
        <w:t>’</w:t>
      </w:r>
      <w:r w:rsidR="00045F8A" w:rsidRPr="0001509E">
        <w:rPr>
          <w:lang w:val="fr-FR"/>
        </w:rPr>
        <w:t>agit seulement de supprimer une redondance.</w:t>
      </w:r>
    </w:p>
    <w:p w:rsidR="003F0B4E" w:rsidRPr="003F0B4E" w:rsidRDefault="003F0B4E" w:rsidP="003F0B4E">
      <w:pPr>
        <w:spacing w:before="240"/>
        <w:jc w:val="center"/>
        <w:rPr>
          <w:u w:val="single"/>
          <w:lang w:val="fr-FR"/>
        </w:rPr>
      </w:pPr>
      <w:r>
        <w:rPr>
          <w:u w:val="single"/>
          <w:lang w:val="fr-FR"/>
        </w:rPr>
        <w:tab/>
      </w:r>
      <w:r>
        <w:rPr>
          <w:u w:val="single"/>
          <w:lang w:val="fr-FR"/>
        </w:rPr>
        <w:tab/>
      </w:r>
      <w:r>
        <w:rPr>
          <w:u w:val="single"/>
          <w:lang w:val="fr-FR"/>
        </w:rPr>
        <w:tab/>
      </w:r>
    </w:p>
    <w:sectPr w:rsidR="003F0B4E" w:rsidRPr="003F0B4E" w:rsidSect="00045F8A">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F8A" w:rsidRDefault="00045F8A" w:rsidP="00F95C08">
      <w:pPr>
        <w:spacing w:line="240" w:lineRule="auto"/>
      </w:pPr>
    </w:p>
  </w:endnote>
  <w:endnote w:type="continuationSeparator" w:id="0">
    <w:p w:rsidR="00045F8A" w:rsidRPr="00AC3823" w:rsidRDefault="00045F8A" w:rsidP="00AC3823">
      <w:pPr>
        <w:pStyle w:val="Footer"/>
      </w:pPr>
    </w:p>
  </w:endnote>
  <w:endnote w:type="continuationNotice" w:id="1">
    <w:p w:rsidR="00045F8A" w:rsidRDefault="00045F8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F8A" w:rsidRPr="00045F8A" w:rsidRDefault="00045F8A" w:rsidP="00045F8A">
    <w:pPr>
      <w:pStyle w:val="Footer"/>
      <w:tabs>
        <w:tab w:val="right" w:pos="9638"/>
      </w:tabs>
      <w:rPr>
        <w:sz w:val="18"/>
      </w:rPr>
    </w:pPr>
    <w:r w:rsidRPr="00045F8A">
      <w:rPr>
        <w:b/>
        <w:sz w:val="18"/>
      </w:rPr>
      <w:fldChar w:fldCharType="begin"/>
    </w:r>
    <w:r w:rsidRPr="00045F8A">
      <w:rPr>
        <w:b/>
        <w:sz w:val="18"/>
      </w:rPr>
      <w:instrText xml:space="preserve"> PAGE  \* MERGEFORMAT </w:instrText>
    </w:r>
    <w:r w:rsidRPr="00045F8A">
      <w:rPr>
        <w:b/>
        <w:sz w:val="18"/>
      </w:rPr>
      <w:fldChar w:fldCharType="separate"/>
    </w:r>
    <w:r w:rsidRPr="00045F8A">
      <w:rPr>
        <w:b/>
        <w:noProof/>
        <w:sz w:val="18"/>
      </w:rPr>
      <w:t>2</w:t>
    </w:r>
    <w:r w:rsidRPr="00045F8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F8A" w:rsidRPr="00045F8A" w:rsidRDefault="00045F8A" w:rsidP="00045F8A">
    <w:pPr>
      <w:pStyle w:val="Footer"/>
      <w:tabs>
        <w:tab w:val="right" w:pos="9638"/>
      </w:tabs>
      <w:rPr>
        <w:b/>
        <w:sz w:val="18"/>
      </w:rPr>
    </w:pPr>
    <w:r>
      <w:tab/>
    </w:r>
    <w:r w:rsidRPr="00045F8A">
      <w:rPr>
        <w:b/>
        <w:sz w:val="18"/>
      </w:rPr>
      <w:fldChar w:fldCharType="begin"/>
    </w:r>
    <w:r w:rsidRPr="00045F8A">
      <w:rPr>
        <w:b/>
        <w:sz w:val="18"/>
      </w:rPr>
      <w:instrText xml:space="preserve"> PAGE  \* MERGEFORMAT </w:instrText>
    </w:r>
    <w:r w:rsidRPr="00045F8A">
      <w:rPr>
        <w:b/>
        <w:sz w:val="18"/>
      </w:rPr>
      <w:fldChar w:fldCharType="separate"/>
    </w:r>
    <w:r w:rsidRPr="00045F8A">
      <w:rPr>
        <w:b/>
        <w:noProof/>
        <w:sz w:val="18"/>
      </w:rPr>
      <w:t>3</w:t>
    </w:r>
    <w:r w:rsidRPr="00045F8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EE9" w:rsidRPr="00045F8A" w:rsidRDefault="000D3EE9" w:rsidP="0001207F">
    <w:pPr>
      <w:pStyle w:val="Footer"/>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F8A" w:rsidRPr="00AC3823" w:rsidRDefault="00045F8A" w:rsidP="00AC3823">
      <w:pPr>
        <w:pStyle w:val="Footer"/>
        <w:tabs>
          <w:tab w:val="right" w:pos="2155"/>
        </w:tabs>
        <w:spacing w:after="80" w:line="240" w:lineRule="atLeast"/>
        <w:ind w:left="680"/>
        <w:rPr>
          <w:u w:val="single"/>
        </w:rPr>
      </w:pPr>
      <w:r>
        <w:rPr>
          <w:u w:val="single"/>
        </w:rPr>
        <w:tab/>
      </w:r>
    </w:p>
  </w:footnote>
  <w:footnote w:type="continuationSeparator" w:id="0">
    <w:p w:rsidR="00045F8A" w:rsidRPr="00AC3823" w:rsidRDefault="00045F8A" w:rsidP="00AC3823">
      <w:pPr>
        <w:pStyle w:val="Footer"/>
        <w:tabs>
          <w:tab w:val="right" w:pos="2155"/>
        </w:tabs>
        <w:spacing w:after="80" w:line="240" w:lineRule="atLeast"/>
        <w:ind w:left="680"/>
        <w:rPr>
          <w:u w:val="single"/>
        </w:rPr>
      </w:pPr>
      <w:r>
        <w:rPr>
          <w:u w:val="single"/>
        </w:rPr>
        <w:tab/>
      </w:r>
    </w:p>
  </w:footnote>
  <w:footnote w:type="continuationNotice" w:id="1">
    <w:p w:rsidR="00045F8A" w:rsidRPr="00AC3823" w:rsidRDefault="00045F8A">
      <w:pPr>
        <w:spacing w:line="240" w:lineRule="auto"/>
        <w:rPr>
          <w:sz w:val="2"/>
          <w:szCs w:val="2"/>
        </w:rPr>
      </w:pPr>
    </w:p>
  </w:footnote>
  <w:footnote w:id="2">
    <w:p w:rsidR="00A900C6" w:rsidRPr="00B50CB7" w:rsidRDefault="00A900C6">
      <w:pPr>
        <w:pStyle w:val="FootnoteText"/>
        <w:rPr>
          <w:szCs w:val="18"/>
        </w:rPr>
      </w:pPr>
      <w:r w:rsidRPr="00A900C6">
        <w:rPr>
          <w:rStyle w:val="FootnoteReference"/>
          <w:szCs w:val="18"/>
        </w:rPr>
        <w:tab/>
      </w:r>
      <w:r w:rsidRPr="00A900C6">
        <w:rPr>
          <w:rStyle w:val="FootnoteReference"/>
          <w:sz w:val="20"/>
          <w:vertAlign w:val="baseline"/>
        </w:rPr>
        <w:t>*</w:t>
      </w:r>
      <w:r>
        <w:rPr>
          <w:rStyle w:val="FootnoteReference"/>
          <w:sz w:val="20"/>
          <w:vertAlign w:val="baseline"/>
        </w:rPr>
        <w:tab/>
      </w:r>
      <w:r w:rsidRPr="00B50CB7">
        <w:rPr>
          <w:szCs w:val="18"/>
        </w:rPr>
        <w:t>Diffusé en langue allemande par la Commission centrale pour la navigation du Rhin sous la cote CCNR/ZKR/ADN/WP.15/AC.2/2019/</w:t>
      </w:r>
      <w:r w:rsidR="00A11CD7">
        <w:rPr>
          <w:szCs w:val="18"/>
        </w:rPr>
        <w:t>18</w:t>
      </w:r>
      <w:r w:rsidRPr="00B50CB7">
        <w:rPr>
          <w:szCs w:val="18"/>
        </w:rPr>
        <w:t>.</w:t>
      </w:r>
    </w:p>
  </w:footnote>
  <w:footnote w:id="3">
    <w:p w:rsidR="00045F8A" w:rsidRPr="00B50CB7" w:rsidRDefault="00A900C6" w:rsidP="00A900C6">
      <w:pPr>
        <w:pStyle w:val="FootnoteText"/>
        <w:rPr>
          <w:szCs w:val="18"/>
          <w:lang w:val="fr-FR"/>
        </w:rPr>
      </w:pPr>
      <w:r>
        <w:rPr>
          <w:sz w:val="20"/>
          <w:lang w:val="fr-FR"/>
        </w:rPr>
        <w:tab/>
      </w:r>
      <w:r w:rsidRPr="00A900C6">
        <w:rPr>
          <w:rStyle w:val="FootnoteReference"/>
          <w:sz w:val="20"/>
          <w:vertAlign w:val="baseline"/>
          <w:lang w:val="fr-FR"/>
        </w:rPr>
        <w:t>**</w:t>
      </w:r>
      <w:r w:rsidR="00045F8A" w:rsidRPr="00A900C6">
        <w:rPr>
          <w:szCs w:val="18"/>
          <w:lang w:val="fr-FR"/>
        </w:rPr>
        <w:tab/>
      </w:r>
      <w:r w:rsidR="00045F8A" w:rsidRPr="00B50CB7">
        <w:rPr>
          <w:szCs w:val="18"/>
          <w:lang w:val="fr-FR"/>
        </w:rPr>
        <w:t xml:space="preserve">Conformément au programme de travail du Comité des transports intérieurs pour 2018-2019 </w:t>
      </w:r>
      <w:r w:rsidRPr="00B50CB7">
        <w:rPr>
          <w:szCs w:val="18"/>
          <w:lang w:val="fr-FR"/>
        </w:rPr>
        <w:tab/>
      </w:r>
      <w:r w:rsidR="00045F8A" w:rsidRPr="00B50CB7">
        <w:rPr>
          <w:szCs w:val="18"/>
          <w:lang w:val="fr-FR"/>
        </w:rPr>
        <w:t>(ECE/TRANS/2018/21/Add.1, (9.3))</w:t>
      </w:r>
      <w:r w:rsidRPr="00B50CB7">
        <w:rPr>
          <w:szCs w:val="18"/>
          <w:lang w:val="fr-FR"/>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F8A" w:rsidRPr="00045F8A" w:rsidRDefault="00F9419B">
    <w:pPr>
      <w:pStyle w:val="Header"/>
    </w:pPr>
    <w:r>
      <w:t>ECE/TRANS/WP.15/AC.2/2019/</w:t>
    </w:r>
    <w:r w:rsidR="00A11CD7">
      <w:t>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F8A" w:rsidRPr="00045F8A" w:rsidRDefault="00F9419B" w:rsidP="00045F8A">
    <w:pPr>
      <w:pStyle w:val="Header"/>
      <w:jc w:val="right"/>
    </w:pPr>
    <w:r>
      <w:t>ECE/TRANS/WP.15/AC.2/2019/</w:t>
    </w:r>
    <w:r w:rsidR="00A11CD7">
      <w:t>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9BE28AD"/>
    <w:multiLevelType w:val="hybridMultilevel"/>
    <w:tmpl w:val="7D5235E0"/>
    <w:lvl w:ilvl="0" w:tplc="A698846A">
      <w:start w:val="1"/>
      <w:numFmt w:val="upp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567"/>
  <w:hyphenationZone w:val="425"/>
  <w:evenAndOddHeaders/>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F8A"/>
    <w:rsid w:val="0001207F"/>
    <w:rsid w:val="00017F94"/>
    <w:rsid w:val="00021438"/>
    <w:rsid w:val="00023842"/>
    <w:rsid w:val="000334F9"/>
    <w:rsid w:val="0003781F"/>
    <w:rsid w:val="00045F8A"/>
    <w:rsid w:val="0007796D"/>
    <w:rsid w:val="000942EE"/>
    <w:rsid w:val="000A52BF"/>
    <w:rsid w:val="000B7790"/>
    <w:rsid w:val="000D3EE9"/>
    <w:rsid w:val="000D62F3"/>
    <w:rsid w:val="00111F2F"/>
    <w:rsid w:val="001433FD"/>
    <w:rsid w:val="0014365E"/>
    <w:rsid w:val="001541D3"/>
    <w:rsid w:val="00176178"/>
    <w:rsid w:val="001A064B"/>
    <w:rsid w:val="001D400F"/>
    <w:rsid w:val="001D5DD4"/>
    <w:rsid w:val="001F525A"/>
    <w:rsid w:val="00203261"/>
    <w:rsid w:val="00223272"/>
    <w:rsid w:val="00240333"/>
    <w:rsid w:val="0024779E"/>
    <w:rsid w:val="002832AC"/>
    <w:rsid w:val="002834A0"/>
    <w:rsid w:val="002D7C93"/>
    <w:rsid w:val="00343829"/>
    <w:rsid w:val="0037241C"/>
    <w:rsid w:val="0039205E"/>
    <w:rsid w:val="003F0B4E"/>
    <w:rsid w:val="00441C3B"/>
    <w:rsid w:val="00446B0A"/>
    <w:rsid w:val="00446FE5"/>
    <w:rsid w:val="00452396"/>
    <w:rsid w:val="00476B59"/>
    <w:rsid w:val="004962CB"/>
    <w:rsid w:val="004C3669"/>
    <w:rsid w:val="004E468C"/>
    <w:rsid w:val="004F2920"/>
    <w:rsid w:val="005164F9"/>
    <w:rsid w:val="005316B0"/>
    <w:rsid w:val="005505B7"/>
    <w:rsid w:val="00564657"/>
    <w:rsid w:val="0057211E"/>
    <w:rsid w:val="00573BE5"/>
    <w:rsid w:val="00586ED3"/>
    <w:rsid w:val="00596AA9"/>
    <w:rsid w:val="006E2F73"/>
    <w:rsid w:val="006F134C"/>
    <w:rsid w:val="00703D0F"/>
    <w:rsid w:val="00706363"/>
    <w:rsid w:val="0071601D"/>
    <w:rsid w:val="007A62E6"/>
    <w:rsid w:val="0080684C"/>
    <w:rsid w:val="008204DA"/>
    <w:rsid w:val="0083123A"/>
    <w:rsid w:val="00871C75"/>
    <w:rsid w:val="008767E8"/>
    <w:rsid w:val="008776DC"/>
    <w:rsid w:val="008D2A1F"/>
    <w:rsid w:val="00915979"/>
    <w:rsid w:val="009567A2"/>
    <w:rsid w:val="009705C8"/>
    <w:rsid w:val="009C1CF4"/>
    <w:rsid w:val="009C3A8A"/>
    <w:rsid w:val="009F02C9"/>
    <w:rsid w:val="00A11CD7"/>
    <w:rsid w:val="00A30353"/>
    <w:rsid w:val="00A62D91"/>
    <w:rsid w:val="00A900C6"/>
    <w:rsid w:val="00A90D54"/>
    <w:rsid w:val="00AA113A"/>
    <w:rsid w:val="00AC3823"/>
    <w:rsid w:val="00AE29B5"/>
    <w:rsid w:val="00AE323C"/>
    <w:rsid w:val="00B00181"/>
    <w:rsid w:val="00B00B0D"/>
    <w:rsid w:val="00B07F65"/>
    <w:rsid w:val="00B30069"/>
    <w:rsid w:val="00B50CB7"/>
    <w:rsid w:val="00B50E25"/>
    <w:rsid w:val="00B64918"/>
    <w:rsid w:val="00B765F7"/>
    <w:rsid w:val="00B77A3D"/>
    <w:rsid w:val="00BA0CA9"/>
    <w:rsid w:val="00C02897"/>
    <w:rsid w:val="00C7616F"/>
    <w:rsid w:val="00CB16B5"/>
    <w:rsid w:val="00CE0608"/>
    <w:rsid w:val="00D3439C"/>
    <w:rsid w:val="00D44CF3"/>
    <w:rsid w:val="00D70306"/>
    <w:rsid w:val="00DA6C5E"/>
    <w:rsid w:val="00DB1831"/>
    <w:rsid w:val="00DD3BFD"/>
    <w:rsid w:val="00DD66FA"/>
    <w:rsid w:val="00DF10EB"/>
    <w:rsid w:val="00DF431C"/>
    <w:rsid w:val="00DF6678"/>
    <w:rsid w:val="00E939CE"/>
    <w:rsid w:val="00EF2E22"/>
    <w:rsid w:val="00F0592C"/>
    <w:rsid w:val="00F43289"/>
    <w:rsid w:val="00F660DF"/>
    <w:rsid w:val="00F9419B"/>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533DEF"/>
  <w15:docId w15:val="{FEB6CC13-C8D0-4D6D-9E6E-0FE46D79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rPr>
      <w:rFonts w:ascii="Times New Roman" w:hAnsi="Times New Roman" w:cs="Times New Roman"/>
      <w:sz w:val="20"/>
      <w:szCs w:val="20"/>
      <w:lang w:eastAsia="en-US"/>
    </w:rPr>
  </w:style>
  <w:style w:type="character" w:customStyle="1" w:styleId="HChGChar">
    <w:name w:val="_ H _Ch_G Char"/>
    <w:link w:val="HChG"/>
    <w:rsid w:val="0001207F"/>
    <w:rPr>
      <w:rFonts w:ascii="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ECE\ECE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B570D-19C3-4061-9236-EB930816E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ECE_F.dotm</Template>
  <TotalTime>0</TotalTime>
  <Pages>4</Pages>
  <Words>1279</Words>
  <Characters>7292</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ECE/TRANS/WP.15/AC.2/2019/BBf</vt:lpstr>
      <vt:lpstr/>
    </vt:vector>
  </TitlesOfParts>
  <Company>DCM</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ECE/TRANS/WP.15/AC.2/2019/BBf</dc:title>
  <dc:subject>FINAL</dc:subject>
  <dc:creator>Marie-Claude Collet</dc:creator>
  <cp:keywords/>
  <dc:description/>
  <cp:lastModifiedBy>Marie-Claude Collet</cp:lastModifiedBy>
  <cp:revision>2</cp:revision>
  <cp:lastPrinted>2019-06-06T10:43:00Z</cp:lastPrinted>
  <dcterms:created xsi:type="dcterms:W3CDTF">2019-06-06T12:13:00Z</dcterms:created>
  <dcterms:modified xsi:type="dcterms:W3CDTF">2019-06-06T12:13:00Z</dcterms:modified>
</cp:coreProperties>
</file>