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7" w:rsidRPr="00DD51EA"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7E310E">
        <w:rPr>
          <w:rFonts w:ascii="Arial" w:eastAsia="Arial" w:hAnsi="Arial" w:cs="Arial"/>
          <w:bCs/>
          <w:noProof/>
          <w:szCs w:val="24"/>
          <w:lang w:val="fr-FR"/>
        </w:rPr>
        <w:drawing>
          <wp:anchor distT="0" distB="0" distL="114300" distR="114300" simplePos="0" relativeHeight="251659264" behindDoc="0" locked="0" layoutInCell="1" allowOverlap="1" wp14:anchorId="42D52033" wp14:editId="05412F1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D51EA">
        <w:rPr>
          <w:rFonts w:ascii="Arial" w:eastAsia="Arial" w:hAnsi="Arial" w:cs="Arial"/>
          <w:bCs/>
          <w:szCs w:val="24"/>
          <w:lang w:eastAsia="de-DE"/>
        </w:rPr>
        <w:t>CCNR-ZKR/ADN/WP.15/AC.2/201</w:t>
      </w:r>
      <w:r w:rsidR="00DD51EA" w:rsidRPr="00DD51EA">
        <w:rPr>
          <w:rFonts w:ascii="Arial" w:eastAsia="Arial" w:hAnsi="Arial" w:cs="Arial"/>
          <w:bCs/>
          <w:szCs w:val="24"/>
          <w:lang w:eastAsia="de-DE"/>
        </w:rPr>
        <w:t>9</w:t>
      </w:r>
      <w:r w:rsidRPr="00DD51EA">
        <w:rPr>
          <w:rFonts w:ascii="Arial" w:eastAsia="Arial" w:hAnsi="Arial" w:cs="Arial"/>
          <w:bCs/>
          <w:szCs w:val="24"/>
          <w:lang w:eastAsia="de-DE"/>
        </w:rPr>
        <w:t>/</w:t>
      </w:r>
      <w:r w:rsidR="00527E86">
        <w:rPr>
          <w:rFonts w:ascii="Arial" w:eastAsia="Arial" w:hAnsi="Arial" w:cs="Arial"/>
          <w:bCs/>
          <w:szCs w:val="24"/>
          <w:lang w:eastAsia="de-DE"/>
        </w:rPr>
        <w:t>32</w:t>
      </w:r>
    </w:p>
    <w:p w:rsidR="009D26E7" w:rsidRPr="007E310E"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E310E">
        <w:rPr>
          <w:rFonts w:ascii="Arial" w:hAnsi="Arial" w:cs="Arial"/>
          <w:sz w:val="16"/>
          <w:szCs w:val="24"/>
          <w:lang w:eastAsia="de-DE"/>
        </w:rPr>
        <w:t>Allgemeine Verteilung</w:t>
      </w:r>
    </w:p>
    <w:p w:rsidR="009D26E7" w:rsidRPr="007E310E" w:rsidRDefault="00527E86"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12</w:t>
      </w:r>
      <w:r w:rsidR="009D26E7" w:rsidRPr="007E310E">
        <w:rPr>
          <w:rFonts w:ascii="Arial" w:eastAsia="Arial" w:hAnsi="Arial" w:cs="Arial"/>
          <w:szCs w:val="24"/>
          <w:lang w:eastAsia="de-DE"/>
        </w:rPr>
        <w:t xml:space="preserve">. </w:t>
      </w:r>
      <w:r w:rsidR="007E310E" w:rsidRPr="007E310E">
        <w:rPr>
          <w:rFonts w:ascii="Arial" w:eastAsia="Arial" w:hAnsi="Arial" w:cs="Arial"/>
          <w:szCs w:val="24"/>
          <w:lang w:eastAsia="de-DE"/>
        </w:rPr>
        <w:t>Juni</w:t>
      </w:r>
      <w:r w:rsidR="009D26E7" w:rsidRPr="007E310E">
        <w:rPr>
          <w:rFonts w:ascii="Arial" w:eastAsia="Arial" w:hAnsi="Arial" w:cs="Arial"/>
          <w:szCs w:val="24"/>
          <w:lang w:eastAsia="de-DE"/>
        </w:rPr>
        <w:t xml:space="preserve"> 201</w:t>
      </w:r>
      <w:r w:rsidR="00DD51EA">
        <w:rPr>
          <w:rFonts w:ascii="Arial" w:eastAsia="Arial" w:hAnsi="Arial" w:cs="Arial"/>
          <w:szCs w:val="24"/>
          <w:lang w:eastAsia="de-DE"/>
        </w:rPr>
        <w:t>9</w:t>
      </w:r>
    </w:p>
    <w:p w:rsidR="009D26E7" w:rsidRPr="007E310E"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7E310E">
        <w:rPr>
          <w:rFonts w:ascii="Arial" w:eastAsia="Arial" w:hAnsi="Arial" w:cs="Arial"/>
          <w:sz w:val="16"/>
          <w:szCs w:val="24"/>
          <w:lang w:eastAsia="de-DE"/>
        </w:rPr>
        <w:t>Or</w:t>
      </w:r>
      <w:proofErr w:type="spellEnd"/>
      <w:r w:rsidRPr="007E310E">
        <w:rPr>
          <w:rFonts w:ascii="Arial" w:eastAsia="Arial" w:hAnsi="Arial" w:cs="Arial"/>
          <w:sz w:val="16"/>
          <w:szCs w:val="24"/>
          <w:lang w:eastAsia="de-DE"/>
        </w:rPr>
        <w:t xml:space="preserve">. </w:t>
      </w:r>
      <w:r w:rsidR="00DD51EA">
        <w:rPr>
          <w:rFonts w:ascii="Arial" w:eastAsia="Arial" w:hAnsi="Arial" w:cs="Arial"/>
          <w:sz w:val="16"/>
          <w:szCs w:val="24"/>
          <w:lang w:eastAsia="de-DE"/>
        </w:rPr>
        <w:t>German</w:t>
      </w: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8C68B2" w:rsidRPr="00A73BF7" w:rsidRDefault="008C68B2" w:rsidP="008C68B2">
      <w:pPr>
        <w:widowControl/>
        <w:tabs>
          <w:tab w:val="left" w:pos="2977"/>
        </w:tabs>
        <w:overflowPunct/>
        <w:autoSpaceDE/>
        <w:autoSpaceDN/>
        <w:adjustRightInd/>
        <w:ind w:left="3960" w:firstLine="0"/>
        <w:textAlignment w:val="auto"/>
        <w:rPr>
          <w:rFonts w:ascii="Arial" w:hAnsi="Arial"/>
          <w:noProof/>
          <w:snapToGrid w:val="0"/>
          <w:sz w:val="16"/>
          <w:szCs w:val="24"/>
        </w:rPr>
      </w:pPr>
      <w:r w:rsidRPr="00A73BF7">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rsidR="009D26E7" w:rsidRPr="007E310E" w:rsidRDefault="00DD51EA" w:rsidP="009D26E7">
      <w:pPr>
        <w:widowControl/>
        <w:tabs>
          <w:tab w:val="left" w:pos="2977"/>
        </w:tabs>
        <w:overflowPunct/>
        <w:autoSpaceDE/>
        <w:autoSpaceDN/>
        <w:adjustRightInd/>
        <w:snapToGrid w:val="0"/>
        <w:ind w:left="3960" w:firstLine="0"/>
        <w:jc w:val="left"/>
        <w:textAlignment w:val="auto"/>
        <w:rPr>
          <w:rFonts w:ascii="Arial" w:hAnsi="Arial"/>
          <w:sz w:val="16"/>
          <w:szCs w:val="24"/>
        </w:rPr>
      </w:pPr>
      <w:r w:rsidRPr="00DD51EA">
        <w:rPr>
          <w:rFonts w:ascii="Arial" w:hAnsi="Arial"/>
          <w:sz w:val="16"/>
          <w:szCs w:val="24"/>
        </w:rPr>
        <w:t>(35. Tagung, Genf, 26. bis 30. August 2019)</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E310E">
        <w:rPr>
          <w:rFonts w:ascii="Arial" w:hAnsi="Arial" w:cs="Arial"/>
          <w:sz w:val="16"/>
          <w:szCs w:val="16"/>
          <w:lang w:eastAsia="en-US"/>
        </w:rPr>
        <w:t xml:space="preserve">Punkt </w:t>
      </w:r>
      <w:r w:rsidR="00231A2D">
        <w:rPr>
          <w:rFonts w:ascii="Arial" w:hAnsi="Arial" w:cs="Arial"/>
          <w:sz w:val="16"/>
          <w:szCs w:val="16"/>
          <w:lang w:eastAsia="en-US"/>
        </w:rPr>
        <w:t>4 b)</w:t>
      </w:r>
      <w:r w:rsidRPr="007E310E">
        <w:rPr>
          <w:rFonts w:ascii="Arial" w:hAnsi="Arial" w:cs="Arial"/>
          <w:sz w:val="16"/>
          <w:szCs w:val="16"/>
          <w:lang w:eastAsia="en-US"/>
        </w:rPr>
        <w:t xml:space="preserve"> zur vorläufigen Tagesordnung</w:t>
      </w:r>
    </w:p>
    <w:p w:rsidR="009D26E7" w:rsidRPr="007E310E" w:rsidRDefault="009D26E7" w:rsidP="004E74C0">
      <w:pPr>
        <w:ind w:left="3960" w:firstLine="9"/>
        <w:rPr>
          <w:rFonts w:ascii="Arial" w:hAnsi="Arial" w:cs="Arial"/>
          <w:b/>
          <w:sz w:val="16"/>
          <w:szCs w:val="16"/>
          <w:lang w:eastAsia="en-US"/>
        </w:rPr>
      </w:pPr>
      <w:r w:rsidRPr="007E310E">
        <w:rPr>
          <w:rFonts w:ascii="Arial" w:hAnsi="Arial" w:cs="Arial"/>
          <w:b/>
          <w:sz w:val="16"/>
          <w:szCs w:val="16"/>
          <w:lang w:eastAsia="en-US"/>
        </w:rPr>
        <w:t>Vorschläge für Änderungen der dem ADN beigefügten Verordnung</w:t>
      </w:r>
      <w:r w:rsidR="00231A2D">
        <w:rPr>
          <w:rFonts w:ascii="Arial" w:hAnsi="Arial" w:cs="Arial"/>
          <w:b/>
          <w:sz w:val="16"/>
          <w:szCs w:val="16"/>
          <w:lang w:eastAsia="en-US"/>
        </w:rPr>
        <w:t xml:space="preserve">: </w:t>
      </w:r>
      <w:r w:rsidR="00231A2D" w:rsidRPr="004B1815">
        <w:rPr>
          <w:rFonts w:ascii="Arial" w:hAnsi="Arial" w:cs="Arial"/>
          <w:b/>
          <w:sz w:val="16"/>
          <w:szCs w:val="16"/>
          <w:lang w:eastAsia="en-US"/>
        </w:rPr>
        <w:t>Weitere Vorschläge</w:t>
      </w:r>
    </w:p>
    <w:p w:rsidR="00771690" w:rsidRDefault="00771690"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rsidR="0031574B" w:rsidRDefault="0031574B"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rsidR="0031574B" w:rsidRPr="000B7D4A" w:rsidRDefault="0031574B"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rsidR="00771690" w:rsidRPr="00F0016D" w:rsidRDefault="00F0016D" w:rsidP="00771690">
      <w:pPr>
        <w:widowControl/>
        <w:suppressAutoHyphens/>
        <w:overflowPunct/>
        <w:autoSpaceDE/>
        <w:autoSpaceDN/>
        <w:adjustRightInd/>
        <w:snapToGrid w:val="0"/>
        <w:spacing w:line="240" w:lineRule="atLeast"/>
        <w:ind w:firstLine="0"/>
        <w:jc w:val="left"/>
        <w:textAlignment w:val="auto"/>
        <w:rPr>
          <w:b/>
          <w:noProof/>
          <w:sz w:val="28"/>
          <w:szCs w:val="28"/>
        </w:rPr>
      </w:pPr>
      <w:r w:rsidRPr="00F0016D">
        <w:rPr>
          <w:b/>
          <w:noProof/>
          <w:snapToGrid w:val="0"/>
          <w:sz w:val="28"/>
          <w:szCs w:val="28"/>
        </w:rPr>
        <w:t>Änderung von 7.1.4.1 Begrenzung der beförderten Mengen</w:t>
      </w:r>
    </w:p>
    <w:p w:rsidR="00771690" w:rsidRPr="00962008" w:rsidRDefault="00771690" w:rsidP="00771690">
      <w:pPr>
        <w:keepNext/>
        <w:keepLines/>
        <w:widowControl/>
        <w:suppressAutoHyphens/>
        <w:overflowPunct/>
        <w:autoSpaceDE/>
        <w:autoSpaceDN/>
        <w:adjustRightInd/>
        <w:spacing w:before="360" w:after="240" w:line="270" w:lineRule="exact"/>
        <w:ind w:right="1134" w:firstLine="0"/>
        <w:jc w:val="left"/>
        <w:textAlignment w:val="auto"/>
        <w:rPr>
          <w:b/>
          <w:bCs/>
          <w:vertAlign w:val="superscript"/>
          <w:lang w:eastAsia="en-US"/>
        </w:rPr>
      </w:pPr>
      <w:r>
        <w:rPr>
          <w:b/>
          <w:sz w:val="24"/>
          <w:lang w:eastAsia="en-US"/>
        </w:rPr>
        <w:t>Gemeinsam e</w:t>
      </w:r>
      <w:r w:rsidRPr="004412EC">
        <w:rPr>
          <w:b/>
          <w:spacing w:val="-4"/>
          <w:sz w:val="24"/>
          <w:lang w:eastAsia="en-US"/>
        </w:rPr>
        <w:t>ingereicht von der Europäischen Binnenschifffahrts-Union (EBU) und der Europäischen Schifferorganisation (ESO)</w:t>
      </w:r>
      <w:proofErr w:type="gramStart"/>
      <w:r w:rsidRPr="004412EC">
        <w:rPr>
          <w:bCs/>
          <w:vertAlign w:val="superscript"/>
          <w:lang w:eastAsia="en-US"/>
        </w:rPr>
        <w:footnoteReference w:customMarkFollows="1" w:id="1"/>
        <w:t>*,</w:t>
      </w:r>
      <w:r w:rsidRPr="004412EC">
        <w:rPr>
          <w:bCs/>
          <w:vertAlign w:val="superscript"/>
          <w:lang w:eastAsia="en-US"/>
        </w:rPr>
        <w:footnoteReference w:customMarkFollows="1" w:id="2"/>
        <w:t>*</w:t>
      </w:r>
      <w:proofErr w:type="gramEnd"/>
      <w:r w:rsidRPr="004412EC">
        <w:rPr>
          <w:bCs/>
          <w:vertAlign w:val="superscript"/>
          <w:lang w:eastAsia="en-US"/>
        </w:rPr>
        <w:t>*</w:t>
      </w:r>
    </w:p>
    <w:p w:rsidR="00F0016D" w:rsidRDefault="00F0016D" w:rsidP="0031574B">
      <w:pPr>
        <w:widowControl/>
        <w:overflowPunct/>
        <w:autoSpaceDE/>
        <w:autoSpaceDN/>
        <w:adjustRightInd/>
        <w:snapToGrid w:val="0"/>
        <w:ind w:left="0" w:right="565" w:firstLine="0"/>
        <w:jc w:val="left"/>
        <w:textAlignment w:val="auto"/>
        <w:rPr>
          <w:rFonts w:ascii="Arial" w:hAnsi="Arial"/>
          <w:b/>
          <w:szCs w:val="24"/>
        </w:rPr>
      </w:pPr>
    </w:p>
    <w:p w:rsidR="0031574B" w:rsidRPr="00F0016D" w:rsidRDefault="0031574B" w:rsidP="0031574B">
      <w:pPr>
        <w:widowControl/>
        <w:overflowPunct/>
        <w:autoSpaceDE/>
        <w:autoSpaceDN/>
        <w:adjustRightInd/>
        <w:snapToGrid w:val="0"/>
        <w:ind w:left="0" w:right="565" w:firstLine="0"/>
        <w:jc w:val="left"/>
        <w:textAlignment w:val="auto"/>
        <w:rPr>
          <w:rFonts w:ascii="Arial" w:hAnsi="Arial"/>
          <w:b/>
          <w:szCs w:val="24"/>
        </w:rPr>
      </w:pPr>
    </w:p>
    <w:p w:rsidR="00F0016D" w:rsidRPr="00226734" w:rsidRDefault="00F0016D" w:rsidP="0031574B">
      <w:pPr>
        <w:widowControl/>
        <w:suppressAutoHyphens/>
        <w:overflowPunct/>
        <w:autoSpaceDE/>
        <w:autoSpaceDN/>
        <w:adjustRightInd/>
        <w:spacing w:line="240" w:lineRule="atLeast"/>
        <w:ind w:left="0" w:right="565" w:firstLine="0"/>
        <w:textAlignment w:val="auto"/>
        <w:rPr>
          <w:b/>
          <w:sz w:val="28"/>
          <w:szCs w:val="28"/>
          <w:lang w:eastAsia="en-US"/>
        </w:rPr>
      </w:pPr>
      <w:r w:rsidRPr="00226734">
        <w:rPr>
          <w:b/>
          <w:sz w:val="28"/>
          <w:szCs w:val="28"/>
          <w:lang w:eastAsia="en-US"/>
        </w:rPr>
        <w:t>Einleitung</w:t>
      </w:r>
    </w:p>
    <w:p w:rsidR="00F0016D" w:rsidRPr="00F0016D" w:rsidRDefault="00F0016D" w:rsidP="0031574B">
      <w:pPr>
        <w:widowControl/>
        <w:suppressAutoHyphens/>
        <w:overflowPunct/>
        <w:autoSpaceDE/>
        <w:autoSpaceDN/>
        <w:adjustRightInd/>
        <w:ind w:left="0" w:right="565" w:firstLine="0"/>
        <w:textAlignment w:val="auto"/>
        <w:rPr>
          <w:u w:val="single"/>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1.</w:t>
      </w:r>
      <w:r w:rsidRPr="00F0016D">
        <w:rPr>
          <w:lang w:eastAsia="en-US"/>
        </w:rPr>
        <w:tab/>
        <w:t>Die Vertreter des Binnenschifffahrtsgewerbes haben dieses Thema zuletzt bei der 33. Sitzung des ADN Sicherheitsaussch</w:t>
      </w:r>
      <w:r w:rsidR="004855AB">
        <w:rPr>
          <w:lang w:eastAsia="en-US"/>
        </w:rPr>
        <w:t>u</w:t>
      </w:r>
      <w:r w:rsidRPr="00F0016D">
        <w:rPr>
          <w:lang w:eastAsia="en-US"/>
        </w:rPr>
        <w:t>sses vorgelegt und erläutert. Vereinbart wurde, den Vorschlag in einer Korresponde</w:t>
      </w:r>
      <w:r w:rsidR="008937CE">
        <w:rPr>
          <w:lang w:eastAsia="en-US"/>
        </w:rPr>
        <w:t>n</w:t>
      </w:r>
      <w:r w:rsidRPr="00F0016D">
        <w:rPr>
          <w:lang w:eastAsia="en-US"/>
        </w:rPr>
        <w:t>zarbeitsgruppe zu behandeln.</w:t>
      </w: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2.</w:t>
      </w:r>
      <w:r w:rsidRPr="00F0016D">
        <w:rPr>
          <w:lang w:eastAsia="en-US"/>
        </w:rPr>
        <w:tab/>
        <w:t>Eine Korrespondenzgruppe wurde nicht gebildet</w:t>
      </w:r>
      <w:r w:rsidR="005379D0">
        <w:rPr>
          <w:lang w:eastAsia="en-US"/>
        </w:rPr>
        <w:t>.</w:t>
      </w:r>
      <w:r w:rsidRPr="00F0016D">
        <w:rPr>
          <w:lang w:eastAsia="en-US"/>
        </w:rPr>
        <w:t xml:space="preserve"> Es wurde aber bilateral kommuniziert, um in Einzelfällen Klarheit über bestimmte Sachverhalte zu gewinnen. Die Ergebnisse wurden in den nunmehr vorliegenden Antrag eingearbeitet.</w:t>
      </w: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3.</w:t>
      </w:r>
      <w:r w:rsidRPr="00F0016D">
        <w:rPr>
          <w:lang w:eastAsia="en-US"/>
        </w:rPr>
        <w:tab/>
        <w:t>Einziges Ziel dieses Antrags ist es, durch eine geänderte Darstellung von 7.1.4.1 mehr Klarheit und Transparenz zu schaffen. Dies ist insbesondere nötig, um den Anwendern, die nicht regelmäßig mit dem ADN zu tun haben, den Zugang zu diesem Thema zu erleichtern.</w:t>
      </w:r>
    </w:p>
    <w:p w:rsidR="008C68B2" w:rsidRDefault="008C68B2" w:rsidP="0031574B">
      <w:pPr>
        <w:widowControl/>
        <w:overflowPunct/>
        <w:autoSpaceDE/>
        <w:autoSpaceDN/>
        <w:adjustRightInd/>
        <w:ind w:left="0" w:right="565" w:firstLine="0"/>
        <w:jc w:val="left"/>
        <w:textAlignment w:val="auto"/>
        <w:rPr>
          <w:b/>
          <w:sz w:val="24"/>
          <w:szCs w:val="24"/>
          <w:lang w:eastAsia="en-US"/>
        </w:rPr>
      </w:pPr>
      <w:r>
        <w:rPr>
          <w:b/>
          <w:sz w:val="24"/>
          <w:szCs w:val="24"/>
          <w:lang w:eastAsia="en-US"/>
        </w:rPr>
        <w:br w:type="page"/>
      </w:r>
    </w:p>
    <w:p w:rsidR="00F0016D" w:rsidRPr="00226734" w:rsidRDefault="00F0016D" w:rsidP="0031574B">
      <w:pPr>
        <w:widowControl/>
        <w:suppressAutoHyphens/>
        <w:overflowPunct/>
        <w:autoSpaceDE/>
        <w:autoSpaceDN/>
        <w:adjustRightInd/>
        <w:ind w:left="0" w:right="565" w:firstLine="0"/>
        <w:textAlignment w:val="auto"/>
        <w:rPr>
          <w:b/>
          <w:sz w:val="28"/>
          <w:szCs w:val="28"/>
          <w:lang w:eastAsia="en-US"/>
        </w:rPr>
      </w:pPr>
      <w:r w:rsidRPr="00226734">
        <w:rPr>
          <w:b/>
          <w:sz w:val="28"/>
          <w:szCs w:val="28"/>
          <w:lang w:eastAsia="en-US"/>
        </w:rPr>
        <w:lastRenderedPageBreak/>
        <w:t>Vorschlag 1</w:t>
      </w:r>
    </w:p>
    <w:p w:rsidR="00F0016D" w:rsidRPr="00F0016D" w:rsidRDefault="00F0016D" w:rsidP="0031574B">
      <w:pPr>
        <w:widowControl/>
        <w:suppressAutoHyphens/>
        <w:overflowPunct/>
        <w:autoSpaceDE/>
        <w:autoSpaceDN/>
        <w:adjustRightInd/>
        <w:ind w:left="0" w:right="565" w:firstLine="0"/>
        <w:textAlignment w:val="auto"/>
        <w:rPr>
          <w:b/>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4.</w:t>
      </w:r>
      <w:r w:rsidRPr="00F0016D">
        <w:rPr>
          <w:lang w:eastAsia="en-US"/>
        </w:rPr>
        <w:tab/>
        <w:t>Der Unterabschnitt 7.1.4.1.1 enthält an 9 Stellen die Angabe „unbeschränkt“. Im gleichen Unterabschnitt wird an anderen Stellen als Höchstmenge die Mengenangabe 1.100.000 kg genannt.</w:t>
      </w: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5.</w:t>
      </w:r>
      <w:r w:rsidRPr="00F0016D">
        <w:rPr>
          <w:lang w:eastAsia="en-US"/>
        </w:rPr>
        <w:tab/>
        <w:t xml:space="preserve">Ursprünglich wurde der Begriff „unbeschränkt“ als eine Menge ohne jede Begrenzung nach oben, also z.B. als 1.500.000 kg oder 2.200.000 kg verstanden. Ein derartiges Verständnis scheint in diesem Zusammenhang </w:t>
      </w:r>
      <w:proofErr w:type="gramStart"/>
      <w:r w:rsidRPr="00F0016D">
        <w:rPr>
          <w:lang w:eastAsia="en-US"/>
        </w:rPr>
        <w:t>nicht zutreffend</w:t>
      </w:r>
      <w:proofErr w:type="gramEnd"/>
      <w:r w:rsidRPr="00F0016D">
        <w:rPr>
          <w:lang w:eastAsia="en-US"/>
        </w:rPr>
        <w:t xml:space="preserve"> zu sein.</w:t>
      </w: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6.</w:t>
      </w:r>
      <w:r w:rsidRPr="00F0016D">
        <w:rPr>
          <w:lang w:eastAsia="en-US"/>
        </w:rPr>
        <w:tab/>
        <w:t xml:space="preserve">Das Schifffahrtsgewerbe versteht die Angabe „unbeschränkt“ </w:t>
      </w:r>
      <w:r w:rsidR="008937CE" w:rsidRPr="00F0016D">
        <w:rPr>
          <w:lang w:eastAsia="en-US"/>
        </w:rPr>
        <w:t xml:space="preserve">inzwischen </w:t>
      </w:r>
      <w:r w:rsidRPr="00F0016D">
        <w:rPr>
          <w:lang w:eastAsia="en-US"/>
        </w:rPr>
        <w:t>ebenfalls als 1.100.000</w:t>
      </w:r>
      <w:r w:rsidR="00694147">
        <w:rPr>
          <w:lang w:eastAsia="en-US"/>
        </w:rPr>
        <w:t> </w:t>
      </w:r>
      <w:r w:rsidRPr="00F0016D">
        <w:rPr>
          <w:lang w:eastAsia="en-US"/>
        </w:rPr>
        <w:t>kg. Eine weitere Verwendung des Begriffs „unbeschränkt“ neben einer (Höchst-)Menge von 1.100.00</w:t>
      </w:r>
      <w:r w:rsidR="008937CE">
        <w:rPr>
          <w:lang w:eastAsia="en-US"/>
        </w:rPr>
        <w:t>0</w:t>
      </w:r>
      <w:r w:rsidRPr="00F0016D">
        <w:rPr>
          <w:lang w:eastAsia="en-US"/>
        </w:rPr>
        <w:t xml:space="preserve"> kg wäre an dieser Stelle verwirrend, wenn unbeschränkt ebenfalls 1.100.000 kg bedeutet.</w:t>
      </w: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7.</w:t>
      </w:r>
      <w:r w:rsidRPr="00F0016D">
        <w:rPr>
          <w:lang w:eastAsia="en-US"/>
        </w:rPr>
        <w:tab/>
        <w:t>Der Sicherheitsausschuss wird gebeten, den Sachverhalt zu prüfen und zu beschließen, in Unterabschnitt 7.1.4.1.1 den Begriff „unbeschränkt“ durch 1.100.000 kg zu ersetzen.</w:t>
      </w:r>
    </w:p>
    <w:p w:rsidR="00386F16" w:rsidRDefault="00386F16" w:rsidP="0031574B">
      <w:pPr>
        <w:widowControl/>
        <w:tabs>
          <w:tab w:val="left" w:pos="567"/>
        </w:tabs>
        <w:overflowPunct/>
        <w:autoSpaceDE/>
        <w:autoSpaceDN/>
        <w:adjustRightInd/>
        <w:ind w:left="0" w:right="565" w:firstLine="0"/>
        <w:jc w:val="left"/>
        <w:textAlignment w:val="auto"/>
        <w:rPr>
          <w:lang w:eastAsia="en-US"/>
        </w:rPr>
      </w:pPr>
    </w:p>
    <w:p w:rsidR="00F0016D" w:rsidRPr="00226734" w:rsidRDefault="00F0016D" w:rsidP="0031574B">
      <w:pPr>
        <w:widowControl/>
        <w:tabs>
          <w:tab w:val="left" w:pos="567"/>
        </w:tabs>
        <w:suppressAutoHyphens/>
        <w:overflowPunct/>
        <w:autoSpaceDE/>
        <w:autoSpaceDN/>
        <w:adjustRightInd/>
        <w:ind w:left="0" w:right="565" w:firstLine="0"/>
        <w:textAlignment w:val="auto"/>
        <w:rPr>
          <w:b/>
          <w:sz w:val="28"/>
          <w:szCs w:val="28"/>
          <w:lang w:eastAsia="en-US"/>
        </w:rPr>
      </w:pPr>
      <w:r w:rsidRPr="00226734">
        <w:rPr>
          <w:b/>
          <w:sz w:val="28"/>
          <w:szCs w:val="28"/>
          <w:lang w:eastAsia="en-US"/>
        </w:rPr>
        <w:t>Vorschlag 2</w:t>
      </w:r>
    </w:p>
    <w:p w:rsidR="00F0016D" w:rsidRPr="00F0016D" w:rsidRDefault="00F0016D" w:rsidP="0031574B">
      <w:pPr>
        <w:widowControl/>
        <w:tabs>
          <w:tab w:val="left" w:pos="567"/>
        </w:tabs>
        <w:suppressAutoHyphens/>
        <w:overflowPunct/>
        <w:autoSpaceDE/>
        <w:autoSpaceDN/>
        <w:adjustRightInd/>
        <w:ind w:left="0" w:right="565" w:firstLine="0"/>
        <w:textAlignment w:val="auto"/>
        <w:rPr>
          <w:u w:val="single"/>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8.</w:t>
      </w:r>
      <w:r w:rsidRPr="00F0016D">
        <w:rPr>
          <w:lang w:eastAsia="en-US"/>
        </w:rPr>
        <w:tab/>
        <w:t>Das Schifffahrtsgewerbe beantragt, die Unterabschnitte 7.1.4.1.1, 7.1.4.1.2 und 7.1.4.1.3 komplett neu zu gliedern ohne am bisherigen Regelungsinhalt etwas zu verändern. Die Mengenangaben des bisherigen 7.1.4.1.1 werden tabellarisch in einem neuen Unterabschnitt 7.1.4.1.3 dargestellt. Der Vorschlag 1 wird dabei als „angenommen“ vorausgesetzt.</w:t>
      </w: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9.</w:t>
      </w:r>
      <w:r w:rsidRPr="00F0016D">
        <w:rPr>
          <w:lang w:eastAsia="en-US"/>
        </w:rPr>
        <w:tab/>
        <w:t>Zur Klarstellung wir im neuen Unterabschnitt 7.1.4.1.2 folgender Satz empfohlen</w:t>
      </w:r>
      <w:r w:rsidR="00FF06EA">
        <w:rPr>
          <w:lang w:eastAsia="en-US"/>
        </w:rPr>
        <w:t>:</w:t>
      </w: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567" w:right="565" w:hanging="567"/>
        <w:textAlignment w:val="auto"/>
        <w:rPr>
          <w:lang w:eastAsia="en-US"/>
        </w:rPr>
      </w:pPr>
    </w:p>
    <w:p w:rsidR="00F0016D" w:rsidRPr="00F0016D" w:rsidRDefault="00FF06EA" w:rsidP="0031574B">
      <w:pPr>
        <w:widowControl/>
        <w:overflowPunct/>
        <w:autoSpaceDE/>
        <w:autoSpaceDN/>
        <w:adjustRightInd/>
        <w:spacing w:after="120"/>
        <w:ind w:left="1701" w:right="565" w:firstLine="0"/>
        <w:textAlignment w:val="auto"/>
        <w:rPr>
          <w:rFonts w:eastAsia="Calibri"/>
          <w:lang w:eastAsia="en-US"/>
        </w:rPr>
      </w:pPr>
      <w:r>
        <w:rPr>
          <w:rFonts w:eastAsia="Calibri"/>
          <w:lang w:eastAsia="en-US"/>
        </w:rPr>
        <w:t>„</w:t>
      </w:r>
      <w:r w:rsidR="00F0016D" w:rsidRPr="00F0016D">
        <w:rPr>
          <w:rFonts w:eastAsia="Calibri"/>
          <w:lang w:eastAsia="en-US"/>
        </w:rPr>
        <w:t>Wenn ein Schiff verschiedene Arten gefährlicher Güter transportiert, darf die Gesamtmenge 1.100.000 kg nicht überschreiten.</w:t>
      </w:r>
      <w:r>
        <w:rPr>
          <w:rFonts w:eastAsia="Calibri"/>
          <w:lang w:eastAsia="en-US"/>
        </w:rPr>
        <w:t>“.</w:t>
      </w: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567" w:right="565" w:hanging="567"/>
        <w:textAlignment w:val="auto"/>
        <w:rPr>
          <w:lang w:eastAsia="en-US"/>
        </w:rPr>
      </w:pP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567" w:right="565" w:hanging="567"/>
        <w:textAlignment w:val="auto"/>
        <w:rPr>
          <w:lang w:eastAsia="en-US"/>
        </w:rPr>
      </w:pPr>
      <w:r w:rsidRPr="00F0016D">
        <w:rPr>
          <w:lang w:eastAsia="en-US"/>
        </w:rPr>
        <w:t xml:space="preserve">10. </w:t>
      </w:r>
      <w:r>
        <w:rPr>
          <w:lang w:eastAsia="en-US"/>
        </w:rPr>
        <w:tab/>
      </w:r>
      <w:r w:rsidRPr="00F0016D">
        <w:rPr>
          <w:lang w:eastAsia="en-US"/>
        </w:rPr>
        <w:t xml:space="preserve">Neuer Text wie folgt: </w:t>
      </w:r>
    </w:p>
    <w:p w:rsidR="00F0016D" w:rsidRPr="00F0016D" w:rsidRDefault="00F0016D" w:rsidP="0031574B">
      <w:pPr>
        <w:widowControl/>
        <w:tabs>
          <w:tab w:val="left" w:pos="567"/>
          <w:tab w:val="left" w:pos="1985"/>
          <w:tab w:val="left" w:pos="2552"/>
          <w:tab w:val="left" w:pos="3119"/>
          <w:tab w:val="left" w:pos="3686"/>
        </w:tabs>
        <w:overflowPunct/>
        <w:autoSpaceDE/>
        <w:autoSpaceDN/>
        <w:adjustRightInd/>
        <w:ind w:left="567" w:right="565" w:hanging="567"/>
        <w:textAlignment w:val="auto"/>
        <w:rPr>
          <w:rFonts w:eastAsia="Calibri"/>
          <w:bCs/>
          <w:lang w:eastAsia="en-US"/>
        </w:rPr>
      </w:pPr>
    </w:p>
    <w:p w:rsidR="00F0016D" w:rsidRPr="00694147" w:rsidRDefault="008C68B2" w:rsidP="0031574B">
      <w:pPr>
        <w:widowControl/>
        <w:overflowPunct/>
        <w:autoSpaceDE/>
        <w:autoSpaceDN/>
        <w:adjustRightInd/>
        <w:spacing w:after="120"/>
        <w:ind w:left="0" w:right="565" w:firstLine="567"/>
        <w:textAlignment w:val="auto"/>
        <w:rPr>
          <w:rFonts w:eastAsia="Calibri"/>
          <w:bCs/>
          <w:lang w:eastAsia="en-US"/>
        </w:rPr>
      </w:pPr>
      <w:r w:rsidRPr="00694147">
        <w:rPr>
          <w:rFonts w:eastAsia="Calibri"/>
          <w:bCs/>
          <w:lang w:eastAsia="en-US"/>
        </w:rPr>
        <w:t>„</w:t>
      </w:r>
      <w:r w:rsidR="00F0016D" w:rsidRPr="00694147">
        <w:rPr>
          <w:rFonts w:eastAsia="Calibri"/>
          <w:bCs/>
          <w:lang w:eastAsia="en-US"/>
        </w:rPr>
        <w:t>7.1.4.1.1</w:t>
      </w:r>
      <w:r w:rsidR="00F0016D" w:rsidRPr="00694147">
        <w:rPr>
          <w:rFonts w:eastAsia="Calibri"/>
          <w:bCs/>
          <w:lang w:eastAsia="en-US"/>
        </w:rPr>
        <w:tab/>
        <w:t xml:space="preserve">Zugelassene Mengen in </w:t>
      </w:r>
      <w:proofErr w:type="spellStart"/>
      <w:r w:rsidR="00F0016D" w:rsidRPr="00694147">
        <w:rPr>
          <w:rFonts w:eastAsia="Calibri"/>
          <w:bCs/>
          <w:lang w:eastAsia="en-US"/>
        </w:rPr>
        <w:t>Einhüllenschiffen</w:t>
      </w:r>
      <w:proofErr w:type="spellEnd"/>
    </w:p>
    <w:p w:rsidR="00F0016D" w:rsidRPr="00F0016D" w:rsidRDefault="00F0016D" w:rsidP="0031574B">
      <w:pPr>
        <w:widowControl/>
        <w:overflowPunct/>
        <w:autoSpaceDE/>
        <w:autoSpaceDN/>
        <w:adjustRightInd/>
        <w:spacing w:after="120"/>
        <w:ind w:left="1701" w:right="565" w:firstLine="0"/>
        <w:textAlignment w:val="auto"/>
        <w:rPr>
          <w:rFonts w:eastAsia="Calibri"/>
          <w:lang w:eastAsia="en-US"/>
        </w:rPr>
      </w:pPr>
      <w:proofErr w:type="spellStart"/>
      <w:r w:rsidRPr="00F0016D">
        <w:rPr>
          <w:rFonts w:eastAsia="Calibri"/>
          <w:bCs/>
          <w:lang w:eastAsia="en-US"/>
        </w:rPr>
        <w:t>Einhüllenschiffe</w:t>
      </w:r>
      <w:proofErr w:type="spellEnd"/>
      <w:r w:rsidRPr="00F0016D">
        <w:rPr>
          <w:rFonts w:eastAsia="Calibri"/>
          <w:lang w:eastAsia="en-US"/>
        </w:rPr>
        <w:t>, Schubleichter und Doppelhüllenschiffe, die den zusätzlichen Bauvorschriften in den Unterabschnitten 9.1.0.88 bis 9.1.0.95 oder 9.2.0.88 bis 9.2.0.95 nicht entsprechen, dürfen gefährliche Güter der Klassen 1, 2, 3, 4.1, 4.2, 4.3, 5.1, 5.2, 6.1, 7, 8 und 9 nur in begrenzten Mengen gem. Absatz 7.1.4.1.3 befördern.</w:t>
      </w:r>
    </w:p>
    <w:p w:rsidR="00F0016D" w:rsidRPr="00F0016D" w:rsidRDefault="00F0016D" w:rsidP="0031574B">
      <w:pPr>
        <w:widowControl/>
        <w:overflowPunct/>
        <w:autoSpaceDE/>
        <w:autoSpaceDN/>
        <w:adjustRightInd/>
        <w:spacing w:after="120"/>
        <w:ind w:left="1701" w:right="565" w:firstLine="0"/>
        <w:textAlignment w:val="auto"/>
        <w:rPr>
          <w:lang w:eastAsia="en-US"/>
        </w:rPr>
      </w:pPr>
      <w:r w:rsidRPr="00F0016D">
        <w:rPr>
          <w:rFonts w:eastAsia="Calibri"/>
          <w:bCs/>
          <w:lang w:eastAsia="en-US"/>
        </w:rPr>
        <w:t xml:space="preserve">Mengenbegrenzungen nach Absatz </w:t>
      </w:r>
      <w:r w:rsidRPr="00F0016D">
        <w:rPr>
          <w:rFonts w:eastAsia="Calibri"/>
          <w:lang w:eastAsia="en-US"/>
        </w:rPr>
        <w:t>7.1.4.1.3 gelten bei Schubverbänden und gekuppelten Schiffen pro Einheit, für jede Einheit sind höchstens 1.100.000 kg zugelassen</w:t>
      </w:r>
      <w:r w:rsidRPr="00F0016D">
        <w:rPr>
          <w:lang w:eastAsia="en-US"/>
        </w:rPr>
        <w:t>.</w:t>
      </w:r>
    </w:p>
    <w:p w:rsidR="00F0016D" w:rsidRPr="00F0016D" w:rsidRDefault="00F0016D" w:rsidP="0031574B">
      <w:pPr>
        <w:widowControl/>
        <w:overflowPunct/>
        <w:autoSpaceDE/>
        <w:autoSpaceDN/>
        <w:adjustRightInd/>
        <w:spacing w:after="120"/>
        <w:ind w:left="1701" w:right="565" w:firstLine="0"/>
        <w:textAlignment w:val="auto"/>
        <w:rPr>
          <w:rFonts w:eastAsia="Calibri"/>
          <w:u w:val="single"/>
          <w:lang w:eastAsia="en-US"/>
        </w:rPr>
      </w:pPr>
      <w:r w:rsidRPr="00F0016D">
        <w:rPr>
          <w:rFonts w:eastAsia="Calibri"/>
          <w:u w:val="single"/>
          <w:lang w:eastAsia="en-US"/>
        </w:rPr>
        <w:t>Wenn ein Schiff verschiedene Arten gefährlicher Güter transportiert, darf die Gesamtmenge 1.100.000 kg nicht überschreiten.</w:t>
      </w:r>
    </w:p>
    <w:p w:rsidR="00F0016D" w:rsidRPr="00F0016D" w:rsidRDefault="00F0016D" w:rsidP="0031574B">
      <w:pPr>
        <w:widowControl/>
        <w:overflowPunct/>
        <w:autoSpaceDE/>
        <w:autoSpaceDN/>
        <w:adjustRightInd/>
        <w:spacing w:after="120"/>
        <w:ind w:left="1701" w:right="565"/>
        <w:textAlignment w:val="auto"/>
        <w:rPr>
          <w:rFonts w:eastAsia="Calibri"/>
          <w:bCs/>
          <w:u w:val="single"/>
          <w:lang w:eastAsia="en-US"/>
        </w:rPr>
      </w:pPr>
    </w:p>
    <w:p w:rsidR="00F0016D" w:rsidRPr="00694147" w:rsidRDefault="00F0016D" w:rsidP="0031574B">
      <w:pPr>
        <w:widowControl/>
        <w:overflowPunct/>
        <w:autoSpaceDE/>
        <w:autoSpaceDN/>
        <w:adjustRightInd/>
        <w:spacing w:after="240"/>
        <w:ind w:left="0" w:right="565" w:firstLine="567"/>
        <w:textAlignment w:val="auto"/>
        <w:rPr>
          <w:rFonts w:eastAsia="Calibri"/>
          <w:bCs/>
          <w:lang w:eastAsia="en-US"/>
        </w:rPr>
      </w:pPr>
      <w:r w:rsidRPr="00694147">
        <w:rPr>
          <w:rFonts w:eastAsia="Calibri"/>
          <w:bCs/>
          <w:lang w:eastAsia="en-US"/>
        </w:rPr>
        <w:t>7.1.4.1.2</w:t>
      </w:r>
      <w:r w:rsidRPr="00694147">
        <w:rPr>
          <w:rFonts w:eastAsia="Calibri"/>
          <w:bCs/>
          <w:lang w:eastAsia="en-US"/>
        </w:rPr>
        <w:tab/>
        <w:t>Zugelassene Mengen in Doppelhüllenschiffen</w:t>
      </w:r>
    </w:p>
    <w:p w:rsidR="00F0016D" w:rsidRPr="00F0016D" w:rsidRDefault="00F0016D" w:rsidP="0031574B">
      <w:pPr>
        <w:widowControl/>
        <w:overflowPunct/>
        <w:autoSpaceDE/>
        <w:autoSpaceDN/>
        <w:adjustRightInd/>
        <w:spacing w:after="120"/>
        <w:ind w:left="1701" w:right="565" w:firstLine="0"/>
        <w:textAlignment w:val="auto"/>
        <w:rPr>
          <w:rFonts w:eastAsia="Calibri"/>
          <w:lang w:eastAsia="en-US"/>
        </w:rPr>
      </w:pPr>
      <w:r w:rsidRPr="00F0016D">
        <w:rPr>
          <w:rFonts w:eastAsia="Calibri"/>
          <w:lang w:eastAsia="en-US"/>
        </w:rPr>
        <w:t xml:space="preserve">Doppelhüllenschiffe, die den zusätzlichen Bauvorschriften in den Unterabschnitten 9.1.0.88 bis 9.1.0.95 oder 9.2.0.88 bis 9.2.0.95 entsprechen, dürfen Güter der Klassen 2, 3, 4.1, 4.2, 4.3, 5.1, 5.2, 6.1, 7, 8 und 9 ohne Begrenzung der beförderten Menge transportieren. Hiervon abweichend dürfen diese Schiffe </w:t>
      </w:r>
    </w:p>
    <w:p w:rsidR="00F0016D" w:rsidRPr="00F0016D" w:rsidRDefault="00F0016D" w:rsidP="0031574B">
      <w:pPr>
        <w:widowControl/>
        <w:overflowPunct/>
        <w:autoSpaceDE/>
        <w:autoSpaceDN/>
        <w:adjustRightInd/>
        <w:spacing w:after="120"/>
        <w:ind w:left="2268" w:right="565" w:hanging="567"/>
        <w:textAlignment w:val="auto"/>
        <w:rPr>
          <w:rFonts w:eastAsia="Calibri"/>
          <w:lang w:eastAsia="en-US"/>
        </w:rPr>
      </w:pPr>
      <w:r w:rsidRPr="00F0016D">
        <w:rPr>
          <w:rFonts w:eastAsia="Calibri"/>
          <w:lang w:eastAsia="en-US"/>
        </w:rPr>
        <w:t>●</w:t>
      </w:r>
      <w:r w:rsidRPr="00F0016D">
        <w:rPr>
          <w:rFonts w:eastAsia="Calibri"/>
          <w:lang w:eastAsia="en-US"/>
        </w:rPr>
        <w:tab/>
        <w:t xml:space="preserve">Güter der Klasse 1 nur in den Mengen befördern, wie sie in Absatz 7.1.4.1.3 genannt sind. </w:t>
      </w:r>
    </w:p>
    <w:p w:rsidR="00F0016D" w:rsidRPr="00F0016D" w:rsidRDefault="00F0016D" w:rsidP="0031574B">
      <w:pPr>
        <w:widowControl/>
        <w:overflowPunct/>
        <w:autoSpaceDE/>
        <w:autoSpaceDN/>
        <w:adjustRightInd/>
        <w:spacing w:after="240"/>
        <w:ind w:left="2268" w:right="565" w:hanging="567"/>
        <w:textAlignment w:val="auto"/>
        <w:rPr>
          <w:rFonts w:eastAsia="Calibri"/>
          <w:lang w:eastAsia="en-US"/>
        </w:rPr>
      </w:pPr>
      <w:r w:rsidRPr="00F0016D">
        <w:rPr>
          <w:rFonts w:eastAsia="Calibri"/>
          <w:lang w:eastAsia="en-US"/>
        </w:rPr>
        <w:t>●</w:t>
      </w:r>
      <w:r w:rsidRPr="00F0016D">
        <w:rPr>
          <w:rFonts w:eastAsia="Calibri"/>
          <w:lang w:eastAsia="en-US"/>
        </w:rPr>
        <w:tab/>
        <w:t>Güter mit Gefahrzettel 1 in Kapitel 3.2 Tabelle A Spalte (5) pro Einheit nur in den Mengen befördert werden, wie sie in Absatz 7.1.4.1.3 genannt sind</w:t>
      </w:r>
      <w:r w:rsidRPr="00F0016D">
        <w:rPr>
          <w:lang w:eastAsia="en-US"/>
        </w:rPr>
        <w:t>.</w:t>
      </w:r>
    </w:p>
    <w:p w:rsidR="006B6EB9" w:rsidRDefault="006B6EB9">
      <w:pPr>
        <w:widowControl/>
        <w:overflowPunct/>
        <w:autoSpaceDE/>
        <w:autoSpaceDN/>
        <w:adjustRightInd/>
        <w:ind w:left="0" w:firstLine="0"/>
        <w:jc w:val="left"/>
        <w:textAlignment w:val="auto"/>
        <w:rPr>
          <w:lang w:eastAsia="en-US"/>
        </w:rPr>
      </w:pPr>
    </w:p>
    <w:p w:rsidR="006B6EB9" w:rsidRDefault="006B6EB9" w:rsidP="00F0016D">
      <w:pPr>
        <w:widowControl/>
        <w:overflowPunct/>
        <w:autoSpaceDE/>
        <w:autoSpaceDN/>
        <w:adjustRightInd/>
        <w:spacing w:after="240"/>
        <w:ind w:left="1701"/>
        <w:textAlignment w:val="auto"/>
        <w:rPr>
          <w:lang w:eastAsia="en-US"/>
        </w:rPr>
        <w:sectPr w:rsidR="006B6EB9" w:rsidSect="006B6EB9">
          <w:headerReference w:type="even" r:id="rId9"/>
          <w:headerReference w:type="default" r:id="rId10"/>
          <w:footerReference w:type="even" r:id="rId11"/>
          <w:footerReference w:type="default" r:id="rId12"/>
          <w:footerReference w:type="first" r:id="rId13"/>
          <w:pgSz w:w="11906" w:h="16838"/>
          <w:pgMar w:top="1418" w:right="1418" w:bottom="1418" w:left="1418" w:header="709" w:footer="709" w:gutter="0"/>
          <w:cols w:space="708"/>
          <w:titlePg/>
          <w:docGrid w:linePitch="360"/>
        </w:sectPr>
      </w:pPr>
    </w:p>
    <w:p w:rsidR="001C2E25" w:rsidRDefault="001C2E25" w:rsidP="006B6EB9">
      <w:pPr>
        <w:widowControl/>
        <w:jc w:val="left"/>
      </w:pPr>
    </w:p>
    <w:p w:rsidR="006B6EB9" w:rsidRPr="006B6EB9" w:rsidRDefault="006B6EB9" w:rsidP="006B6EB9">
      <w:pPr>
        <w:widowControl/>
        <w:jc w:val="left"/>
        <w:rPr>
          <w:rFonts w:eastAsia="Calibri"/>
          <w:lang w:eastAsia="en-US"/>
        </w:rPr>
      </w:pPr>
      <w:r w:rsidRPr="006B6EB9">
        <w:t>7.1.4.1.3</w:t>
      </w:r>
      <w:r>
        <w:tab/>
      </w:r>
      <w:r w:rsidRPr="006B6EB9">
        <w:t>Mengengrenzen</w:t>
      </w:r>
    </w:p>
    <w:p w:rsidR="006B6EB9" w:rsidRDefault="006B6EB9" w:rsidP="006B6EB9">
      <w:pPr>
        <w:widowControl/>
        <w:rPr>
          <w:rFonts w:ascii="Arial" w:hAnsi="Arial"/>
        </w:rPr>
      </w:pPr>
    </w:p>
    <w:tbl>
      <w:tblPr>
        <w:tblStyle w:val="TableGrid"/>
        <w:tblW w:w="0" w:type="auto"/>
        <w:tblInd w:w="-431" w:type="dxa"/>
        <w:tblLayout w:type="fixed"/>
        <w:tblLook w:val="04A0" w:firstRow="1" w:lastRow="0" w:firstColumn="1" w:lastColumn="0" w:noHBand="0" w:noVBand="1"/>
      </w:tblPr>
      <w:tblGrid>
        <w:gridCol w:w="852"/>
        <w:gridCol w:w="8788"/>
        <w:gridCol w:w="425"/>
        <w:gridCol w:w="426"/>
        <w:gridCol w:w="425"/>
        <w:gridCol w:w="425"/>
        <w:gridCol w:w="493"/>
        <w:gridCol w:w="459"/>
        <w:gridCol w:w="459"/>
      </w:tblGrid>
      <w:tr w:rsidR="006629B7" w:rsidRPr="001C2E25" w:rsidTr="00AB6720">
        <w:trPr>
          <w:gridAfter w:val="7"/>
          <w:wAfter w:w="3112" w:type="dxa"/>
          <w:tblHeader/>
        </w:trPr>
        <w:tc>
          <w:tcPr>
            <w:tcW w:w="852" w:type="dxa"/>
          </w:tcPr>
          <w:p w:rsidR="006629B7" w:rsidRPr="001C2E25" w:rsidRDefault="006629B7" w:rsidP="00AB6720">
            <w:pPr>
              <w:widowControl/>
              <w:ind w:left="-40" w:firstLine="0"/>
              <w:jc w:val="center"/>
              <w:rPr>
                <w:rFonts w:ascii="Times New Roman" w:hAnsi="Times New Roman"/>
                <w:b/>
                <w:sz w:val="18"/>
                <w:szCs w:val="18"/>
              </w:rPr>
            </w:pPr>
            <w:proofErr w:type="spellStart"/>
            <w:r w:rsidRPr="001C2E25">
              <w:rPr>
                <w:rFonts w:ascii="Times New Roman" w:hAnsi="Times New Roman"/>
                <w:b/>
                <w:sz w:val="18"/>
                <w:szCs w:val="18"/>
              </w:rPr>
              <w:t>Klasse</w:t>
            </w:r>
            <w:proofErr w:type="spellEnd"/>
          </w:p>
        </w:tc>
        <w:tc>
          <w:tcPr>
            <w:tcW w:w="8788" w:type="dxa"/>
          </w:tcPr>
          <w:p w:rsidR="006629B7" w:rsidRPr="001C2E25" w:rsidRDefault="006629B7" w:rsidP="00AB6720">
            <w:pPr>
              <w:widowControl/>
              <w:ind w:left="0" w:firstLine="0"/>
              <w:rPr>
                <w:rFonts w:ascii="Times New Roman" w:hAnsi="Times New Roman"/>
                <w:b/>
                <w:sz w:val="18"/>
                <w:szCs w:val="18"/>
              </w:rPr>
            </w:pPr>
            <w:proofErr w:type="spellStart"/>
            <w:r w:rsidRPr="001C2E25">
              <w:rPr>
                <w:rFonts w:ascii="Times New Roman" w:hAnsi="Times New Roman"/>
                <w:b/>
                <w:sz w:val="18"/>
                <w:szCs w:val="18"/>
              </w:rPr>
              <w:t>Umschreibung</w:t>
            </w:r>
            <w:proofErr w:type="spellEnd"/>
          </w:p>
        </w:tc>
      </w:tr>
      <w:tr w:rsidR="006629B7" w:rsidRPr="001C2E25" w:rsidTr="00AB6720">
        <w:trPr>
          <w:cantSplit/>
          <w:trHeight w:val="1448"/>
          <w:tblHeader/>
        </w:trPr>
        <w:tc>
          <w:tcPr>
            <w:tcW w:w="852" w:type="dxa"/>
          </w:tcPr>
          <w:p w:rsidR="006629B7" w:rsidRPr="001C2E25" w:rsidRDefault="006629B7" w:rsidP="00AB6720">
            <w:pPr>
              <w:widowControl/>
              <w:ind w:left="-111" w:firstLine="0"/>
              <w:rPr>
                <w:rFonts w:ascii="Times New Roman" w:hAnsi="Times New Roman"/>
                <w:sz w:val="18"/>
                <w:szCs w:val="18"/>
              </w:rPr>
            </w:pPr>
          </w:p>
        </w:tc>
        <w:tc>
          <w:tcPr>
            <w:tcW w:w="8788" w:type="dxa"/>
          </w:tcPr>
          <w:p w:rsidR="006629B7" w:rsidRPr="001C2E25" w:rsidRDefault="006629B7" w:rsidP="00AB6720">
            <w:pPr>
              <w:widowControl/>
              <w:ind w:left="0" w:firstLine="0"/>
              <w:rPr>
                <w:rFonts w:ascii="Times New Roman" w:hAnsi="Times New Roman"/>
                <w:sz w:val="18"/>
                <w:szCs w:val="18"/>
              </w:rPr>
            </w:pPr>
          </w:p>
        </w:tc>
        <w:tc>
          <w:tcPr>
            <w:tcW w:w="425" w:type="dxa"/>
            <w:textDirection w:val="tbRl"/>
          </w:tcPr>
          <w:p w:rsidR="006629B7" w:rsidRPr="001C2E25" w:rsidRDefault="006629B7" w:rsidP="00AB6720">
            <w:pPr>
              <w:widowControl/>
              <w:ind w:left="113" w:right="113" w:firstLine="0"/>
              <w:jc w:val="center"/>
              <w:rPr>
                <w:rFonts w:ascii="Times New Roman" w:hAnsi="Times New Roman"/>
                <w:sz w:val="18"/>
                <w:szCs w:val="18"/>
              </w:rPr>
            </w:pPr>
            <w:r w:rsidRPr="001C2E25">
              <w:rPr>
                <w:rFonts w:ascii="Times New Roman" w:hAnsi="Times New Roman"/>
                <w:sz w:val="18"/>
                <w:szCs w:val="18"/>
              </w:rPr>
              <w:t>0 kg</w:t>
            </w:r>
          </w:p>
        </w:tc>
        <w:tc>
          <w:tcPr>
            <w:tcW w:w="426" w:type="dxa"/>
            <w:textDirection w:val="tbRl"/>
          </w:tcPr>
          <w:p w:rsidR="006629B7" w:rsidRPr="001C2E25" w:rsidRDefault="006629B7" w:rsidP="00AB6720">
            <w:pPr>
              <w:widowControl/>
              <w:ind w:left="113" w:right="113" w:firstLine="0"/>
              <w:jc w:val="center"/>
              <w:rPr>
                <w:rFonts w:ascii="Times New Roman" w:hAnsi="Times New Roman"/>
                <w:sz w:val="18"/>
                <w:szCs w:val="18"/>
              </w:rPr>
            </w:pPr>
            <w:r w:rsidRPr="001C2E25">
              <w:rPr>
                <w:rFonts w:ascii="Times New Roman" w:hAnsi="Times New Roman"/>
                <w:sz w:val="18"/>
                <w:szCs w:val="18"/>
              </w:rPr>
              <w:t>90 kg</w:t>
            </w:r>
          </w:p>
        </w:tc>
        <w:tc>
          <w:tcPr>
            <w:tcW w:w="425" w:type="dxa"/>
            <w:textDirection w:val="tbRl"/>
          </w:tcPr>
          <w:p w:rsidR="006629B7" w:rsidRPr="001C2E25" w:rsidRDefault="006629B7" w:rsidP="00AB6720">
            <w:pPr>
              <w:widowControl/>
              <w:ind w:left="113" w:right="113" w:firstLine="0"/>
              <w:jc w:val="center"/>
              <w:rPr>
                <w:rFonts w:ascii="Times New Roman" w:hAnsi="Times New Roman"/>
                <w:sz w:val="18"/>
                <w:szCs w:val="18"/>
              </w:rPr>
            </w:pPr>
            <w:r w:rsidRPr="001C2E25">
              <w:rPr>
                <w:rFonts w:ascii="Times New Roman" w:hAnsi="Times New Roman"/>
                <w:sz w:val="18"/>
                <w:szCs w:val="18"/>
              </w:rPr>
              <w:t>15 000 kg</w:t>
            </w:r>
          </w:p>
        </w:tc>
        <w:tc>
          <w:tcPr>
            <w:tcW w:w="425" w:type="dxa"/>
            <w:textDirection w:val="tbRl"/>
          </w:tcPr>
          <w:p w:rsidR="006629B7" w:rsidRPr="001C2E25" w:rsidRDefault="006629B7" w:rsidP="00AB6720">
            <w:pPr>
              <w:widowControl/>
              <w:ind w:left="113" w:right="113" w:firstLine="0"/>
              <w:jc w:val="center"/>
              <w:rPr>
                <w:rFonts w:ascii="Times New Roman" w:hAnsi="Times New Roman"/>
                <w:sz w:val="18"/>
                <w:szCs w:val="18"/>
              </w:rPr>
            </w:pPr>
            <w:r w:rsidRPr="001C2E25">
              <w:rPr>
                <w:rFonts w:ascii="Times New Roman" w:hAnsi="Times New Roman"/>
                <w:sz w:val="18"/>
                <w:szCs w:val="18"/>
              </w:rPr>
              <w:t>50 000 kg</w:t>
            </w:r>
          </w:p>
        </w:tc>
        <w:tc>
          <w:tcPr>
            <w:tcW w:w="493" w:type="dxa"/>
            <w:textDirection w:val="tbRl"/>
          </w:tcPr>
          <w:p w:rsidR="006629B7" w:rsidRPr="001C2E25" w:rsidRDefault="006629B7" w:rsidP="00AB6720">
            <w:pPr>
              <w:widowControl/>
              <w:ind w:left="113" w:right="113" w:firstLine="0"/>
              <w:jc w:val="center"/>
              <w:rPr>
                <w:rFonts w:ascii="Times New Roman" w:hAnsi="Times New Roman"/>
                <w:sz w:val="18"/>
                <w:szCs w:val="18"/>
              </w:rPr>
            </w:pPr>
            <w:r w:rsidRPr="001C2E25">
              <w:rPr>
                <w:rFonts w:ascii="Times New Roman" w:hAnsi="Times New Roman"/>
                <w:sz w:val="18"/>
                <w:szCs w:val="18"/>
              </w:rPr>
              <w:t>120 000 kg</w:t>
            </w:r>
          </w:p>
        </w:tc>
        <w:tc>
          <w:tcPr>
            <w:tcW w:w="459" w:type="dxa"/>
            <w:textDirection w:val="tbRl"/>
          </w:tcPr>
          <w:p w:rsidR="006629B7" w:rsidRPr="001C2E25" w:rsidRDefault="006629B7" w:rsidP="00AB6720">
            <w:pPr>
              <w:widowControl/>
              <w:ind w:left="113" w:right="113" w:firstLine="0"/>
              <w:jc w:val="center"/>
              <w:rPr>
                <w:rFonts w:ascii="Times New Roman" w:hAnsi="Times New Roman"/>
                <w:sz w:val="18"/>
                <w:szCs w:val="18"/>
              </w:rPr>
            </w:pPr>
            <w:r w:rsidRPr="001C2E25">
              <w:rPr>
                <w:rFonts w:ascii="Times New Roman" w:hAnsi="Times New Roman"/>
                <w:sz w:val="18"/>
                <w:szCs w:val="18"/>
              </w:rPr>
              <w:t>300 000 kg</w:t>
            </w:r>
          </w:p>
        </w:tc>
        <w:tc>
          <w:tcPr>
            <w:tcW w:w="459" w:type="dxa"/>
            <w:textDirection w:val="tbRl"/>
          </w:tcPr>
          <w:p w:rsidR="006629B7" w:rsidRPr="001C2E25" w:rsidRDefault="006629B7" w:rsidP="00AB6720">
            <w:pPr>
              <w:widowControl/>
              <w:ind w:left="113" w:right="113" w:firstLine="0"/>
              <w:jc w:val="center"/>
              <w:rPr>
                <w:rFonts w:ascii="Times New Roman" w:hAnsi="Times New Roman"/>
                <w:sz w:val="18"/>
                <w:szCs w:val="18"/>
              </w:rPr>
            </w:pPr>
            <w:r w:rsidRPr="001C2E25">
              <w:rPr>
                <w:rFonts w:ascii="Times New Roman" w:hAnsi="Times New Roman"/>
                <w:sz w:val="18"/>
                <w:szCs w:val="18"/>
              </w:rPr>
              <w:t>1 100 000 kg</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bookmarkStart w:id="5" w:name="_Hlk10464732"/>
            <w:r w:rsidRPr="001C2E25">
              <w:rPr>
                <w:rFonts w:ascii="Times New Roman" w:hAnsi="Times New Roman"/>
                <w:b/>
                <w:sz w:val="18"/>
                <w:szCs w:val="18"/>
              </w:rPr>
              <w:t>1</w:t>
            </w:r>
          </w:p>
        </w:tc>
        <w:tc>
          <w:tcPr>
            <w:tcW w:w="8788" w:type="dxa"/>
          </w:tcPr>
          <w:p w:rsidR="006B6EB9" w:rsidRPr="001C2E25" w:rsidRDefault="006B6EB9" w:rsidP="006B6EB9">
            <w:pPr>
              <w:widowControl/>
              <w:ind w:left="0" w:firstLine="0"/>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Stoffe und Gegenstände der Unterklasse 1.1 der Verträglichkeitsgruppe A </w:t>
            </w:r>
            <w:r w:rsidRPr="001C2E25">
              <w:rPr>
                <w:rFonts w:ascii="Times New Roman" w:hAnsi="Times New Roman"/>
                <w:sz w:val="18"/>
                <w:szCs w:val="18"/>
                <w:vertAlign w:val="superscript"/>
                <w:lang w:val="de-DE" w:eastAsia="en-US"/>
              </w:rPr>
              <w:t>1)</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rPr>
                <w:rFonts w:ascii="Times New Roman" w:hAnsi="Times New Roman"/>
                <w:sz w:val="18"/>
                <w:szCs w:val="18"/>
              </w:rPr>
            </w:pPr>
          </w:p>
        </w:tc>
        <w:tc>
          <w:tcPr>
            <w:tcW w:w="8788" w:type="dxa"/>
            <w:tcBorders>
              <w:right w:val="single" w:sz="6" w:space="0" w:color="auto"/>
            </w:tcBorders>
          </w:tcPr>
          <w:p w:rsidR="006B6EB9" w:rsidRPr="001C2E25" w:rsidRDefault="006B6EB9" w:rsidP="006B6EB9">
            <w:pPr>
              <w:widowControl/>
              <w:ind w:left="0" w:firstLine="0"/>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Stoffe und Gegenstände der Unterklasse 1.1 der Verträglichkeitsgruppe B, C, D, E, F, G, J oder L </w:t>
            </w:r>
            <w:r w:rsidRPr="001C2E25">
              <w:rPr>
                <w:rFonts w:ascii="Times New Roman" w:hAnsi="Times New Roman"/>
                <w:sz w:val="18"/>
                <w:szCs w:val="18"/>
                <w:vertAlign w:val="superscript"/>
                <w:lang w:val="de-DE" w:eastAsia="en-US"/>
              </w:rPr>
              <w:t>2)</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rPr>
                <w:rFonts w:ascii="Times New Roman" w:hAnsi="Times New Roman"/>
                <w:sz w:val="18"/>
                <w:szCs w:val="18"/>
              </w:rPr>
            </w:pPr>
          </w:p>
        </w:tc>
        <w:tc>
          <w:tcPr>
            <w:tcW w:w="8788" w:type="dxa"/>
            <w:tcBorders>
              <w:right w:val="single" w:sz="6" w:space="0" w:color="auto"/>
            </w:tcBorders>
          </w:tcPr>
          <w:p w:rsidR="006B6EB9" w:rsidRPr="001C2E25" w:rsidRDefault="006B6EB9" w:rsidP="006B6EB9">
            <w:pPr>
              <w:widowControl/>
              <w:ind w:left="0" w:firstLine="0"/>
              <w:rPr>
                <w:rFonts w:ascii="Times New Roman" w:hAnsi="Times New Roman"/>
                <w:sz w:val="18"/>
                <w:szCs w:val="18"/>
                <w:lang w:val="de-DE"/>
              </w:rPr>
            </w:pPr>
            <w:r w:rsidRPr="001C2E25">
              <w:rPr>
                <w:rFonts w:ascii="Times New Roman" w:hAnsi="Times New Roman"/>
                <w:sz w:val="18"/>
                <w:szCs w:val="18"/>
                <w:lang w:val="de-DE" w:eastAsia="en-US"/>
              </w:rPr>
              <w:t>alle Stoffe und Gegenstände der Unterklasse 1.2 der Verträglichkeitsgruppe B, C, D, E, F, G, H, J oder L</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rPr>
                <w:rFonts w:ascii="Times New Roman" w:hAnsi="Times New Roman"/>
                <w:sz w:val="18"/>
                <w:szCs w:val="18"/>
              </w:rPr>
            </w:pPr>
          </w:p>
        </w:tc>
        <w:tc>
          <w:tcPr>
            <w:tcW w:w="8788" w:type="dxa"/>
            <w:tcBorders>
              <w:right w:val="single" w:sz="6" w:space="0" w:color="auto"/>
            </w:tcBorders>
          </w:tcPr>
          <w:p w:rsidR="006B6EB9" w:rsidRPr="001C2E25" w:rsidRDefault="006B6EB9" w:rsidP="006B6EB9">
            <w:pPr>
              <w:widowControl/>
              <w:ind w:left="0" w:firstLine="0"/>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Stoffe und Gegenstände der Unterklasse 1.3 der Verträglichkeitsgruppe C, G, H, J oder L </w:t>
            </w:r>
            <w:r w:rsidRPr="001C2E25">
              <w:rPr>
                <w:rFonts w:ascii="Times New Roman" w:hAnsi="Times New Roman"/>
                <w:sz w:val="18"/>
                <w:szCs w:val="18"/>
                <w:vertAlign w:val="superscript"/>
                <w:lang w:val="de-DE" w:eastAsia="en-US"/>
              </w:rPr>
              <w:t>3)</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rPr>
                <w:rFonts w:ascii="Times New Roman" w:hAnsi="Times New Roman"/>
                <w:sz w:val="18"/>
                <w:szCs w:val="18"/>
              </w:rPr>
            </w:pPr>
          </w:p>
        </w:tc>
        <w:tc>
          <w:tcPr>
            <w:tcW w:w="8788" w:type="dxa"/>
            <w:tcBorders>
              <w:right w:val="single" w:sz="6" w:space="0" w:color="auto"/>
            </w:tcBorders>
          </w:tcPr>
          <w:p w:rsidR="006B6EB9" w:rsidRPr="001C2E25" w:rsidRDefault="006B6EB9" w:rsidP="006B6EB9">
            <w:pPr>
              <w:widowControl/>
              <w:ind w:left="0" w:firstLine="0"/>
              <w:rPr>
                <w:rFonts w:ascii="Times New Roman" w:hAnsi="Times New Roman"/>
                <w:sz w:val="18"/>
                <w:szCs w:val="18"/>
                <w:lang w:val="de-DE"/>
              </w:rPr>
            </w:pPr>
            <w:r w:rsidRPr="001C2E25">
              <w:rPr>
                <w:rFonts w:ascii="Times New Roman" w:hAnsi="Times New Roman"/>
                <w:sz w:val="18"/>
                <w:szCs w:val="18"/>
                <w:lang w:val="de-DE" w:eastAsia="en-US"/>
              </w:rPr>
              <w:t>alle Stoffe und Gegenstände der Unterklasse 1.4 der Verträglichkeitsgruppe B, C, D, E, F, G oder S</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top w:val="nil"/>
              <w:bottom w:val="nil"/>
            </w:tcBorders>
          </w:tcPr>
          <w:p w:rsidR="006B6EB9" w:rsidRPr="001C2E25" w:rsidRDefault="006B6EB9" w:rsidP="006B6EB9">
            <w:pPr>
              <w:widowControl/>
              <w:ind w:left="-111" w:firstLine="0"/>
              <w:rPr>
                <w:rFonts w:ascii="Times New Roman" w:hAnsi="Times New Roman"/>
                <w:sz w:val="18"/>
                <w:szCs w:val="18"/>
              </w:rPr>
            </w:pPr>
          </w:p>
        </w:tc>
        <w:tc>
          <w:tcPr>
            <w:tcW w:w="8788" w:type="dxa"/>
            <w:tcBorders>
              <w:right w:val="single" w:sz="6" w:space="0" w:color="auto"/>
            </w:tcBorders>
          </w:tcPr>
          <w:p w:rsidR="006B6EB9" w:rsidRPr="001C2E25" w:rsidRDefault="006B6EB9" w:rsidP="006B6EB9">
            <w:pPr>
              <w:widowControl/>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Stoffe der Unterklasse 1.5 der Verträglichkeitsgruppe D </w:t>
            </w:r>
            <w:r w:rsidRPr="001C2E25">
              <w:rPr>
                <w:rFonts w:ascii="Times New Roman" w:hAnsi="Times New Roman"/>
                <w:sz w:val="18"/>
                <w:szCs w:val="18"/>
                <w:vertAlign w:val="superscript"/>
                <w:lang w:val="de-DE" w:eastAsia="en-US"/>
              </w:rPr>
              <w:t>2)</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rPr>
                <w:rFonts w:ascii="Times New Roman" w:hAnsi="Times New Roman"/>
                <w:sz w:val="18"/>
                <w:szCs w:val="18"/>
              </w:rPr>
            </w:pPr>
          </w:p>
        </w:tc>
        <w:tc>
          <w:tcPr>
            <w:tcW w:w="8788" w:type="dxa"/>
            <w:tcBorders>
              <w:right w:val="single" w:sz="6" w:space="0" w:color="auto"/>
            </w:tcBorders>
          </w:tcPr>
          <w:p w:rsidR="006B6EB9" w:rsidRPr="001C2E25" w:rsidRDefault="006B6EB9" w:rsidP="006B6EB9">
            <w:pPr>
              <w:widowControl/>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Gegenstände der Unterklasse 1.6 der Verträglichkeitsgruppe N </w:t>
            </w:r>
            <w:r w:rsidRPr="001C2E25">
              <w:rPr>
                <w:rFonts w:ascii="Times New Roman" w:hAnsi="Times New Roman"/>
                <w:sz w:val="18"/>
                <w:szCs w:val="18"/>
                <w:vertAlign w:val="superscript"/>
                <w:lang w:val="de-DE" w:eastAsia="en-US"/>
              </w:rPr>
              <w:t>3)</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rPr>
                <w:rFonts w:ascii="Times New Roman" w:hAnsi="Times New Roman"/>
                <w:sz w:val="18"/>
                <w:szCs w:val="18"/>
              </w:rPr>
            </w:pPr>
          </w:p>
        </w:tc>
        <w:tc>
          <w:tcPr>
            <w:tcW w:w="8788" w:type="dxa"/>
            <w:tcBorders>
              <w:right w:val="single" w:sz="6" w:space="0" w:color="auto"/>
            </w:tcBorders>
          </w:tcPr>
          <w:p w:rsidR="006B6EB9" w:rsidRPr="001C2E25" w:rsidRDefault="006B6EB9" w:rsidP="006B6EB9">
            <w:pPr>
              <w:widowControl/>
              <w:rPr>
                <w:rFonts w:ascii="Times New Roman" w:hAnsi="Times New Roman"/>
                <w:sz w:val="18"/>
                <w:szCs w:val="18"/>
              </w:rPr>
            </w:pPr>
            <w:proofErr w:type="spellStart"/>
            <w:r w:rsidRPr="001C2E25">
              <w:rPr>
                <w:rFonts w:ascii="Times New Roman" w:hAnsi="Times New Roman"/>
                <w:sz w:val="18"/>
                <w:szCs w:val="18"/>
                <w:lang w:eastAsia="en-US"/>
              </w:rPr>
              <w:t>ungereinigte</w:t>
            </w:r>
            <w:proofErr w:type="spellEnd"/>
            <w:r w:rsidRPr="001C2E25">
              <w:rPr>
                <w:rFonts w:ascii="Times New Roman" w:hAnsi="Times New Roman"/>
                <w:sz w:val="18"/>
                <w:szCs w:val="18"/>
                <w:lang w:eastAsia="en-US"/>
              </w:rPr>
              <w:t xml:space="preserve"> </w:t>
            </w:r>
            <w:proofErr w:type="spellStart"/>
            <w:r w:rsidRPr="001C2E25">
              <w:rPr>
                <w:rFonts w:ascii="Times New Roman" w:hAnsi="Times New Roman"/>
                <w:sz w:val="18"/>
                <w:szCs w:val="18"/>
                <w:lang w:eastAsia="en-US"/>
              </w:rPr>
              <w:t>leere</w:t>
            </w:r>
            <w:proofErr w:type="spellEnd"/>
            <w:r w:rsidRPr="001C2E25">
              <w:rPr>
                <w:rFonts w:ascii="Times New Roman" w:hAnsi="Times New Roman"/>
                <w:sz w:val="18"/>
                <w:szCs w:val="18"/>
                <w:lang w:eastAsia="en-US"/>
              </w:rPr>
              <w:t xml:space="preserve"> </w:t>
            </w:r>
            <w:proofErr w:type="spellStart"/>
            <w:r w:rsidRPr="001C2E25">
              <w:rPr>
                <w:rFonts w:ascii="Times New Roman" w:hAnsi="Times New Roman"/>
                <w:sz w:val="18"/>
                <w:szCs w:val="18"/>
                <w:lang w:eastAsia="en-US"/>
              </w:rPr>
              <w:t>Verpackungen</w:t>
            </w:r>
            <w:proofErr w:type="spellEnd"/>
          </w:p>
        </w:tc>
        <w:tc>
          <w:tcPr>
            <w:tcW w:w="425" w:type="dxa"/>
          </w:tcPr>
          <w:p w:rsidR="006B6EB9" w:rsidRPr="001C2E25" w:rsidRDefault="006B6EB9" w:rsidP="006B6EB9">
            <w:pPr>
              <w:widowControl/>
              <w:ind w:left="0" w:firstLine="0"/>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rPr>
                <w:rFonts w:ascii="Times New Roman" w:hAnsi="Times New Roman"/>
                <w:sz w:val="18"/>
                <w:szCs w:val="18"/>
              </w:rPr>
            </w:pPr>
          </w:p>
        </w:tc>
        <w:tc>
          <w:tcPr>
            <w:tcW w:w="8788" w:type="dxa"/>
          </w:tcPr>
          <w:p w:rsidR="006B6EB9" w:rsidRPr="001C2E25" w:rsidRDefault="006B6EB9" w:rsidP="006B6EB9">
            <w:pPr>
              <w:widowControl/>
              <w:overflowPunct/>
              <w:ind w:left="731" w:hanging="731"/>
              <w:jc w:val="left"/>
              <w:textAlignment w:val="auto"/>
              <w:rPr>
                <w:rFonts w:ascii="Times New Roman" w:hAnsi="Times New Roman"/>
                <w:b/>
                <w:bCs/>
                <w:i/>
                <w:sz w:val="18"/>
                <w:szCs w:val="18"/>
                <w:lang w:val="de-DE" w:eastAsia="en-US"/>
              </w:rPr>
            </w:pPr>
            <w:r w:rsidRPr="001C2E25">
              <w:rPr>
                <w:rFonts w:ascii="Times New Roman" w:hAnsi="Times New Roman"/>
                <w:b/>
                <w:bCs/>
                <w:i/>
                <w:sz w:val="18"/>
                <w:szCs w:val="18"/>
                <w:lang w:val="de-DE" w:eastAsia="en-US"/>
              </w:rPr>
              <w:t>Bemerkungen</w:t>
            </w:r>
          </w:p>
          <w:p w:rsidR="006B6EB9" w:rsidRPr="001C2E25" w:rsidRDefault="006B6EB9" w:rsidP="006B6EB9">
            <w:pPr>
              <w:widowControl/>
              <w:overflowPunct/>
              <w:ind w:left="149" w:hanging="149"/>
              <w:jc w:val="left"/>
              <w:textAlignment w:val="auto"/>
              <w:rPr>
                <w:rFonts w:ascii="Times New Roman" w:hAnsi="Times New Roman"/>
                <w:i/>
                <w:sz w:val="18"/>
                <w:szCs w:val="18"/>
                <w:lang w:val="de-DE" w:eastAsia="en-US"/>
              </w:rPr>
            </w:pPr>
            <w:r w:rsidRPr="001C2E25">
              <w:rPr>
                <w:rFonts w:ascii="Times New Roman" w:hAnsi="Times New Roman"/>
                <w:i/>
                <w:sz w:val="18"/>
                <w:szCs w:val="18"/>
                <w:vertAlign w:val="superscript"/>
                <w:lang w:val="de-DE" w:eastAsia="en-US"/>
              </w:rPr>
              <w:t>1)</w:t>
            </w:r>
            <w:r w:rsidRPr="001C2E25">
              <w:rPr>
                <w:rFonts w:ascii="Times New Roman" w:hAnsi="Times New Roman"/>
                <w:i/>
                <w:sz w:val="18"/>
                <w:szCs w:val="18"/>
                <w:lang w:val="de-DE" w:eastAsia="en-US"/>
              </w:rPr>
              <w:t xml:space="preserve"> In mindestens drei Partien zu maximal je 30 kg und mindestens 10 m Abstand zwischen den einzelnen Partien.</w:t>
            </w:r>
          </w:p>
          <w:p w:rsidR="006B6EB9" w:rsidRPr="001C2E25" w:rsidRDefault="006B6EB9" w:rsidP="006B6EB9">
            <w:pPr>
              <w:widowControl/>
              <w:overflowPunct/>
              <w:ind w:left="149" w:hanging="149"/>
              <w:jc w:val="left"/>
              <w:textAlignment w:val="auto"/>
              <w:rPr>
                <w:rFonts w:ascii="Times New Roman" w:hAnsi="Times New Roman"/>
                <w:i/>
                <w:sz w:val="18"/>
                <w:szCs w:val="18"/>
                <w:lang w:val="de-DE" w:eastAsia="en-US"/>
              </w:rPr>
            </w:pPr>
            <w:r w:rsidRPr="001C2E25">
              <w:rPr>
                <w:rFonts w:ascii="Times New Roman" w:hAnsi="Times New Roman"/>
                <w:i/>
                <w:sz w:val="18"/>
                <w:szCs w:val="18"/>
                <w:vertAlign w:val="superscript"/>
                <w:lang w:val="de-DE" w:eastAsia="en-US"/>
              </w:rPr>
              <w:t xml:space="preserve">2) </w:t>
            </w:r>
            <w:r w:rsidRPr="001C2E25">
              <w:rPr>
                <w:rFonts w:ascii="Times New Roman" w:hAnsi="Times New Roman"/>
                <w:i/>
                <w:sz w:val="18"/>
                <w:szCs w:val="18"/>
                <w:lang w:val="de-DE" w:eastAsia="en-US"/>
              </w:rPr>
              <w:t>In mindestens drei Partien zu maximal je 5 000 kg und mindestens 10 m Abstand zwischen den einzelnen Partien.</w:t>
            </w:r>
          </w:p>
          <w:p w:rsidR="006B6EB9" w:rsidRPr="001C2E25" w:rsidRDefault="006B6EB9" w:rsidP="006B6EB9">
            <w:pPr>
              <w:widowControl/>
              <w:overflowPunct/>
              <w:ind w:left="149" w:hanging="149"/>
              <w:jc w:val="left"/>
              <w:textAlignment w:val="auto"/>
              <w:rPr>
                <w:rFonts w:ascii="Times New Roman" w:hAnsi="Times New Roman"/>
                <w:sz w:val="18"/>
                <w:szCs w:val="18"/>
                <w:lang w:val="de-DE"/>
              </w:rPr>
            </w:pPr>
            <w:r w:rsidRPr="001C2E25">
              <w:rPr>
                <w:rFonts w:ascii="Times New Roman" w:hAnsi="Times New Roman"/>
                <w:i/>
                <w:sz w:val="18"/>
                <w:szCs w:val="18"/>
                <w:vertAlign w:val="superscript"/>
                <w:lang w:val="de-DE" w:eastAsia="en-US"/>
              </w:rPr>
              <w:t>3)</w:t>
            </w:r>
            <w:r w:rsidRPr="001C2E25">
              <w:rPr>
                <w:rFonts w:ascii="Times New Roman" w:hAnsi="Times New Roman"/>
                <w:i/>
                <w:sz w:val="18"/>
                <w:szCs w:val="18"/>
                <w:lang w:val="de-DE" w:eastAsia="en-US"/>
              </w:rPr>
              <w:t xml:space="preserve"> Nicht mehr als 100 000 kg pro Laderaum. Ein eingesetzter Holzschott wird als Laderaumtrennung anerkannt.</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93" w:type="dxa"/>
          </w:tcPr>
          <w:p w:rsidR="006B6EB9" w:rsidRPr="001C2E25" w:rsidRDefault="006B6EB9" w:rsidP="006B6EB9">
            <w:pPr>
              <w:widowControl/>
              <w:ind w:left="0" w:firstLine="0"/>
              <w:rPr>
                <w:rFonts w:ascii="Times New Roman" w:hAnsi="Times New Roman"/>
                <w:sz w:val="18"/>
                <w:szCs w:val="18"/>
                <w:lang w:val="de-DE"/>
              </w:rPr>
            </w:pPr>
          </w:p>
        </w:tc>
        <w:tc>
          <w:tcPr>
            <w:tcW w:w="459" w:type="dxa"/>
          </w:tcPr>
          <w:p w:rsidR="006B6EB9" w:rsidRPr="001C2E25" w:rsidRDefault="006B6EB9" w:rsidP="006B6EB9">
            <w:pPr>
              <w:widowControl/>
              <w:ind w:left="0" w:firstLine="0"/>
              <w:rPr>
                <w:rFonts w:ascii="Times New Roman" w:hAnsi="Times New Roman"/>
                <w:sz w:val="18"/>
                <w:szCs w:val="18"/>
                <w:lang w:val="de-DE"/>
              </w:rPr>
            </w:pPr>
          </w:p>
        </w:tc>
        <w:tc>
          <w:tcPr>
            <w:tcW w:w="459" w:type="dxa"/>
          </w:tcPr>
          <w:p w:rsidR="006B6EB9" w:rsidRPr="001C2E25" w:rsidRDefault="006B6EB9" w:rsidP="006B6EB9">
            <w:pPr>
              <w:widowControl/>
              <w:ind w:left="0" w:firstLine="0"/>
              <w:rPr>
                <w:rFonts w:ascii="Times New Roman" w:hAnsi="Times New Roman"/>
                <w:sz w:val="18"/>
                <w:szCs w:val="18"/>
                <w:lang w:val="de-DE"/>
              </w:rPr>
            </w:pP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2</w:t>
            </w:r>
          </w:p>
        </w:tc>
        <w:tc>
          <w:tcPr>
            <w:tcW w:w="8788" w:type="dxa"/>
            <w:tcBorders>
              <w:top w:val="single" w:sz="6" w:space="0" w:color="auto"/>
              <w:bottom w:val="single" w:sz="6" w:space="0" w:color="auto"/>
              <w:right w:val="single" w:sz="6" w:space="0" w:color="auto"/>
            </w:tcBorders>
          </w:tcPr>
          <w:p w:rsidR="006B6EB9" w:rsidRPr="001C2E25" w:rsidRDefault="006B6EB9" w:rsidP="006B6EB9">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mit Gefahrzettel 2.1 in Kapitel 3.2 Tabelle A Spalte (5): insgesamt</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93" w:type="dxa"/>
          </w:tcPr>
          <w:p w:rsidR="006B6EB9" w:rsidRPr="001C2E25" w:rsidRDefault="006B6EB9" w:rsidP="006B6EB9">
            <w:pPr>
              <w:widowControl/>
              <w:ind w:left="0" w:firstLine="0"/>
              <w:rPr>
                <w:rFonts w:ascii="Times New Roman" w:hAnsi="Times New Roman"/>
                <w:sz w:val="18"/>
                <w:szCs w:val="18"/>
                <w:lang w:val="de-DE"/>
              </w:rPr>
            </w:pPr>
          </w:p>
        </w:tc>
        <w:tc>
          <w:tcPr>
            <w:tcW w:w="459" w:type="dxa"/>
          </w:tcPr>
          <w:p w:rsidR="006B6EB9" w:rsidRPr="001C2E25" w:rsidRDefault="006B6EB9" w:rsidP="006B6EB9">
            <w:pPr>
              <w:widowControl/>
              <w:ind w:left="0" w:firstLine="0"/>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Borders>
              <w:top w:val="single" w:sz="6" w:space="0" w:color="auto"/>
              <w:bottom w:val="single" w:sz="6" w:space="0" w:color="auto"/>
              <w:right w:val="single" w:sz="6" w:space="0" w:color="auto"/>
            </w:tcBorders>
          </w:tcPr>
          <w:p w:rsidR="006B6EB9" w:rsidRPr="001C2E25" w:rsidRDefault="006B6EB9" w:rsidP="006B6EB9">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mit Gefahrzettel 2.3 in Kapitel 3.2 Tabelle A Spalte (5): insgesamt</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rPr>
                <w:rFonts w:ascii="Times New Roman" w:hAnsi="Times New Roman"/>
                <w:sz w:val="18"/>
                <w:szCs w:val="18"/>
              </w:rPr>
            </w:pPr>
          </w:p>
        </w:tc>
        <w:tc>
          <w:tcPr>
            <w:tcW w:w="459" w:type="dxa"/>
          </w:tcPr>
          <w:p w:rsidR="006B6EB9" w:rsidRPr="001C2E25" w:rsidRDefault="006B6EB9" w:rsidP="006B6EB9">
            <w:pPr>
              <w:widowControl/>
              <w:ind w:left="0" w:firstLine="0"/>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Borders>
              <w:top w:val="single" w:sz="6" w:space="0" w:color="auto"/>
              <w:bottom w:val="single" w:sz="6" w:space="0" w:color="auto"/>
              <w:right w:val="single" w:sz="6" w:space="0" w:color="auto"/>
            </w:tcBorders>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r w:rsidRPr="001C2E25">
              <w:rPr>
                <w:rFonts w:ascii="Times New Roman" w:hAnsi="Times New Roman"/>
                <w:sz w:val="18"/>
                <w:szCs w:val="18"/>
              </w:rPr>
              <w:t xml:space="preserve">    </w:t>
            </w:r>
          </w:p>
        </w:tc>
        <w:tc>
          <w:tcPr>
            <w:tcW w:w="425" w:type="dxa"/>
          </w:tcPr>
          <w:p w:rsidR="006B6EB9" w:rsidRPr="001C2E25" w:rsidRDefault="006B6EB9" w:rsidP="006B6EB9">
            <w:pPr>
              <w:widowControl/>
              <w:ind w:left="0" w:firstLine="0"/>
              <w:rPr>
                <w:rFonts w:ascii="Times New Roman" w:hAnsi="Times New Roman"/>
                <w:sz w:val="18"/>
                <w:szCs w:val="18"/>
              </w:rPr>
            </w:pPr>
          </w:p>
        </w:tc>
        <w:tc>
          <w:tcPr>
            <w:tcW w:w="426" w:type="dxa"/>
          </w:tcPr>
          <w:p w:rsidR="006B6EB9" w:rsidRPr="001C2E25" w:rsidRDefault="006B6EB9" w:rsidP="006B6EB9">
            <w:pPr>
              <w:widowControl/>
              <w:ind w:left="0" w:firstLine="0"/>
              <w:rPr>
                <w:rFonts w:ascii="Times New Roman" w:hAnsi="Times New Roman"/>
                <w:sz w:val="18"/>
                <w:szCs w:val="18"/>
              </w:rPr>
            </w:pPr>
          </w:p>
        </w:tc>
        <w:tc>
          <w:tcPr>
            <w:tcW w:w="425" w:type="dxa"/>
          </w:tcPr>
          <w:p w:rsidR="006B6EB9" w:rsidRPr="001C2E25" w:rsidRDefault="006B6EB9" w:rsidP="006B6EB9">
            <w:pPr>
              <w:widowControl/>
              <w:ind w:left="0" w:firstLine="0"/>
              <w:rPr>
                <w:rFonts w:ascii="Times New Roman" w:hAnsi="Times New Roman"/>
                <w:sz w:val="18"/>
                <w:szCs w:val="18"/>
              </w:rPr>
            </w:pPr>
          </w:p>
        </w:tc>
        <w:tc>
          <w:tcPr>
            <w:tcW w:w="425" w:type="dxa"/>
          </w:tcPr>
          <w:p w:rsidR="006B6EB9" w:rsidRPr="001C2E25" w:rsidRDefault="006B6EB9" w:rsidP="006B6EB9">
            <w:pPr>
              <w:widowControl/>
              <w:ind w:left="0" w:firstLine="0"/>
              <w:rPr>
                <w:rFonts w:ascii="Times New Roman" w:hAnsi="Times New Roman"/>
                <w:sz w:val="18"/>
                <w:szCs w:val="18"/>
              </w:rPr>
            </w:pPr>
          </w:p>
        </w:tc>
        <w:tc>
          <w:tcPr>
            <w:tcW w:w="493" w:type="dxa"/>
          </w:tcPr>
          <w:p w:rsidR="006B6EB9" w:rsidRPr="001C2E25" w:rsidRDefault="006B6EB9" w:rsidP="006B6EB9">
            <w:pPr>
              <w:widowControl/>
              <w:ind w:left="0" w:firstLine="0"/>
              <w:rPr>
                <w:rFonts w:ascii="Times New Roman" w:hAnsi="Times New Roman"/>
                <w:sz w:val="18"/>
                <w:szCs w:val="18"/>
              </w:rPr>
            </w:pPr>
          </w:p>
        </w:tc>
        <w:tc>
          <w:tcPr>
            <w:tcW w:w="459" w:type="dxa"/>
          </w:tcPr>
          <w:p w:rsidR="006B6EB9" w:rsidRPr="001C2E25" w:rsidRDefault="006B6EB9" w:rsidP="006B6EB9">
            <w:pPr>
              <w:widowControl/>
              <w:ind w:left="0" w:firstLine="0"/>
              <w:rPr>
                <w:rFonts w:ascii="Times New Roman" w:hAnsi="Times New Roman"/>
                <w:sz w:val="18"/>
                <w:szCs w:val="18"/>
              </w:rPr>
            </w:pPr>
          </w:p>
        </w:tc>
        <w:tc>
          <w:tcPr>
            <w:tcW w:w="459" w:type="dxa"/>
          </w:tcPr>
          <w:p w:rsidR="006B6EB9" w:rsidRPr="001C2E25" w:rsidRDefault="006B6EB9" w:rsidP="006B6EB9">
            <w:pPr>
              <w:widowControl/>
              <w:ind w:left="0" w:firstLine="0"/>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3</w:t>
            </w:r>
          </w:p>
        </w:tc>
        <w:tc>
          <w:tcPr>
            <w:tcW w:w="8788" w:type="dxa"/>
          </w:tcPr>
          <w:p w:rsidR="006B6EB9" w:rsidRPr="001C2E25" w:rsidRDefault="006B6EB9" w:rsidP="006B6EB9">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oder II, für die neben dem Gefahrzettel 3 ein Gefahrzettel 6.1 in Kapitel 3.2 Tabelle A Spalte (5) vorgeschrieben ist: insgesamt</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lang w:val="de-DE" w:eastAsia="en-US"/>
              </w:rPr>
            </w:pPr>
            <w:r w:rsidRPr="001C2E25">
              <w:rPr>
                <w:rFonts w:ascii="Times New Roman" w:hAnsi="Times New Roman"/>
                <w:sz w:val="18"/>
                <w:szCs w:val="18"/>
                <w:lang w:val="de-DE" w:eastAsia="en-US"/>
              </w:rPr>
              <w:t>alle anderen Güter der Verpackungsgruppe I oder II: insgesamt</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lang w:eastAsia="en-US"/>
              </w:rPr>
              <w:t>andere</w:t>
            </w:r>
            <w:proofErr w:type="spellEnd"/>
            <w:r w:rsidRPr="001C2E25">
              <w:rPr>
                <w:rFonts w:ascii="Times New Roman" w:hAnsi="Times New Roman"/>
                <w:sz w:val="18"/>
                <w:szCs w:val="18"/>
                <w:lang w:eastAsia="en-US"/>
              </w:rPr>
              <w:t xml:space="preserve"> </w:t>
            </w:r>
            <w:proofErr w:type="spellStart"/>
            <w:r w:rsidRPr="001C2E25">
              <w:rPr>
                <w:rFonts w:ascii="Times New Roman" w:hAnsi="Times New Roman"/>
                <w:sz w:val="18"/>
                <w:szCs w:val="18"/>
                <w:lang w:eastAsia="en-US"/>
              </w:rPr>
              <w:t>Güter</w:t>
            </w:r>
            <w:proofErr w:type="spellEnd"/>
          </w:p>
        </w:tc>
        <w:tc>
          <w:tcPr>
            <w:tcW w:w="425" w:type="dxa"/>
          </w:tcPr>
          <w:p w:rsidR="006B6EB9" w:rsidRPr="001C2E25" w:rsidRDefault="006B6EB9" w:rsidP="006B6EB9">
            <w:pPr>
              <w:widowControl/>
              <w:ind w:left="0" w:firstLine="0"/>
              <w:rPr>
                <w:rFonts w:ascii="Times New Roman" w:hAnsi="Times New Roman"/>
                <w:sz w:val="18"/>
                <w:szCs w:val="18"/>
              </w:rPr>
            </w:pPr>
          </w:p>
        </w:tc>
        <w:tc>
          <w:tcPr>
            <w:tcW w:w="426" w:type="dxa"/>
          </w:tcPr>
          <w:p w:rsidR="006B6EB9" w:rsidRPr="001C2E25" w:rsidRDefault="006B6EB9" w:rsidP="006B6EB9">
            <w:pPr>
              <w:widowControl/>
              <w:ind w:left="0" w:firstLine="0"/>
              <w:rPr>
                <w:rFonts w:ascii="Times New Roman" w:hAnsi="Times New Roman"/>
                <w:sz w:val="18"/>
                <w:szCs w:val="18"/>
              </w:rPr>
            </w:pPr>
          </w:p>
        </w:tc>
        <w:tc>
          <w:tcPr>
            <w:tcW w:w="425" w:type="dxa"/>
          </w:tcPr>
          <w:p w:rsidR="006B6EB9" w:rsidRPr="001C2E25" w:rsidRDefault="006B6EB9" w:rsidP="006B6EB9">
            <w:pPr>
              <w:widowControl/>
              <w:ind w:left="0" w:firstLine="0"/>
              <w:rPr>
                <w:rFonts w:ascii="Times New Roman" w:hAnsi="Times New Roman"/>
                <w:sz w:val="18"/>
                <w:szCs w:val="18"/>
              </w:rPr>
            </w:pPr>
          </w:p>
        </w:tc>
        <w:tc>
          <w:tcPr>
            <w:tcW w:w="425" w:type="dxa"/>
          </w:tcPr>
          <w:p w:rsidR="006B6EB9" w:rsidRPr="001C2E25" w:rsidRDefault="006B6EB9" w:rsidP="006B6EB9">
            <w:pPr>
              <w:widowControl/>
              <w:ind w:left="0" w:firstLine="0"/>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4.1</w:t>
            </w: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lang w:eastAsia="en-US"/>
              </w:rPr>
              <w:t>UN-</w:t>
            </w:r>
            <w:proofErr w:type="spellStart"/>
            <w:r w:rsidRPr="001C2E25">
              <w:rPr>
                <w:rFonts w:ascii="Times New Roman" w:hAnsi="Times New Roman"/>
                <w:sz w:val="18"/>
                <w:szCs w:val="18"/>
                <w:lang w:eastAsia="en-US"/>
              </w:rPr>
              <w:t>Nummern</w:t>
            </w:r>
            <w:proofErr w:type="spellEnd"/>
            <w:r w:rsidRPr="001C2E25">
              <w:rPr>
                <w:rFonts w:ascii="Times New Roman" w:hAnsi="Times New Roman"/>
                <w:sz w:val="18"/>
                <w:szCs w:val="18"/>
                <w:lang w:eastAsia="en-US"/>
              </w:rPr>
              <w:t xml:space="preserve"> 3221, 3222, 3231 und 3232, </w:t>
            </w:r>
            <w:proofErr w:type="spellStart"/>
            <w:r w:rsidRPr="001C2E25">
              <w:rPr>
                <w:rFonts w:ascii="Times New Roman" w:hAnsi="Times New Roman"/>
                <w:sz w:val="18"/>
                <w:szCs w:val="18"/>
                <w:lang w:eastAsia="en-US"/>
              </w:rPr>
              <w:t>insgesamt</w:t>
            </w:r>
            <w:proofErr w:type="spellEnd"/>
          </w:p>
        </w:tc>
        <w:tc>
          <w:tcPr>
            <w:tcW w:w="425" w:type="dxa"/>
          </w:tcPr>
          <w:p w:rsidR="006B6EB9" w:rsidRPr="001C2E25" w:rsidRDefault="006B6EB9" w:rsidP="006B6EB9">
            <w:pPr>
              <w:widowControl/>
              <w:ind w:left="0" w:firstLine="0"/>
              <w:rPr>
                <w:rFonts w:ascii="Times New Roman" w:hAnsi="Times New Roman"/>
                <w:sz w:val="18"/>
                <w:szCs w:val="18"/>
              </w:rPr>
            </w:pPr>
          </w:p>
        </w:tc>
        <w:tc>
          <w:tcPr>
            <w:tcW w:w="426" w:type="dxa"/>
          </w:tcPr>
          <w:p w:rsidR="006B6EB9" w:rsidRPr="001C2E25" w:rsidRDefault="006B6EB9" w:rsidP="006B6EB9">
            <w:pPr>
              <w:widowControl/>
              <w:ind w:left="0" w:firstLine="0"/>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1C2E25">
        <w:trPr>
          <w:cantSplit/>
        </w:trPr>
        <w:tc>
          <w:tcPr>
            <w:tcW w:w="852" w:type="dxa"/>
            <w:tcBorders>
              <w:top w:val="nil"/>
              <w:bottom w:val="nil"/>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overflowPunct/>
              <w:ind w:left="0" w:firstLine="0"/>
              <w:jc w:val="left"/>
              <w:textAlignment w:val="auto"/>
              <w:rPr>
                <w:rFonts w:ascii="Times New Roman" w:hAnsi="Times New Roman"/>
                <w:sz w:val="18"/>
                <w:szCs w:val="18"/>
                <w:lang w:val="de-DE" w:eastAsia="en-US"/>
              </w:rPr>
            </w:pPr>
            <w:r w:rsidRPr="001C2E25">
              <w:rPr>
                <w:rFonts w:ascii="Times New Roman" w:hAnsi="Times New Roman"/>
                <w:sz w:val="18"/>
                <w:szCs w:val="18"/>
                <w:lang w:val="de-DE" w:eastAsia="en-US"/>
              </w:rPr>
              <w:t xml:space="preserve">alle Güter der Verpackungsgruppe I; </w:t>
            </w:r>
          </w:p>
          <w:p w:rsidR="006B6EB9" w:rsidRPr="001C2E25" w:rsidRDefault="006B6EB9" w:rsidP="006B6EB9">
            <w:pPr>
              <w:widowControl/>
              <w:overflowPunct/>
              <w:ind w:left="0" w:firstLine="0"/>
              <w:jc w:val="left"/>
              <w:textAlignment w:val="auto"/>
              <w:rPr>
                <w:rFonts w:ascii="Times New Roman" w:hAnsi="Times New Roman"/>
                <w:sz w:val="18"/>
                <w:szCs w:val="18"/>
                <w:lang w:val="de-DE" w:eastAsia="en-US"/>
              </w:rPr>
            </w:pPr>
            <w:r w:rsidRPr="001C2E25">
              <w:rPr>
                <w:rFonts w:ascii="Times New Roman" w:hAnsi="Times New Roman"/>
                <w:sz w:val="18"/>
                <w:szCs w:val="18"/>
                <w:lang w:val="de-DE" w:eastAsia="en-US"/>
              </w:rPr>
              <w:t>alle Güter der Verpackungsgruppe II, für die neben dem Gefahrzettel 4.1 ein Gefahrzettel 6.1 in Kapitel 3.2 Tabelle A Spalte (5) vorgeschrieben ist;</w:t>
            </w:r>
          </w:p>
          <w:p w:rsidR="006B6EB9" w:rsidRPr="001C2E25" w:rsidRDefault="006B6EB9" w:rsidP="006B6EB9">
            <w:pPr>
              <w:widowControl/>
              <w:overflowPunct/>
              <w:ind w:left="0" w:firstLine="0"/>
              <w:jc w:val="left"/>
              <w:textAlignment w:val="auto"/>
              <w:rPr>
                <w:rFonts w:ascii="Times New Roman" w:hAnsi="Times New Roman"/>
                <w:sz w:val="18"/>
                <w:szCs w:val="18"/>
                <w:lang w:val="de-DE" w:eastAsia="en-US"/>
              </w:rPr>
            </w:pPr>
            <w:proofErr w:type="spellStart"/>
            <w:r w:rsidRPr="001C2E25">
              <w:rPr>
                <w:rFonts w:ascii="Times New Roman" w:hAnsi="Times New Roman"/>
                <w:sz w:val="18"/>
                <w:szCs w:val="18"/>
                <w:lang w:val="de-DE" w:eastAsia="en-US"/>
              </w:rPr>
              <w:t>Selbstzersetzliche</w:t>
            </w:r>
            <w:proofErr w:type="spellEnd"/>
            <w:r w:rsidRPr="001C2E25">
              <w:rPr>
                <w:rFonts w:ascii="Times New Roman" w:hAnsi="Times New Roman"/>
                <w:sz w:val="18"/>
                <w:szCs w:val="18"/>
                <w:lang w:val="de-DE" w:eastAsia="en-US"/>
              </w:rPr>
              <w:t xml:space="preserve"> Stoffe des Typs C, D, E, und F (UN-Nummern 3223 bis 3230 und 3233 bis 3240);</w:t>
            </w:r>
          </w:p>
          <w:p w:rsidR="006B6EB9" w:rsidRPr="001C2E25" w:rsidRDefault="006B6EB9" w:rsidP="006B6EB9">
            <w:pPr>
              <w:widowControl/>
              <w:overflowPunct/>
              <w:ind w:left="0" w:firstLine="0"/>
              <w:jc w:val="left"/>
              <w:textAlignment w:val="auto"/>
              <w:rPr>
                <w:rFonts w:ascii="Times New Roman" w:hAnsi="Times New Roman"/>
                <w:sz w:val="18"/>
                <w:szCs w:val="18"/>
                <w:lang w:val="de-DE" w:eastAsia="en-US"/>
              </w:rPr>
            </w:pPr>
            <w:r w:rsidRPr="001C2E25">
              <w:rPr>
                <w:rFonts w:ascii="Times New Roman" w:hAnsi="Times New Roman"/>
                <w:sz w:val="18"/>
                <w:szCs w:val="18"/>
                <w:lang w:val="de-DE" w:eastAsia="en-US"/>
              </w:rPr>
              <w:t xml:space="preserve">alle anderen Stoffe des Klassifizierungscodes SR1 oder SR2 (UN-Nummern 2956, 3241, 3242 und 3251); </w:t>
            </w:r>
          </w:p>
          <w:p w:rsidR="006B6EB9" w:rsidRPr="001C2E25" w:rsidRDefault="006B6EB9" w:rsidP="006B6EB9">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die desensibilisierten explosiven Stoffe der Verpackungsgruppe II (UN-Nummern 2907, 3319 und 3344): insgesamt</w:t>
            </w:r>
          </w:p>
        </w:tc>
        <w:tc>
          <w:tcPr>
            <w:tcW w:w="425" w:type="dxa"/>
          </w:tcPr>
          <w:p w:rsidR="006B6EB9" w:rsidRPr="001C2E25" w:rsidRDefault="006B6EB9" w:rsidP="006B6EB9">
            <w:pPr>
              <w:widowControl/>
              <w:ind w:left="0" w:firstLine="0"/>
              <w:rPr>
                <w:rFonts w:ascii="Times New Roman" w:hAnsi="Times New Roman"/>
                <w:sz w:val="18"/>
                <w:szCs w:val="18"/>
                <w:lang w:val="de-DE"/>
              </w:rPr>
            </w:pPr>
          </w:p>
        </w:tc>
        <w:tc>
          <w:tcPr>
            <w:tcW w:w="426" w:type="dxa"/>
          </w:tcPr>
          <w:p w:rsidR="006B6EB9" w:rsidRPr="001C2E25" w:rsidRDefault="006B6EB9" w:rsidP="006B6EB9">
            <w:pPr>
              <w:widowControl/>
              <w:ind w:left="0" w:firstLine="0"/>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p w:rsidR="006B6EB9" w:rsidRPr="001C2E25" w:rsidRDefault="006B6EB9" w:rsidP="006B6EB9">
            <w:pPr>
              <w:widowControl/>
              <w:ind w:left="0" w:firstLine="0"/>
              <w:jc w:val="center"/>
              <w:rPr>
                <w:rFonts w:ascii="Times New Roman" w:hAnsi="Times New Roman"/>
                <w:sz w:val="18"/>
                <w:szCs w:val="18"/>
                <w:lang w:val="de-DE"/>
              </w:rPr>
            </w:pPr>
          </w:p>
          <w:p w:rsidR="006B6EB9" w:rsidRPr="001C2E25" w:rsidRDefault="006B6EB9" w:rsidP="006B6EB9">
            <w:pPr>
              <w:widowControl/>
              <w:ind w:left="0" w:firstLine="0"/>
              <w:jc w:val="center"/>
              <w:rPr>
                <w:rFonts w:ascii="Times New Roman" w:hAnsi="Times New Roman"/>
                <w:sz w:val="18"/>
                <w:szCs w:val="18"/>
                <w:lang w:val="de-DE"/>
              </w:rPr>
            </w:pPr>
          </w:p>
          <w:p w:rsidR="006B6EB9" w:rsidRPr="001C2E25" w:rsidRDefault="006B6EB9" w:rsidP="006B6EB9">
            <w:pPr>
              <w:widowControl/>
              <w:ind w:left="0" w:firstLine="0"/>
              <w:jc w:val="center"/>
              <w:rPr>
                <w:rFonts w:ascii="Times New Roman" w:hAnsi="Times New Roman"/>
                <w:sz w:val="18"/>
                <w:szCs w:val="18"/>
                <w:lang w:val="de-DE"/>
              </w:rPr>
            </w:pPr>
          </w:p>
          <w:p w:rsidR="006B6EB9" w:rsidRPr="001C2E25" w:rsidRDefault="006B6EB9" w:rsidP="006B6EB9">
            <w:pPr>
              <w:widowControl/>
              <w:ind w:left="0" w:firstLine="0"/>
              <w:jc w:val="center"/>
              <w:rPr>
                <w:rFonts w:ascii="Times New Roman" w:hAnsi="Times New Roman"/>
                <w:sz w:val="18"/>
                <w:szCs w:val="18"/>
                <w:lang w:val="de-DE"/>
              </w:rPr>
            </w:pPr>
          </w:p>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r w:rsidRPr="001C2E25">
              <w:rPr>
                <w:rFonts w:ascii="Times New Roman" w:hAnsi="Times New Roman"/>
                <w:sz w:val="18"/>
                <w:szCs w:val="18"/>
              </w:rPr>
              <w:t xml:space="preserve">    </w:t>
            </w:r>
          </w:p>
        </w:tc>
        <w:tc>
          <w:tcPr>
            <w:tcW w:w="425" w:type="dxa"/>
          </w:tcPr>
          <w:p w:rsidR="006B6EB9" w:rsidRPr="001C2E25" w:rsidRDefault="006B6EB9" w:rsidP="006B6EB9">
            <w:pPr>
              <w:widowControl/>
              <w:ind w:left="0" w:firstLine="0"/>
              <w:rPr>
                <w:rFonts w:ascii="Times New Roman" w:hAnsi="Times New Roman"/>
                <w:sz w:val="18"/>
                <w:szCs w:val="18"/>
              </w:rPr>
            </w:pPr>
          </w:p>
        </w:tc>
        <w:tc>
          <w:tcPr>
            <w:tcW w:w="426" w:type="dxa"/>
          </w:tcPr>
          <w:p w:rsidR="006B6EB9" w:rsidRPr="001C2E25" w:rsidRDefault="006B6EB9" w:rsidP="006B6EB9">
            <w:pPr>
              <w:widowControl/>
              <w:ind w:left="0" w:firstLine="0"/>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4.2</w:t>
            </w:r>
          </w:p>
        </w:tc>
        <w:tc>
          <w:tcPr>
            <w:tcW w:w="8788" w:type="dxa"/>
          </w:tcPr>
          <w:p w:rsidR="006B6EB9" w:rsidRPr="001C2E25" w:rsidRDefault="006B6EB9" w:rsidP="006B6EB9">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oder II, für die neben dem Gefahrzettel 4.2 ein Gefahrzettel 6.1 in Kapitel 3.2 Tabelle A Spalte (5) vorgeschrieben ist: insgesamt</w:t>
            </w: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r w:rsidRPr="001C2E25">
              <w:rPr>
                <w:rFonts w:ascii="Times New Roman" w:hAnsi="Times New Roman"/>
                <w:sz w:val="18"/>
                <w:szCs w:val="18"/>
              </w:rPr>
              <w:t xml:space="preserve">    </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lastRenderedPageBreak/>
              <w:t>4.3</w:t>
            </w:r>
          </w:p>
        </w:tc>
        <w:tc>
          <w:tcPr>
            <w:tcW w:w="8788" w:type="dxa"/>
          </w:tcPr>
          <w:p w:rsidR="006B6EB9" w:rsidRPr="001C2E25" w:rsidRDefault="006B6EB9" w:rsidP="006B6EB9">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oder II, für die neben dem Gefahrzettel 4.3 ein Gefahrzettel 3, 4.1 oder 6.1 in Kapitel 3.2 Tabelle A Spalte (5) vorgeschrieben ist: insgesamt</w:t>
            </w: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r w:rsidRPr="001C2E25">
              <w:rPr>
                <w:rFonts w:ascii="Times New Roman" w:hAnsi="Times New Roman"/>
                <w:sz w:val="18"/>
                <w:szCs w:val="18"/>
              </w:rPr>
              <w:t xml:space="preserve">    </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5.1</w:t>
            </w:r>
          </w:p>
        </w:tc>
        <w:tc>
          <w:tcPr>
            <w:tcW w:w="8788" w:type="dxa"/>
          </w:tcPr>
          <w:p w:rsidR="006B6EB9" w:rsidRPr="001C2E25" w:rsidRDefault="006B6EB9" w:rsidP="006B6EB9">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oder II, für die neben dem Gefahrzettel 5.1 ein Gefahrzettel 6.1 in Kapitel 3.2 Tabelle A Spalte (5) vorgeschrieben ist: insgesamt</w:t>
            </w: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r w:rsidRPr="001C2E25">
              <w:rPr>
                <w:rFonts w:ascii="Times New Roman" w:hAnsi="Times New Roman"/>
                <w:sz w:val="18"/>
                <w:szCs w:val="18"/>
              </w:rPr>
              <w:t xml:space="preserve">    </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5.2</w:t>
            </w: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lang w:eastAsia="en-US"/>
              </w:rPr>
              <w:t>UN-</w:t>
            </w:r>
            <w:proofErr w:type="spellStart"/>
            <w:r w:rsidRPr="001C2E25">
              <w:rPr>
                <w:rFonts w:ascii="Times New Roman" w:hAnsi="Times New Roman"/>
                <w:sz w:val="18"/>
                <w:szCs w:val="18"/>
                <w:lang w:eastAsia="en-US"/>
              </w:rPr>
              <w:t>Nummern</w:t>
            </w:r>
            <w:proofErr w:type="spellEnd"/>
            <w:r w:rsidRPr="001C2E25">
              <w:rPr>
                <w:rFonts w:ascii="Times New Roman" w:hAnsi="Times New Roman"/>
                <w:sz w:val="18"/>
                <w:szCs w:val="18"/>
                <w:lang w:eastAsia="en-US"/>
              </w:rPr>
              <w:t xml:space="preserve"> 3101, 3102, 3111 und 3112: </w:t>
            </w:r>
            <w:proofErr w:type="spellStart"/>
            <w:r w:rsidRPr="001C2E25">
              <w:rPr>
                <w:rFonts w:ascii="Times New Roman" w:hAnsi="Times New Roman"/>
                <w:sz w:val="18"/>
                <w:szCs w:val="18"/>
                <w:lang w:eastAsia="en-US"/>
              </w:rPr>
              <w:t>insgesamt</w:t>
            </w:r>
            <w:proofErr w:type="spellEnd"/>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6.1</w:t>
            </w: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insgesamt</w:t>
            </w: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lang w:val="de-DE"/>
              </w:rPr>
            </w:pPr>
            <w:r w:rsidRPr="001C2E25">
              <w:rPr>
                <w:rFonts w:ascii="Times New Roman" w:hAnsi="Times New Roman"/>
                <w:sz w:val="18"/>
                <w:szCs w:val="18"/>
                <w:lang w:val="de-DE" w:eastAsia="en-US"/>
              </w:rPr>
              <w:t>alle Güter der Verpackungsgruppe II: insgesamt</w:t>
            </w: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lang w:val="de-DE"/>
              </w:rPr>
            </w:pPr>
            <w:r w:rsidRPr="001C2E25">
              <w:rPr>
                <w:rFonts w:ascii="Times New Roman" w:hAnsi="Times New Roman"/>
                <w:sz w:val="18"/>
                <w:szCs w:val="18"/>
                <w:lang w:val="de-DE" w:eastAsia="en-US"/>
              </w:rPr>
              <w:t>alle in loser Schüttung beförderte Güter</w:t>
            </w:r>
          </w:p>
        </w:tc>
        <w:tc>
          <w:tcPr>
            <w:tcW w:w="425"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r w:rsidRPr="001C2E25">
              <w:rPr>
                <w:rFonts w:ascii="Times New Roman" w:hAnsi="Times New Roman"/>
                <w:sz w:val="18"/>
                <w:szCs w:val="18"/>
              </w:rPr>
              <w:t xml:space="preserve">    </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7</w:t>
            </w:r>
          </w:p>
        </w:tc>
        <w:tc>
          <w:tcPr>
            <w:tcW w:w="8788" w:type="dxa"/>
          </w:tcPr>
          <w:p w:rsidR="006B6EB9" w:rsidRPr="001C2E25" w:rsidRDefault="006B6EB9" w:rsidP="006B6EB9">
            <w:pPr>
              <w:widowControl/>
              <w:overflowPunct/>
              <w:ind w:left="0" w:firstLine="0"/>
              <w:jc w:val="left"/>
              <w:textAlignment w:val="auto"/>
              <w:rPr>
                <w:rFonts w:ascii="Times New Roman" w:hAnsi="Times New Roman"/>
                <w:b/>
                <w:sz w:val="18"/>
                <w:szCs w:val="18"/>
              </w:rPr>
            </w:pPr>
            <w:r w:rsidRPr="001C2E25">
              <w:rPr>
                <w:rFonts w:ascii="Times New Roman" w:hAnsi="Times New Roman"/>
                <w:sz w:val="18"/>
                <w:szCs w:val="18"/>
                <w:lang w:eastAsia="en-US"/>
              </w:rPr>
              <w:t>UN-</w:t>
            </w:r>
            <w:proofErr w:type="spellStart"/>
            <w:r w:rsidRPr="001C2E25">
              <w:rPr>
                <w:rFonts w:ascii="Times New Roman" w:hAnsi="Times New Roman"/>
                <w:sz w:val="18"/>
                <w:szCs w:val="18"/>
                <w:lang w:eastAsia="en-US"/>
              </w:rPr>
              <w:t>Nummern</w:t>
            </w:r>
            <w:proofErr w:type="spellEnd"/>
            <w:r w:rsidRPr="001C2E25">
              <w:rPr>
                <w:rFonts w:ascii="Times New Roman" w:hAnsi="Times New Roman"/>
                <w:sz w:val="18"/>
                <w:szCs w:val="18"/>
                <w:lang w:eastAsia="en-US"/>
              </w:rPr>
              <w:t xml:space="preserve"> 2912, 2913, 2915, 2916, 2917, 2919, 2977, 2978 und 3321 bis 3333</w:t>
            </w:r>
          </w:p>
        </w:tc>
        <w:tc>
          <w:tcPr>
            <w:tcW w:w="425"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r w:rsidRPr="001C2E25">
              <w:rPr>
                <w:rFonts w:ascii="Times New Roman" w:hAnsi="Times New Roman"/>
                <w:sz w:val="18"/>
                <w:szCs w:val="18"/>
              </w:rPr>
              <w:t xml:space="preserve">    </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8</w:t>
            </w:r>
          </w:p>
        </w:tc>
        <w:tc>
          <w:tcPr>
            <w:tcW w:w="8788" w:type="dxa"/>
          </w:tcPr>
          <w:p w:rsidR="006B6EB9" w:rsidRPr="001C2E25" w:rsidRDefault="006B6EB9" w:rsidP="006B6EB9">
            <w:pPr>
              <w:widowControl/>
              <w:overflowPunct/>
              <w:ind w:left="0" w:firstLine="0"/>
              <w:jc w:val="left"/>
              <w:textAlignment w:val="auto"/>
              <w:rPr>
                <w:rFonts w:ascii="Times New Roman" w:hAnsi="Times New Roman"/>
                <w:sz w:val="18"/>
                <w:szCs w:val="18"/>
                <w:lang w:val="de-DE" w:eastAsia="en-US"/>
              </w:rPr>
            </w:pPr>
            <w:r w:rsidRPr="001C2E25">
              <w:rPr>
                <w:rFonts w:ascii="Times New Roman" w:hAnsi="Times New Roman"/>
                <w:sz w:val="18"/>
                <w:szCs w:val="18"/>
                <w:lang w:val="de-DE" w:eastAsia="en-US"/>
              </w:rPr>
              <w:t>alle Güter der Verpackungsgruppe I;</w:t>
            </w:r>
          </w:p>
          <w:p w:rsidR="006B6EB9" w:rsidRPr="001C2E25" w:rsidRDefault="006B6EB9" w:rsidP="006B6EB9">
            <w:pPr>
              <w:widowControl/>
              <w:overflowPunct/>
              <w:ind w:left="0" w:firstLine="0"/>
              <w:jc w:val="left"/>
              <w:textAlignment w:val="auto"/>
              <w:rPr>
                <w:rFonts w:ascii="Times New Roman" w:hAnsi="Times New Roman"/>
                <w:b/>
                <w:sz w:val="18"/>
                <w:szCs w:val="18"/>
                <w:lang w:val="de-DE"/>
              </w:rPr>
            </w:pPr>
            <w:r w:rsidRPr="001C2E25">
              <w:rPr>
                <w:rFonts w:ascii="Times New Roman" w:hAnsi="Times New Roman"/>
                <w:sz w:val="18"/>
                <w:szCs w:val="18"/>
                <w:lang w:val="de-DE" w:eastAsia="en-US"/>
              </w:rPr>
              <w:t>alle Güter der Verpackungsgruppe II, für die neben dem Gefahrzettel 8 ein Gefahrzettel 3 oder 6.1 in Kapitel 3.2 Tabelle A Spalte (5) vorgeschrieben ist: insgesamt</w:t>
            </w: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single" w:sz="4" w:space="0" w:color="auto"/>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r w:rsidRPr="001C2E25">
              <w:rPr>
                <w:rFonts w:ascii="Times New Roman" w:hAnsi="Times New Roman"/>
                <w:sz w:val="18"/>
                <w:szCs w:val="18"/>
              </w:rPr>
              <w:t xml:space="preserve">    </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6B6EB9" w:rsidRPr="001C2E25" w:rsidTr="00AB6720">
        <w:tc>
          <w:tcPr>
            <w:tcW w:w="852" w:type="dxa"/>
            <w:tcBorders>
              <w:bottom w:val="nil"/>
            </w:tcBorders>
          </w:tcPr>
          <w:p w:rsidR="006B6EB9" w:rsidRPr="001C2E25" w:rsidRDefault="006B6EB9" w:rsidP="006B6EB9">
            <w:pPr>
              <w:widowControl/>
              <w:ind w:left="-111" w:firstLine="0"/>
              <w:jc w:val="center"/>
              <w:rPr>
                <w:rFonts w:ascii="Times New Roman" w:hAnsi="Times New Roman"/>
                <w:b/>
                <w:sz w:val="18"/>
                <w:szCs w:val="18"/>
              </w:rPr>
            </w:pPr>
            <w:r w:rsidRPr="001C2E25">
              <w:rPr>
                <w:rFonts w:ascii="Times New Roman" w:hAnsi="Times New Roman"/>
                <w:b/>
                <w:sz w:val="18"/>
                <w:szCs w:val="18"/>
              </w:rPr>
              <w:t>9</w:t>
            </w: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b/>
                <w:sz w:val="18"/>
                <w:szCs w:val="18"/>
                <w:lang w:val="de-DE"/>
              </w:rPr>
            </w:pPr>
            <w:r w:rsidRPr="001C2E25">
              <w:rPr>
                <w:rFonts w:ascii="Times New Roman" w:hAnsi="Times New Roman"/>
                <w:sz w:val="18"/>
                <w:szCs w:val="18"/>
                <w:lang w:val="de-DE" w:eastAsia="en-US"/>
              </w:rPr>
              <w:t>alle Güter der Verpackungsgruppe II: insgesamt</w:t>
            </w: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6"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25" w:type="dxa"/>
          </w:tcPr>
          <w:p w:rsidR="006B6EB9" w:rsidRPr="001C2E25" w:rsidRDefault="006B6EB9" w:rsidP="006B6EB9">
            <w:pPr>
              <w:widowControl/>
              <w:ind w:left="0" w:firstLine="0"/>
              <w:jc w:val="center"/>
              <w:rPr>
                <w:rFonts w:ascii="Times New Roman" w:hAnsi="Times New Roman"/>
                <w:sz w:val="18"/>
                <w:szCs w:val="18"/>
                <w:lang w:val="de-DE"/>
              </w:rPr>
            </w:pPr>
          </w:p>
        </w:tc>
        <w:tc>
          <w:tcPr>
            <w:tcW w:w="493" w:type="dxa"/>
          </w:tcPr>
          <w:p w:rsidR="006B6EB9" w:rsidRPr="001C2E25" w:rsidRDefault="006B6EB9" w:rsidP="006B6EB9">
            <w:pPr>
              <w:widowControl/>
              <w:ind w:left="0" w:firstLine="0"/>
              <w:jc w:val="center"/>
              <w:rPr>
                <w:rFonts w:ascii="Times New Roman" w:hAnsi="Times New Roman"/>
                <w:sz w:val="18"/>
                <w:szCs w:val="18"/>
                <w:lang w:val="de-DE"/>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bottom w:val="nil"/>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overflowPunct/>
              <w:ind w:left="0" w:firstLine="0"/>
              <w:jc w:val="left"/>
              <w:textAlignment w:val="auto"/>
              <w:rPr>
                <w:rFonts w:ascii="Times New Roman" w:hAnsi="Times New Roman"/>
                <w:b/>
                <w:sz w:val="18"/>
                <w:szCs w:val="18"/>
                <w:lang w:val="de-DE"/>
              </w:rPr>
            </w:pPr>
            <w:r w:rsidRPr="001C2E25">
              <w:rPr>
                <w:rFonts w:ascii="Times New Roman" w:hAnsi="Times New Roman"/>
                <w:sz w:val="18"/>
                <w:szCs w:val="18"/>
                <w:lang w:val="de-DE" w:eastAsia="en-US"/>
              </w:rPr>
              <w:t>UN 3077, Güter, die in loser Schüttung befördert werden und als umweltgefährdende Stoffe (aquatische Umwelt), Kategorien Akute Giftigkeit 1 oder Chronische Giftigkeit 1, eingestuft sind, in Übereinstimmung mit 2.4.3</w:t>
            </w:r>
          </w:p>
        </w:tc>
        <w:tc>
          <w:tcPr>
            <w:tcW w:w="425"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r>
      <w:tr w:rsidR="006B6EB9" w:rsidRPr="001C2E25" w:rsidTr="00AB6720">
        <w:tc>
          <w:tcPr>
            <w:tcW w:w="852" w:type="dxa"/>
            <w:tcBorders>
              <w:top w:val="nil"/>
            </w:tcBorders>
          </w:tcPr>
          <w:p w:rsidR="006B6EB9" w:rsidRPr="001C2E25" w:rsidRDefault="006B6EB9" w:rsidP="006B6EB9">
            <w:pPr>
              <w:widowControl/>
              <w:ind w:left="-111" w:firstLine="0"/>
              <w:jc w:val="center"/>
              <w:rPr>
                <w:rFonts w:ascii="Times New Roman" w:hAnsi="Times New Roman"/>
                <w:sz w:val="18"/>
                <w:szCs w:val="18"/>
              </w:rPr>
            </w:pPr>
          </w:p>
        </w:tc>
        <w:tc>
          <w:tcPr>
            <w:tcW w:w="8788" w:type="dxa"/>
          </w:tcPr>
          <w:p w:rsidR="006B6EB9" w:rsidRPr="001C2E25" w:rsidRDefault="006B6EB9" w:rsidP="006B6EB9">
            <w:pPr>
              <w:widowControl/>
              <w:tabs>
                <w:tab w:val="left" w:pos="-340"/>
                <w:tab w:val="left" w:pos="1418"/>
              </w:tabs>
              <w:spacing w:line="235" w:lineRule="exact"/>
              <w:ind w:left="0" w:firstLine="0"/>
              <w:jc w:val="left"/>
              <w:rPr>
                <w:rFonts w:ascii="Times New Roman" w:hAnsi="Times New Roman"/>
                <w:sz w:val="18"/>
                <w:szCs w:val="18"/>
              </w:rPr>
            </w:pPr>
            <w:proofErr w:type="spellStart"/>
            <w:r w:rsidRPr="001C2E25">
              <w:rPr>
                <w:rFonts w:ascii="Times New Roman" w:hAnsi="Times New Roman"/>
                <w:sz w:val="18"/>
                <w:szCs w:val="18"/>
              </w:rPr>
              <w:t>andere</w:t>
            </w:r>
            <w:proofErr w:type="spellEnd"/>
            <w:r w:rsidRPr="001C2E25">
              <w:rPr>
                <w:rFonts w:ascii="Times New Roman" w:hAnsi="Times New Roman"/>
                <w:sz w:val="18"/>
                <w:szCs w:val="18"/>
              </w:rPr>
              <w:t xml:space="preserve"> </w:t>
            </w:r>
            <w:proofErr w:type="spellStart"/>
            <w:r w:rsidRPr="001C2E25">
              <w:rPr>
                <w:rFonts w:ascii="Times New Roman" w:hAnsi="Times New Roman"/>
                <w:sz w:val="18"/>
                <w:szCs w:val="18"/>
              </w:rPr>
              <w:t>Güter</w:t>
            </w:r>
            <w:proofErr w:type="spellEnd"/>
            <w:r w:rsidRPr="001C2E25">
              <w:rPr>
                <w:rFonts w:ascii="Times New Roman" w:hAnsi="Times New Roman"/>
                <w:sz w:val="18"/>
                <w:szCs w:val="18"/>
              </w:rPr>
              <w:t xml:space="preserve">    </w:t>
            </w: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6"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25" w:type="dxa"/>
          </w:tcPr>
          <w:p w:rsidR="006B6EB9" w:rsidRPr="001C2E25" w:rsidRDefault="006B6EB9" w:rsidP="006B6EB9">
            <w:pPr>
              <w:widowControl/>
              <w:ind w:left="0" w:firstLine="0"/>
              <w:jc w:val="center"/>
              <w:rPr>
                <w:rFonts w:ascii="Times New Roman" w:hAnsi="Times New Roman"/>
                <w:sz w:val="18"/>
                <w:szCs w:val="18"/>
              </w:rPr>
            </w:pPr>
          </w:p>
        </w:tc>
        <w:tc>
          <w:tcPr>
            <w:tcW w:w="493"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p>
        </w:tc>
        <w:tc>
          <w:tcPr>
            <w:tcW w:w="459" w:type="dxa"/>
          </w:tcPr>
          <w:p w:rsidR="006B6EB9" w:rsidRPr="001C2E25" w:rsidRDefault="006B6EB9" w:rsidP="006B6EB9">
            <w:pPr>
              <w:widowControl/>
              <w:ind w:left="0" w:firstLine="0"/>
              <w:jc w:val="center"/>
              <w:rPr>
                <w:rFonts w:ascii="Times New Roman" w:hAnsi="Times New Roman"/>
                <w:sz w:val="18"/>
                <w:szCs w:val="18"/>
              </w:rPr>
            </w:pPr>
            <w:r w:rsidRPr="001C2E25">
              <w:rPr>
                <w:rFonts w:ascii="Times New Roman" w:hAnsi="Times New Roman"/>
                <w:sz w:val="18"/>
                <w:szCs w:val="18"/>
              </w:rPr>
              <w:t>X</w:t>
            </w:r>
          </w:p>
        </w:tc>
      </w:tr>
      <w:bookmarkEnd w:id="5"/>
    </w:tbl>
    <w:p w:rsidR="006B6EB9" w:rsidRPr="006B6EB9" w:rsidRDefault="006B6EB9" w:rsidP="006B6EB9">
      <w:pPr>
        <w:widowControl/>
      </w:pPr>
    </w:p>
    <w:p w:rsidR="006B6EB9" w:rsidRDefault="001F48FB" w:rsidP="00F0016D">
      <w:pPr>
        <w:widowControl/>
        <w:overflowPunct/>
        <w:autoSpaceDE/>
        <w:autoSpaceDN/>
        <w:adjustRightInd/>
        <w:spacing w:after="240"/>
        <w:ind w:left="1701"/>
        <w:textAlignment w:val="auto"/>
        <w:rPr>
          <w:lang w:eastAsia="en-US"/>
        </w:rPr>
        <w:sectPr w:rsidR="006B6EB9" w:rsidSect="006B6EB9">
          <w:headerReference w:type="first" r:id="rId14"/>
          <w:pgSz w:w="16838" w:h="11906" w:orient="landscape"/>
          <w:pgMar w:top="1418" w:right="1418" w:bottom="1418" w:left="1418" w:header="709" w:footer="709" w:gutter="0"/>
          <w:cols w:space="708"/>
          <w:titlePg/>
          <w:docGrid w:linePitch="360"/>
        </w:sectPr>
      </w:pPr>
      <w:r>
        <w:rPr>
          <w:lang w:eastAsia="en-US"/>
        </w:rPr>
        <w:t>„.</w:t>
      </w:r>
    </w:p>
    <w:p w:rsidR="00F0016D" w:rsidRPr="00F0016D" w:rsidRDefault="00F0016D" w:rsidP="00F0016D">
      <w:pPr>
        <w:widowControl/>
        <w:overflowPunct/>
        <w:autoSpaceDE/>
        <w:autoSpaceDN/>
        <w:adjustRightInd/>
        <w:spacing w:after="240"/>
        <w:ind w:left="1701"/>
        <w:textAlignment w:val="auto"/>
        <w:rPr>
          <w:rFonts w:eastAsia="Calibri"/>
          <w:lang w:eastAsia="en-US"/>
        </w:rPr>
      </w:pPr>
      <w:r w:rsidRPr="00F0016D">
        <w:rPr>
          <w:rFonts w:eastAsia="Calibri"/>
          <w:lang w:eastAsia="en-US"/>
        </w:rPr>
        <w:lastRenderedPageBreak/>
        <w:t>7.1.4.1.4</w:t>
      </w:r>
      <w:r w:rsidRPr="00F0016D">
        <w:rPr>
          <w:rFonts w:eastAsia="Calibri"/>
          <w:lang w:eastAsia="en-US"/>
        </w:rPr>
        <w:tab/>
        <w:t>In 7.1.4.1.4 ist ein Verweis von 7.1.4.1.1 auf 7.1.4.1.3 zu ändern.</w:t>
      </w:r>
    </w:p>
    <w:p w:rsidR="00F0016D" w:rsidRDefault="00F0016D" w:rsidP="00F0016D">
      <w:pPr>
        <w:widowControl/>
        <w:tabs>
          <w:tab w:val="left" w:pos="567"/>
          <w:tab w:val="left" w:pos="1985"/>
          <w:tab w:val="left" w:pos="2552"/>
          <w:tab w:val="left" w:pos="3119"/>
          <w:tab w:val="left" w:pos="3686"/>
        </w:tabs>
        <w:overflowPunct/>
        <w:autoSpaceDE/>
        <w:autoSpaceDN/>
        <w:adjustRightInd/>
        <w:ind w:left="567" w:hanging="567"/>
        <w:textAlignment w:val="auto"/>
        <w:rPr>
          <w:lang w:eastAsia="en-US"/>
        </w:rPr>
      </w:pPr>
    </w:p>
    <w:p w:rsidR="00226734" w:rsidRPr="00F0016D" w:rsidRDefault="00226734" w:rsidP="00F0016D">
      <w:pPr>
        <w:widowControl/>
        <w:tabs>
          <w:tab w:val="left" w:pos="567"/>
          <w:tab w:val="left" w:pos="1985"/>
          <w:tab w:val="left" w:pos="2552"/>
          <w:tab w:val="left" w:pos="3119"/>
          <w:tab w:val="left" w:pos="3686"/>
        </w:tabs>
        <w:overflowPunct/>
        <w:autoSpaceDE/>
        <w:autoSpaceDN/>
        <w:adjustRightInd/>
        <w:ind w:left="567" w:hanging="567"/>
        <w:textAlignment w:val="auto"/>
        <w:rPr>
          <w:lang w:eastAsia="en-US"/>
        </w:rPr>
      </w:pPr>
    </w:p>
    <w:p w:rsidR="00F0016D" w:rsidRPr="00226734" w:rsidRDefault="00F0016D" w:rsidP="00F0016D">
      <w:pPr>
        <w:widowControl/>
        <w:suppressAutoHyphens/>
        <w:overflowPunct/>
        <w:autoSpaceDE/>
        <w:autoSpaceDN/>
        <w:adjustRightInd/>
        <w:ind w:left="0" w:firstLine="0"/>
        <w:textAlignment w:val="auto"/>
        <w:rPr>
          <w:b/>
          <w:sz w:val="28"/>
          <w:szCs w:val="28"/>
          <w:lang w:eastAsia="en-US"/>
        </w:rPr>
      </w:pPr>
      <w:r w:rsidRPr="00226734">
        <w:rPr>
          <w:b/>
          <w:sz w:val="28"/>
          <w:szCs w:val="28"/>
          <w:lang w:eastAsia="en-US"/>
        </w:rPr>
        <w:t>Begründung</w:t>
      </w:r>
    </w:p>
    <w:p w:rsidR="00F0016D" w:rsidRPr="00F0016D" w:rsidRDefault="00F0016D" w:rsidP="00F0016D">
      <w:pPr>
        <w:widowControl/>
        <w:tabs>
          <w:tab w:val="left" w:pos="567"/>
          <w:tab w:val="left" w:pos="1985"/>
          <w:tab w:val="left" w:pos="2552"/>
          <w:tab w:val="left" w:pos="3119"/>
          <w:tab w:val="left" w:pos="3686"/>
        </w:tabs>
        <w:overflowPunct/>
        <w:autoSpaceDE/>
        <w:autoSpaceDN/>
        <w:adjustRightInd/>
        <w:ind w:left="567" w:hanging="567"/>
        <w:textAlignment w:val="auto"/>
        <w:rPr>
          <w:lang w:eastAsia="en-US"/>
        </w:rPr>
      </w:pPr>
    </w:p>
    <w:p w:rsidR="00F0016D" w:rsidRPr="00F0016D" w:rsidRDefault="00F0016D" w:rsidP="00F0016D">
      <w:pPr>
        <w:widowControl/>
        <w:tabs>
          <w:tab w:val="left" w:pos="567"/>
          <w:tab w:val="left" w:pos="1985"/>
          <w:tab w:val="left" w:pos="2552"/>
          <w:tab w:val="left" w:pos="3119"/>
          <w:tab w:val="left" w:pos="3686"/>
        </w:tabs>
        <w:overflowPunct/>
        <w:autoSpaceDE/>
        <w:autoSpaceDN/>
        <w:adjustRightInd/>
        <w:ind w:left="0" w:firstLine="0"/>
        <w:textAlignment w:val="auto"/>
        <w:rPr>
          <w:lang w:eastAsia="en-US"/>
        </w:rPr>
      </w:pPr>
      <w:r w:rsidRPr="00F0016D">
        <w:rPr>
          <w:lang w:eastAsia="en-US"/>
        </w:rPr>
        <w:t>Die Lesbarkeit wird durch eine neue inhaltliche Gliederung, die Verwendung einer eindeutige Mengengrenze und eine Klarstellung bei gemischten Ladungen entscheidend verbessert.</w:t>
      </w:r>
    </w:p>
    <w:p w:rsidR="00F0016D" w:rsidRPr="00F0016D" w:rsidRDefault="00F0016D" w:rsidP="00F0016D">
      <w:pPr>
        <w:widowControl/>
        <w:overflowPunct/>
        <w:autoSpaceDE/>
        <w:autoSpaceDN/>
        <w:adjustRightInd/>
        <w:ind w:left="0" w:firstLine="0"/>
        <w:textAlignment w:val="auto"/>
        <w:rPr>
          <w:lang w:eastAsia="en-US"/>
        </w:rPr>
      </w:pPr>
    </w:p>
    <w:p w:rsidR="00771690" w:rsidRPr="000B7D4A" w:rsidRDefault="00771690" w:rsidP="00771690">
      <w:pPr>
        <w:widowControl/>
        <w:suppressAutoHyphens/>
        <w:overflowPunct/>
        <w:autoSpaceDE/>
        <w:autoSpaceDN/>
        <w:adjustRightInd/>
        <w:ind w:left="0" w:firstLine="0"/>
        <w:jc w:val="center"/>
        <w:textAlignment w:val="auto"/>
        <w:rPr>
          <w:u w:val="single"/>
          <w:lang w:eastAsia="en-US"/>
        </w:rPr>
      </w:pPr>
    </w:p>
    <w:p w:rsidR="00771690" w:rsidRPr="00962008" w:rsidRDefault="00771690" w:rsidP="00771690">
      <w:pPr>
        <w:widowControl/>
        <w:overflowPunct/>
        <w:spacing w:line="240" w:lineRule="atLeast"/>
        <w:ind w:right="567" w:firstLine="0"/>
        <w:jc w:val="center"/>
        <w:textAlignment w:val="auto"/>
        <w:rPr>
          <w:lang w:eastAsia="en-US"/>
        </w:rPr>
      </w:pPr>
      <w:r w:rsidRPr="00DD51EA">
        <w:rPr>
          <w:lang w:eastAsia="en-US"/>
        </w:rPr>
        <w:t>***</w:t>
      </w:r>
    </w:p>
    <w:sectPr w:rsidR="00771690" w:rsidRPr="00962008" w:rsidSect="00DD51E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00" w:rsidRDefault="00A84F00" w:rsidP="006038DC">
      <w:r>
        <w:separator/>
      </w:r>
    </w:p>
  </w:endnote>
  <w:endnote w:type="continuationSeparator" w:id="0">
    <w:p w:rsidR="00A84F00" w:rsidRDefault="00A84F00"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EB9" w:rsidRDefault="006B6EB9" w:rsidP="006B6EB9">
    <w:pPr>
      <w:widowControl/>
      <w:suppressAutoHyphens/>
      <w:overflowPunct/>
      <w:autoSpaceDE/>
      <w:autoSpaceDN/>
      <w:adjustRightInd/>
      <w:ind w:left="0" w:firstLine="0"/>
      <w:jc w:val="right"/>
      <w:textAlignment w:val="auto"/>
    </w:pPr>
    <w:r w:rsidRPr="00962008">
      <w:rPr>
        <w:rFonts w:ascii="Arial" w:hAnsi="Arial"/>
        <w:noProof/>
        <w:snapToGrid w:val="0"/>
        <w:sz w:val="12"/>
        <w:szCs w:val="24"/>
        <w:lang w:val="fr-FR"/>
      </w:rPr>
      <w:t>mm/adn_wp15_ac2_201</w:t>
    </w:r>
    <w:r>
      <w:rPr>
        <w:rFonts w:ascii="Arial" w:hAnsi="Arial"/>
        <w:noProof/>
        <w:snapToGrid w:val="0"/>
        <w:sz w:val="12"/>
        <w:szCs w:val="24"/>
        <w:lang w:val="fr-FR"/>
      </w:rPr>
      <w:t>9</w:t>
    </w:r>
    <w:r w:rsidRPr="00962008">
      <w:rPr>
        <w:rFonts w:ascii="Arial" w:hAnsi="Arial"/>
        <w:noProof/>
        <w:snapToGrid w:val="0"/>
        <w:sz w:val="12"/>
        <w:szCs w:val="24"/>
        <w:lang w:val="fr-FR"/>
      </w:rPr>
      <w:t>_</w:t>
    </w:r>
    <w:r w:rsidR="00527E86">
      <w:rPr>
        <w:rFonts w:ascii="Arial" w:hAnsi="Arial"/>
        <w:noProof/>
        <w:snapToGrid w:val="0"/>
        <w:sz w:val="12"/>
        <w:szCs w:val="24"/>
        <w:lang w:val="fr-FR"/>
      </w:rPr>
      <w:t>32</w:t>
    </w:r>
    <w:r w:rsidRPr="00962008">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962008" w:rsidRDefault="003B2631" w:rsidP="009D26E7">
    <w:pPr>
      <w:widowControl/>
      <w:suppressAutoHyphens/>
      <w:overflowPunct/>
      <w:autoSpaceDE/>
      <w:autoSpaceDN/>
      <w:adjustRightInd/>
      <w:ind w:left="0" w:firstLine="0"/>
      <w:jc w:val="right"/>
      <w:textAlignment w:val="auto"/>
      <w:rPr>
        <w:lang w:val="fr-FR"/>
      </w:rPr>
    </w:pPr>
    <w:bookmarkStart w:id="1" w:name="_Hlk10455128"/>
    <w:bookmarkStart w:id="2" w:name="_Hlk10455129"/>
    <w:r w:rsidRPr="00962008">
      <w:rPr>
        <w:rFonts w:ascii="Arial" w:hAnsi="Arial"/>
        <w:noProof/>
        <w:snapToGrid w:val="0"/>
        <w:sz w:val="12"/>
        <w:szCs w:val="24"/>
        <w:lang w:val="fr-FR"/>
      </w:rPr>
      <w:t>m</w:t>
    </w:r>
    <w:r w:rsidR="009D26E7" w:rsidRPr="00962008">
      <w:rPr>
        <w:rFonts w:ascii="Arial" w:hAnsi="Arial"/>
        <w:noProof/>
        <w:snapToGrid w:val="0"/>
        <w:sz w:val="12"/>
        <w:szCs w:val="24"/>
        <w:lang w:val="fr-FR"/>
      </w:rPr>
      <w:t>m/adn_wp15_ac2_201</w:t>
    </w:r>
    <w:r w:rsidR="00DD51EA">
      <w:rPr>
        <w:rFonts w:ascii="Arial" w:hAnsi="Arial"/>
        <w:noProof/>
        <w:snapToGrid w:val="0"/>
        <w:sz w:val="12"/>
        <w:szCs w:val="24"/>
        <w:lang w:val="fr-FR"/>
      </w:rPr>
      <w:t>9</w:t>
    </w:r>
    <w:r w:rsidR="009D26E7" w:rsidRPr="00962008">
      <w:rPr>
        <w:rFonts w:ascii="Arial" w:hAnsi="Arial"/>
        <w:noProof/>
        <w:snapToGrid w:val="0"/>
        <w:sz w:val="12"/>
        <w:szCs w:val="24"/>
        <w:lang w:val="fr-FR"/>
      </w:rPr>
      <w:t>_</w:t>
    </w:r>
    <w:r w:rsidR="00DD51EA">
      <w:rPr>
        <w:rFonts w:ascii="Arial" w:hAnsi="Arial"/>
        <w:noProof/>
        <w:snapToGrid w:val="0"/>
        <w:sz w:val="12"/>
        <w:szCs w:val="24"/>
        <w:lang w:val="fr-FR"/>
      </w:rPr>
      <w:t>EBU</w:t>
    </w:r>
    <w:r w:rsidR="00F0016D">
      <w:rPr>
        <w:rFonts w:ascii="Arial" w:hAnsi="Arial"/>
        <w:noProof/>
        <w:snapToGrid w:val="0"/>
        <w:sz w:val="12"/>
        <w:szCs w:val="24"/>
        <w:lang w:val="fr-FR"/>
      </w:rPr>
      <w:t>2</w:t>
    </w:r>
    <w:r w:rsidR="009D26E7" w:rsidRPr="00962008">
      <w:rPr>
        <w:rFonts w:ascii="Arial" w:hAnsi="Arial"/>
        <w:noProof/>
        <w:snapToGrid w:val="0"/>
        <w:sz w:val="12"/>
        <w:szCs w:val="24"/>
        <w:lang w:val="fr-FR"/>
      </w:rPr>
      <w:t>de</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EB9" w:rsidRPr="00962008" w:rsidRDefault="006B6EB9" w:rsidP="006B6EB9">
    <w:pPr>
      <w:widowControl/>
      <w:suppressAutoHyphens/>
      <w:overflowPunct/>
      <w:autoSpaceDE/>
      <w:autoSpaceDN/>
      <w:adjustRightInd/>
      <w:ind w:left="0" w:firstLine="0"/>
      <w:jc w:val="right"/>
      <w:textAlignment w:val="auto"/>
      <w:rPr>
        <w:lang w:val="fr-FR"/>
      </w:rPr>
    </w:pPr>
    <w:bookmarkStart w:id="3" w:name="_Hlk10455210"/>
    <w:bookmarkStart w:id="4" w:name="_Hlk10455211"/>
    <w:r w:rsidRPr="00962008">
      <w:rPr>
        <w:rFonts w:ascii="Arial" w:hAnsi="Arial"/>
        <w:noProof/>
        <w:snapToGrid w:val="0"/>
        <w:sz w:val="12"/>
        <w:szCs w:val="24"/>
        <w:lang w:val="fr-FR"/>
      </w:rPr>
      <w:t>mm/adn_wp15_ac2_201</w:t>
    </w:r>
    <w:r>
      <w:rPr>
        <w:rFonts w:ascii="Arial" w:hAnsi="Arial"/>
        <w:noProof/>
        <w:snapToGrid w:val="0"/>
        <w:sz w:val="12"/>
        <w:szCs w:val="24"/>
        <w:lang w:val="fr-FR"/>
      </w:rPr>
      <w:t>9</w:t>
    </w:r>
    <w:r w:rsidRPr="00962008">
      <w:rPr>
        <w:rFonts w:ascii="Arial" w:hAnsi="Arial"/>
        <w:noProof/>
        <w:snapToGrid w:val="0"/>
        <w:sz w:val="12"/>
        <w:szCs w:val="24"/>
        <w:lang w:val="fr-FR"/>
      </w:rPr>
      <w:t>_</w:t>
    </w:r>
    <w:r w:rsidR="00527E86">
      <w:rPr>
        <w:rFonts w:ascii="Arial" w:hAnsi="Arial"/>
        <w:noProof/>
        <w:snapToGrid w:val="0"/>
        <w:sz w:val="12"/>
        <w:szCs w:val="24"/>
        <w:lang w:val="fr-FR"/>
      </w:rPr>
      <w:t>32</w:t>
    </w:r>
    <w:r w:rsidRPr="00962008">
      <w:rPr>
        <w:rFonts w:ascii="Arial" w:hAnsi="Arial"/>
        <w:noProof/>
        <w:snapToGrid w:val="0"/>
        <w:sz w:val="12"/>
        <w:szCs w:val="24"/>
        <w:lang w:val="fr-FR"/>
      </w:rPr>
      <w:t>de</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00" w:rsidRDefault="00A84F00" w:rsidP="006038DC">
      <w:r>
        <w:separator/>
      </w:r>
    </w:p>
  </w:footnote>
  <w:footnote w:type="continuationSeparator" w:id="0">
    <w:p w:rsidR="00A84F00" w:rsidRDefault="00A84F00" w:rsidP="006038DC">
      <w:r>
        <w:continuationSeparator/>
      </w:r>
    </w:p>
  </w:footnote>
  <w:footnote w:id="1">
    <w:p w:rsidR="00771690" w:rsidRPr="00962008" w:rsidRDefault="00771690" w:rsidP="00771690">
      <w:pPr>
        <w:pStyle w:val="FootnoteText"/>
        <w:rPr>
          <w:lang w:val="de-DE"/>
        </w:rPr>
      </w:pPr>
      <w:r w:rsidRPr="005F51C2">
        <w:rPr>
          <w:lang w:val="fr-FR"/>
        </w:rPr>
        <w:tab/>
      </w:r>
      <w:r w:rsidRPr="00962008">
        <w:rPr>
          <w:rStyle w:val="FootnoteReference"/>
          <w:sz w:val="20"/>
          <w:lang w:val="de-DE"/>
        </w:rPr>
        <w:t>*</w:t>
      </w:r>
      <w:r w:rsidRPr="00962008">
        <w:rPr>
          <w:sz w:val="16"/>
          <w:szCs w:val="16"/>
          <w:lang w:val="de-DE"/>
        </w:rPr>
        <w:tab/>
      </w:r>
      <w:r w:rsidRPr="00947F64">
        <w:rPr>
          <w:lang w:val="de-DE"/>
        </w:rPr>
        <w:t>Von der UN-ECE in Englisch, Französisch und Russisch unter dem Aktenzeichen CCNR-ZKR/ADN/WP.15/AC.2/201</w:t>
      </w:r>
      <w:r>
        <w:rPr>
          <w:lang w:val="de-DE"/>
        </w:rPr>
        <w:t>9</w:t>
      </w:r>
      <w:r w:rsidRPr="00947F64">
        <w:rPr>
          <w:lang w:val="de-DE"/>
        </w:rPr>
        <w:t>/</w:t>
      </w:r>
      <w:r w:rsidR="00527E86">
        <w:rPr>
          <w:lang w:val="de-DE"/>
        </w:rPr>
        <w:t>32</w:t>
      </w:r>
      <w:r w:rsidRPr="00947F64">
        <w:rPr>
          <w:lang w:val="de-DE"/>
        </w:rPr>
        <w:t xml:space="preserve"> verteilt.</w:t>
      </w:r>
    </w:p>
  </w:footnote>
  <w:footnote w:id="2">
    <w:p w:rsidR="00771690" w:rsidRPr="00962008" w:rsidRDefault="00771690" w:rsidP="00771690">
      <w:pPr>
        <w:pStyle w:val="FootnoteText"/>
        <w:rPr>
          <w:lang w:val="de-DE"/>
        </w:rPr>
      </w:pPr>
      <w:r w:rsidRPr="00962008">
        <w:rPr>
          <w:lang w:val="de-DE"/>
        </w:rPr>
        <w:tab/>
      </w:r>
      <w:r w:rsidRPr="00962008">
        <w:rPr>
          <w:rStyle w:val="FootnoteReference"/>
          <w:sz w:val="20"/>
          <w:lang w:val="de-DE"/>
        </w:rPr>
        <w:t>**</w:t>
      </w:r>
      <w:r w:rsidRPr="00962008">
        <w:rPr>
          <w:lang w:val="de-DE"/>
        </w:rPr>
        <w:tab/>
      </w:r>
      <w:r w:rsidRPr="00947F64">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EB9" w:rsidRDefault="006B6EB9" w:rsidP="006B6EB9">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CCNR-ZKR/ADN/WP.15/AC.2/201</w:t>
    </w:r>
    <w:r>
      <w:rPr>
        <w:rFonts w:ascii="Arial" w:hAnsi="Arial"/>
        <w:snapToGrid w:val="0"/>
        <w:sz w:val="16"/>
        <w:szCs w:val="16"/>
      </w:rPr>
      <w:t>9</w:t>
    </w:r>
    <w:r w:rsidRPr="008B0EB0">
      <w:rPr>
        <w:rFonts w:ascii="Arial" w:hAnsi="Arial"/>
        <w:snapToGrid w:val="0"/>
        <w:sz w:val="16"/>
        <w:szCs w:val="16"/>
      </w:rPr>
      <w:t>/</w:t>
    </w:r>
    <w:r w:rsidR="00527E86">
      <w:rPr>
        <w:rFonts w:ascii="Arial" w:hAnsi="Arial"/>
        <w:snapToGrid w:val="0"/>
        <w:sz w:val="16"/>
        <w:szCs w:val="16"/>
      </w:rPr>
      <w:t>32</w:t>
    </w:r>
  </w:p>
  <w:p w:rsidR="006B6EB9" w:rsidRDefault="006B6EB9" w:rsidP="0031574B">
    <w:pPr>
      <w:widowControl/>
      <w:suppressAutoHyphens/>
      <w:overflowPunct/>
      <w:autoSpaceDE/>
      <w:autoSpaceDN/>
      <w:adjustRightInd/>
      <w:ind w:left="0" w:firstLine="0"/>
      <w:jc w:val="righ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3</w:t>
    </w:r>
    <w:r w:rsidRPr="008B0EB0">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CCNR-ZKR/ADN/WP.15/AC.2/201</w:t>
    </w:r>
    <w:r w:rsidR="00DD51EA">
      <w:rPr>
        <w:rFonts w:ascii="Arial" w:hAnsi="Arial"/>
        <w:snapToGrid w:val="0"/>
        <w:sz w:val="16"/>
        <w:szCs w:val="16"/>
      </w:rPr>
      <w:t>9</w:t>
    </w:r>
    <w:r w:rsidRPr="008B0EB0">
      <w:rPr>
        <w:rFonts w:ascii="Arial" w:hAnsi="Arial"/>
        <w:snapToGrid w:val="0"/>
        <w:sz w:val="16"/>
        <w:szCs w:val="16"/>
      </w:rPr>
      <w:t>/</w:t>
    </w:r>
    <w:r w:rsidR="00DD51EA">
      <w:rPr>
        <w:rFonts w:ascii="Arial" w:hAnsi="Arial"/>
        <w:snapToGrid w:val="0"/>
        <w:sz w:val="16"/>
        <w:szCs w:val="16"/>
      </w:rPr>
      <w:t>EBU</w:t>
    </w:r>
    <w:r w:rsidR="00F0016D">
      <w:rPr>
        <w:rFonts w:ascii="Arial" w:hAnsi="Arial"/>
        <w:snapToGrid w:val="0"/>
        <w:sz w:val="16"/>
        <w:szCs w:val="16"/>
      </w:rPr>
      <w:t>2</w:t>
    </w:r>
  </w:p>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sidR="00656BC5">
      <w:rPr>
        <w:rFonts w:ascii="Arial" w:hAnsi="Arial"/>
        <w:noProof/>
        <w:snapToGrid w:val="0"/>
        <w:sz w:val="16"/>
        <w:szCs w:val="16"/>
      </w:rPr>
      <w:t>3</w:t>
    </w:r>
    <w:r w:rsidRPr="008B0EB0">
      <w:rPr>
        <w:rFonts w:ascii="Arial" w:hAnsi="Arial"/>
        <w:snapToGrid w:val="0"/>
        <w:sz w:val="16"/>
        <w:szCs w:val="16"/>
      </w:rPr>
      <w:fldChar w:fldCharType="end"/>
    </w:r>
  </w:p>
  <w:p w:rsidR="0045374D" w:rsidRDefault="00453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EB9" w:rsidRDefault="006B6EB9" w:rsidP="006B6EB9">
    <w:pPr>
      <w:widowControl/>
      <w:suppressAutoHyphens/>
      <w:overflowPunct/>
      <w:autoSpaceDE/>
      <w:autoSpaceDN/>
      <w:adjustRightInd/>
      <w:ind w:left="0" w:firstLine="0"/>
      <w:jc w:val="left"/>
      <w:textAlignment w:val="auto"/>
      <w:rPr>
        <w:rFonts w:ascii="Arial" w:hAnsi="Arial"/>
        <w:snapToGrid w:val="0"/>
        <w:sz w:val="16"/>
        <w:szCs w:val="16"/>
      </w:rPr>
    </w:pPr>
    <w:r w:rsidRPr="008B0EB0">
      <w:rPr>
        <w:rFonts w:ascii="Arial" w:hAnsi="Arial"/>
        <w:snapToGrid w:val="0"/>
        <w:sz w:val="16"/>
        <w:szCs w:val="16"/>
      </w:rPr>
      <w:t>CCNR-ZKR/ADN/WP.15/AC.2/201</w:t>
    </w:r>
    <w:r>
      <w:rPr>
        <w:rFonts w:ascii="Arial" w:hAnsi="Arial"/>
        <w:snapToGrid w:val="0"/>
        <w:sz w:val="16"/>
        <w:szCs w:val="16"/>
      </w:rPr>
      <w:t>9</w:t>
    </w:r>
    <w:r w:rsidRPr="008B0EB0">
      <w:rPr>
        <w:rFonts w:ascii="Arial" w:hAnsi="Arial"/>
        <w:snapToGrid w:val="0"/>
        <w:sz w:val="16"/>
        <w:szCs w:val="16"/>
      </w:rPr>
      <w:t>/</w:t>
    </w:r>
    <w:r w:rsidR="00527E86">
      <w:rPr>
        <w:rFonts w:ascii="Arial" w:hAnsi="Arial"/>
        <w:snapToGrid w:val="0"/>
        <w:sz w:val="16"/>
        <w:szCs w:val="16"/>
      </w:rPr>
      <w:t>32</w:t>
    </w:r>
  </w:p>
  <w:p w:rsidR="006B6EB9" w:rsidRDefault="006B6EB9" w:rsidP="006B6EB9">
    <w:pPr>
      <w:widowControl/>
      <w:suppressAutoHyphens/>
      <w:overflowPunct/>
      <w:autoSpaceDE/>
      <w:autoSpaceDN/>
      <w:adjustRightInd/>
      <w:ind w:left="0" w:firstLine="0"/>
      <w:jc w:val="lef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4</w:t>
    </w:r>
    <w:r w:rsidRPr="008B0EB0">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C18"/>
    <w:multiLevelType w:val="hybridMultilevel"/>
    <w:tmpl w:val="902ED494"/>
    <w:lvl w:ilvl="0" w:tplc="A178EEB8">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AE16CD"/>
    <w:multiLevelType w:val="hybridMultilevel"/>
    <w:tmpl w:val="43661D0E"/>
    <w:lvl w:ilvl="0" w:tplc="DC0A19EE">
      <w:start w:val="1"/>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2B"/>
    <w:rsid w:val="0001208F"/>
    <w:rsid w:val="0001303F"/>
    <w:rsid w:val="00016A8D"/>
    <w:rsid w:val="0009215A"/>
    <w:rsid w:val="000A4916"/>
    <w:rsid w:val="000C6E63"/>
    <w:rsid w:val="000D4763"/>
    <w:rsid w:val="001114F6"/>
    <w:rsid w:val="00141B2B"/>
    <w:rsid w:val="0018613F"/>
    <w:rsid w:val="001C2E25"/>
    <w:rsid w:val="001D3451"/>
    <w:rsid w:val="001F2E91"/>
    <w:rsid w:val="001F48FB"/>
    <w:rsid w:val="002078D7"/>
    <w:rsid w:val="00226734"/>
    <w:rsid w:val="00231A2D"/>
    <w:rsid w:val="00277B5F"/>
    <w:rsid w:val="002C1A2D"/>
    <w:rsid w:val="002F369B"/>
    <w:rsid w:val="0031574B"/>
    <w:rsid w:val="0036481D"/>
    <w:rsid w:val="00365EA4"/>
    <w:rsid w:val="00367CDF"/>
    <w:rsid w:val="00386F16"/>
    <w:rsid w:val="003A00B6"/>
    <w:rsid w:val="003B19D5"/>
    <w:rsid w:val="003B2631"/>
    <w:rsid w:val="003C0B9A"/>
    <w:rsid w:val="00432F4D"/>
    <w:rsid w:val="004336F6"/>
    <w:rsid w:val="00437C39"/>
    <w:rsid w:val="004412EC"/>
    <w:rsid w:val="00441383"/>
    <w:rsid w:val="0045374D"/>
    <w:rsid w:val="00460567"/>
    <w:rsid w:val="004855AB"/>
    <w:rsid w:val="004A6242"/>
    <w:rsid w:val="004E30A0"/>
    <w:rsid w:val="004E74C0"/>
    <w:rsid w:val="004F0992"/>
    <w:rsid w:val="00505C06"/>
    <w:rsid w:val="00527E86"/>
    <w:rsid w:val="005379D0"/>
    <w:rsid w:val="005455B7"/>
    <w:rsid w:val="00591A7D"/>
    <w:rsid w:val="005B1996"/>
    <w:rsid w:val="006038DC"/>
    <w:rsid w:val="00616CA8"/>
    <w:rsid w:val="006263D8"/>
    <w:rsid w:val="00633F2B"/>
    <w:rsid w:val="006350C8"/>
    <w:rsid w:val="00643AEA"/>
    <w:rsid w:val="00653254"/>
    <w:rsid w:val="00656BC5"/>
    <w:rsid w:val="006629B7"/>
    <w:rsid w:val="0068798B"/>
    <w:rsid w:val="00694147"/>
    <w:rsid w:val="006B6EB9"/>
    <w:rsid w:val="00751575"/>
    <w:rsid w:val="00771690"/>
    <w:rsid w:val="007B2275"/>
    <w:rsid w:val="007B712A"/>
    <w:rsid w:val="007E310E"/>
    <w:rsid w:val="008937CE"/>
    <w:rsid w:val="008975D9"/>
    <w:rsid w:val="008C0213"/>
    <w:rsid w:val="008C68B2"/>
    <w:rsid w:val="008F17F6"/>
    <w:rsid w:val="008F4811"/>
    <w:rsid w:val="0091229B"/>
    <w:rsid w:val="00962008"/>
    <w:rsid w:val="009C78DD"/>
    <w:rsid w:val="009D26E7"/>
    <w:rsid w:val="009F152D"/>
    <w:rsid w:val="009F3523"/>
    <w:rsid w:val="00A05BD9"/>
    <w:rsid w:val="00A11868"/>
    <w:rsid w:val="00A15119"/>
    <w:rsid w:val="00A2238A"/>
    <w:rsid w:val="00A73BF7"/>
    <w:rsid w:val="00A84F00"/>
    <w:rsid w:val="00AC2BD5"/>
    <w:rsid w:val="00AC52D6"/>
    <w:rsid w:val="00AD7465"/>
    <w:rsid w:val="00AF7617"/>
    <w:rsid w:val="00B4533C"/>
    <w:rsid w:val="00BA5717"/>
    <w:rsid w:val="00BC637B"/>
    <w:rsid w:val="00C12225"/>
    <w:rsid w:val="00C25D17"/>
    <w:rsid w:val="00CA7961"/>
    <w:rsid w:val="00CC0ED1"/>
    <w:rsid w:val="00CE73AD"/>
    <w:rsid w:val="00CF2E32"/>
    <w:rsid w:val="00D15368"/>
    <w:rsid w:val="00D203D4"/>
    <w:rsid w:val="00D464FB"/>
    <w:rsid w:val="00DB57E7"/>
    <w:rsid w:val="00DD187B"/>
    <w:rsid w:val="00DD51EA"/>
    <w:rsid w:val="00DD7871"/>
    <w:rsid w:val="00DF190F"/>
    <w:rsid w:val="00E21F6D"/>
    <w:rsid w:val="00E302A2"/>
    <w:rsid w:val="00EA330D"/>
    <w:rsid w:val="00ED557F"/>
    <w:rsid w:val="00ED5817"/>
    <w:rsid w:val="00F0016D"/>
    <w:rsid w:val="00FD1EEA"/>
    <w:rsid w:val="00FF06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1B1DC995-4EBD-4690-8EAA-2A8EB47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 w:type="table" w:styleId="TableGrid">
    <w:name w:val="Table Grid"/>
    <w:basedOn w:val="TableNormal"/>
    <w:uiPriority w:val="39"/>
    <w:rsid w:val="006B6E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1B3F-60C6-4819-8711-76CD5B7A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7108</Characters>
  <Application>Microsoft Office Word</Application>
  <DocSecurity>4</DocSecurity>
  <Lines>59</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2019-06-17T13:43:00Z</cp:lastPrinted>
  <dcterms:created xsi:type="dcterms:W3CDTF">2019-06-18T11:25:00Z</dcterms:created>
  <dcterms:modified xsi:type="dcterms:W3CDTF">2019-06-18T11:25:00Z</dcterms:modified>
</cp:coreProperties>
</file>