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FA72F4" w:rsidP="00FA72F4">
            <w:pPr>
              <w:jc w:val="right"/>
            </w:pPr>
            <w:r w:rsidRPr="00FA72F4">
              <w:rPr>
                <w:sz w:val="40"/>
              </w:rPr>
              <w:t>ECE</w:t>
            </w:r>
            <w:r>
              <w:t>/TRANS/WP.15/AC.1/2019/34</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FD4924" w:rsidRDefault="00FD4924" w:rsidP="00FD4924">
            <w:pPr>
              <w:spacing w:before="240" w:line="240" w:lineRule="exact"/>
            </w:pPr>
            <w:r>
              <w:t>Distr.: General</w:t>
            </w:r>
          </w:p>
          <w:p w:rsidR="00FD4924" w:rsidRDefault="00FD4924" w:rsidP="00FD4924">
            <w:pPr>
              <w:spacing w:line="240" w:lineRule="exact"/>
            </w:pPr>
            <w:r>
              <w:t>19 June 2019</w:t>
            </w:r>
          </w:p>
          <w:p w:rsidR="00FD4924" w:rsidRDefault="00FD4924" w:rsidP="00FD4924">
            <w:pPr>
              <w:spacing w:line="240" w:lineRule="exact"/>
            </w:pPr>
          </w:p>
          <w:p w:rsidR="00FA72F4" w:rsidRDefault="00FD4924" w:rsidP="00FD4924">
            <w:pPr>
              <w:spacing w:line="240" w:lineRule="exact"/>
            </w:pPr>
            <w:r>
              <w:t>Original: English</w:t>
            </w:r>
          </w:p>
        </w:tc>
      </w:tr>
    </w:tbl>
    <w:p w:rsidR="00FA72F4" w:rsidRPr="00960236" w:rsidRDefault="00FA72F4" w:rsidP="00C411EB">
      <w:pPr>
        <w:spacing w:before="120"/>
        <w:rPr>
          <w:b/>
          <w:sz w:val="28"/>
          <w:szCs w:val="28"/>
        </w:rPr>
      </w:pPr>
      <w:r w:rsidRPr="00960236">
        <w:rPr>
          <w:b/>
          <w:sz w:val="28"/>
          <w:szCs w:val="28"/>
        </w:rPr>
        <w:t>Economic Commission for Europe</w:t>
      </w:r>
    </w:p>
    <w:p w:rsidR="00FA72F4" w:rsidRPr="00960236" w:rsidRDefault="00FA72F4" w:rsidP="00C411EB">
      <w:pPr>
        <w:spacing w:before="120"/>
        <w:rPr>
          <w:sz w:val="28"/>
          <w:szCs w:val="28"/>
        </w:rPr>
      </w:pPr>
      <w:r w:rsidRPr="00960236">
        <w:rPr>
          <w:sz w:val="28"/>
          <w:szCs w:val="28"/>
        </w:rPr>
        <w:t>Inland Transport Committee</w:t>
      </w:r>
    </w:p>
    <w:p w:rsidR="00FA72F4" w:rsidRPr="00960236" w:rsidRDefault="00FA72F4" w:rsidP="00C411EB">
      <w:pPr>
        <w:spacing w:before="120"/>
        <w:rPr>
          <w:b/>
          <w:sz w:val="24"/>
          <w:szCs w:val="24"/>
        </w:rPr>
      </w:pPr>
      <w:r w:rsidRPr="00960236">
        <w:rPr>
          <w:b/>
          <w:sz w:val="24"/>
          <w:szCs w:val="24"/>
        </w:rPr>
        <w:t>Working Party on the Transport of Dangerous Goods</w:t>
      </w:r>
    </w:p>
    <w:p w:rsidR="00FA72F4" w:rsidRPr="00960236" w:rsidRDefault="00FA72F4" w:rsidP="00C411EB">
      <w:pPr>
        <w:spacing w:before="120"/>
        <w:rPr>
          <w:b/>
        </w:rPr>
      </w:pPr>
      <w:r w:rsidRPr="00960236">
        <w:rPr>
          <w:b/>
        </w:rPr>
        <w:t>Joint Meeting of the RID Committee of Experts and the</w:t>
      </w:r>
      <w:r>
        <w:rPr>
          <w:b/>
        </w:rPr>
        <w:br/>
      </w:r>
      <w:r w:rsidRPr="00960236">
        <w:rPr>
          <w:b/>
        </w:rPr>
        <w:t>Working Party on the Transport of Dangerous Goods</w:t>
      </w:r>
    </w:p>
    <w:p w:rsidR="00FA72F4" w:rsidRPr="00BD699D" w:rsidRDefault="00FA72F4" w:rsidP="00FA72F4">
      <w:pPr>
        <w:spacing w:line="276" w:lineRule="auto"/>
      </w:pPr>
      <w:r w:rsidRPr="00BD699D">
        <w:t>Geneva, 17-27 September 2019</w:t>
      </w:r>
    </w:p>
    <w:p w:rsidR="00FA72F4" w:rsidRPr="00567AAE" w:rsidRDefault="00FA72F4" w:rsidP="00FA72F4">
      <w:pPr>
        <w:spacing w:line="276" w:lineRule="auto"/>
      </w:pPr>
      <w:r w:rsidRPr="00BD699D">
        <w:t>Item 7 of the provisional agenda</w:t>
      </w:r>
    </w:p>
    <w:p w:rsidR="00FA72F4" w:rsidRPr="00567AAE" w:rsidRDefault="00FA72F4" w:rsidP="00FA72F4">
      <w:pPr>
        <w:spacing w:line="276" w:lineRule="auto"/>
        <w:rPr>
          <w:b/>
          <w:bCs/>
        </w:rPr>
      </w:pPr>
      <w:r w:rsidRPr="00567AAE">
        <w:rPr>
          <w:b/>
          <w:bCs/>
        </w:rPr>
        <w:t>Reports of informal working groups</w:t>
      </w:r>
    </w:p>
    <w:p w:rsidR="00FA72F4" w:rsidRPr="00567AAE" w:rsidRDefault="00FA72F4" w:rsidP="00FA72F4">
      <w:pPr>
        <w:pStyle w:val="HChG"/>
        <w:spacing w:line="276" w:lineRule="auto"/>
        <w:rPr>
          <w:color w:val="000000"/>
        </w:rPr>
      </w:pPr>
      <w:r w:rsidRPr="00567AAE">
        <w:tab/>
      </w:r>
      <w:r w:rsidRPr="00567AAE">
        <w:tab/>
      </w:r>
      <w:r w:rsidRPr="00567AAE">
        <w:rPr>
          <w:color w:val="000000"/>
        </w:rPr>
        <w:t>Informal working group on the transport of hazardous waste: meeting in Brussels</w:t>
      </w:r>
      <w:r w:rsidR="00FD4924">
        <w:rPr>
          <w:color w:val="000000"/>
        </w:rPr>
        <w:t xml:space="preserve"> </w:t>
      </w:r>
      <w:r w:rsidRPr="00567AAE">
        <w:rPr>
          <w:color w:val="000000"/>
        </w:rPr>
        <w:t>(02 to 03 April 2019)</w:t>
      </w:r>
    </w:p>
    <w:p w:rsidR="00FA72F4" w:rsidRDefault="00FA72F4" w:rsidP="00FD4924">
      <w:pPr>
        <w:pStyle w:val="H1G"/>
        <w:rPr>
          <w:szCs w:val="24"/>
          <w:lang w:eastAsia="zh-CN"/>
        </w:rPr>
      </w:pPr>
      <w:r w:rsidRPr="00567AAE">
        <w:tab/>
      </w:r>
      <w:r w:rsidRPr="00567AAE">
        <w:tab/>
      </w:r>
      <w:r w:rsidR="00FD4924">
        <w:t>Transmitted by European Federation of Waste Management and Environmental Services (FEAD</w:t>
      </w:r>
      <w:r w:rsidR="00FD4924" w:rsidRPr="00FD4924">
        <w:t>)</w:t>
      </w:r>
      <w:r w:rsidRPr="00FD4924">
        <w:t xml:space="preserve"> on behalf of the informal working group on the transport of hazardous waste</w:t>
      </w:r>
      <w:r w:rsidRPr="00514ABC">
        <w:rPr>
          <w:rStyle w:val="FootnoteReference"/>
          <w:sz w:val="20"/>
        </w:rPr>
        <w:footnoteReference w:customMarkFollows="1" w:id="2"/>
        <w:t>*</w:t>
      </w:r>
      <w:r w:rsidRPr="00514ABC">
        <w:rPr>
          <w:vertAlign w:val="superscript"/>
        </w:rPr>
        <w:t xml:space="preserve">, </w:t>
      </w:r>
      <w:r w:rsidRPr="00514ABC">
        <w:rPr>
          <w:rStyle w:val="FootnoteReference"/>
          <w:sz w:val="20"/>
        </w:rPr>
        <w:footnoteReference w:customMarkFollows="1" w:id="3"/>
        <w:t>**</w:t>
      </w:r>
      <w:r>
        <w:rPr>
          <w:szCs w:val="24"/>
          <w:lang w:eastAsia="zh-CN"/>
        </w:rPr>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FA72F4" w:rsidRPr="00567AAE" w:rsidTr="00FA72F4">
        <w:trPr>
          <w:jc w:val="center"/>
        </w:trPr>
        <w:tc>
          <w:tcPr>
            <w:tcW w:w="9629" w:type="dxa"/>
            <w:shd w:val="clear" w:color="auto" w:fill="auto"/>
          </w:tcPr>
          <w:p w:rsidR="00FA72F4" w:rsidRPr="00567AAE" w:rsidRDefault="00FA72F4" w:rsidP="0028058B">
            <w:pPr>
              <w:spacing w:before="240" w:after="120" w:line="276" w:lineRule="auto"/>
              <w:ind w:left="255"/>
              <w:rPr>
                <w:i/>
                <w:sz w:val="24"/>
              </w:rPr>
            </w:pPr>
            <w:r w:rsidRPr="00567AAE">
              <w:rPr>
                <w:i/>
                <w:sz w:val="24"/>
              </w:rPr>
              <w:t>Summary</w:t>
            </w:r>
          </w:p>
        </w:tc>
      </w:tr>
      <w:tr w:rsidR="00FA72F4" w:rsidRPr="00567AAE" w:rsidTr="00FA72F4">
        <w:trPr>
          <w:jc w:val="center"/>
        </w:trPr>
        <w:tc>
          <w:tcPr>
            <w:tcW w:w="9629" w:type="dxa"/>
            <w:shd w:val="clear" w:color="auto" w:fill="auto"/>
          </w:tcPr>
          <w:p w:rsidR="00FA72F4" w:rsidRPr="00567AAE" w:rsidRDefault="00FA72F4" w:rsidP="0028058B">
            <w:pPr>
              <w:pStyle w:val="SingleTxtG"/>
              <w:spacing w:line="276" w:lineRule="auto"/>
            </w:pPr>
            <w:r w:rsidRPr="00567AAE">
              <w:rPr>
                <w:b/>
                <w:bCs/>
                <w:color w:val="000000"/>
              </w:rPr>
              <w:t>Executive summary</w:t>
            </w:r>
            <w:r w:rsidRPr="00567AAE">
              <w:rPr>
                <w:color w:val="000000"/>
              </w:rPr>
              <w:t>:</w:t>
            </w:r>
            <w:r w:rsidRPr="00567AAE">
              <w:rPr>
                <w:color w:val="000000"/>
              </w:rPr>
              <w:tab/>
              <w:t xml:space="preserve">Information for the Joint Meeting on </w:t>
            </w:r>
            <w:r w:rsidR="006447FD">
              <w:rPr>
                <w:color w:val="000000"/>
              </w:rPr>
              <w:t xml:space="preserve">the </w:t>
            </w:r>
            <w:r w:rsidRPr="00567AAE">
              <w:rPr>
                <w:color w:val="000000"/>
              </w:rPr>
              <w:t xml:space="preserve">work progress </w:t>
            </w:r>
            <w:r w:rsidRPr="00567AAE">
              <w:rPr>
                <w:color w:val="000000"/>
              </w:rPr>
              <w:tab/>
            </w:r>
            <w:r w:rsidRPr="00567AAE">
              <w:rPr>
                <w:color w:val="000000"/>
              </w:rPr>
              <w:tab/>
            </w:r>
            <w:r w:rsidRPr="00567AAE">
              <w:rPr>
                <w:color w:val="000000"/>
              </w:rPr>
              <w:tab/>
            </w:r>
            <w:r w:rsidRPr="00567AAE">
              <w:rPr>
                <w:color w:val="000000"/>
              </w:rPr>
              <w:tab/>
            </w:r>
            <w:r w:rsidRPr="00567AAE">
              <w:rPr>
                <w:color w:val="000000"/>
              </w:rPr>
              <w:tab/>
            </w:r>
            <w:r w:rsidRPr="00567AAE">
              <w:rPr>
                <w:color w:val="000000"/>
              </w:rPr>
              <w:tab/>
              <w:t>concerning the transport of hazardous waste</w:t>
            </w:r>
          </w:p>
        </w:tc>
      </w:tr>
      <w:tr w:rsidR="00FA72F4" w:rsidRPr="00567AAE" w:rsidTr="00FA72F4">
        <w:trPr>
          <w:jc w:val="center"/>
        </w:trPr>
        <w:tc>
          <w:tcPr>
            <w:tcW w:w="9629" w:type="dxa"/>
            <w:shd w:val="clear" w:color="auto" w:fill="auto"/>
          </w:tcPr>
          <w:p w:rsidR="00FA72F4" w:rsidRPr="00567AAE" w:rsidRDefault="00FA72F4" w:rsidP="0028058B">
            <w:pPr>
              <w:spacing w:line="276" w:lineRule="auto"/>
            </w:pPr>
          </w:p>
        </w:tc>
      </w:tr>
    </w:tbl>
    <w:p w:rsidR="00FA72F4" w:rsidRPr="00647D49" w:rsidRDefault="00FA72F4" w:rsidP="00FA72F4">
      <w:pPr>
        <w:suppressAutoHyphens w:val="0"/>
        <w:spacing w:before="240" w:after="240" w:line="276" w:lineRule="auto"/>
        <w:ind w:right="1134" w:firstLine="567"/>
        <w:rPr>
          <w:b/>
          <w:bCs/>
          <w:sz w:val="28"/>
          <w:szCs w:val="28"/>
        </w:rPr>
      </w:pPr>
      <w:r>
        <w:rPr>
          <w:b/>
          <w:bCs/>
          <w:color w:val="000000"/>
          <w:sz w:val="28"/>
          <w:szCs w:val="28"/>
        </w:rPr>
        <w:tab/>
      </w:r>
      <w:r w:rsidRPr="00647D49">
        <w:rPr>
          <w:b/>
          <w:bCs/>
          <w:color w:val="000000"/>
          <w:sz w:val="28"/>
          <w:szCs w:val="28"/>
        </w:rPr>
        <w:t>Introduction</w:t>
      </w:r>
    </w:p>
    <w:p w:rsidR="00FA72F4" w:rsidRPr="00FA72F4" w:rsidRDefault="00FA72F4" w:rsidP="007738BE">
      <w:pPr>
        <w:pStyle w:val="SingleTxtG"/>
        <w:spacing w:before="120"/>
      </w:pPr>
      <w:r>
        <w:t>1.</w:t>
      </w:r>
      <w:r>
        <w:tab/>
      </w:r>
      <w:r w:rsidRPr="00FA72F4">
        <w:t>As specified in paragraph 62 of the report from the last session of the Joint Meeting (ECE/TRANS/WP.15/AC.1/152), there was general support for the establishment of an informal working group led by FEAD.</w:t>
      </w:r>
    </w:p>
    <w:p w:rsidR="00FA72F4" w:rsidRPr="00FA72F4" w:rsidRDefault="00FA72F4" w:rsidP="007738BE">
      <w:pPr>
        <w:pStyle w:val="SingleTxtG"/>
        <w:spacing w:before="120"/>
      </w:pPr>
      <w:r>
        <w:t>2.</w:t>
      </w:r>
      <w:r>
        <w:tab/>
      </w:r>
      <w:proofErr w:type="gramStart"/>
      <w:r w:rsidRPr="00FA72F4">
        <w:t>In order to</w:t>
      </w:r>
      <w:proofErr w:type="gramEnd"/>
      <w:r w:rsidRPr="00FA72F4">
        <w:t xml:space="preserve"> prepare the informal working group, the Joint Meeting requested the representative of FEAD to prepare a list of issues, including a description of the legal and factual situation in each case, that needed to be addressed and to be circulated for comments by all those who expressed interest in participating in the working group. FEAD thus prepared and circulated the list of comments regarding the transport of hazardous waste for consideration by the informal group on the transport of hazardous waste. This list of issues was accompanied by a working document including a summary of provisions of the ADR, a list of multilateral agreements and national derogations concerning the transport of hazardous </w:t>
      </w:r>
      <w:r w:rsidRPr="00FA72F4">
        <w:lastRenderedPageBreak/>
        <w:t>waste. All relevant ADR documents may be found on the “Legislation” page of the FEAD website.</w:t>
      </w:r>
    </w:p>
    <w:p w:rsidR="00FA72F4" w:rsidRPr="00FA72F4" w:rsidRDefault="00FA72F4" w:rsidP="007738BE">
      <w:pPr>
        <w:pStyle w:val="SingleTxtG"/>
        <w:spacing w:before="120"/>
      </w:pPr>
      <w:r>
        <w:t>3.</w:t>
      </w:r>
      <w:r>
        <w:tab/>
      </w:r>
      <w:r w:rsidRPr="00FA72F4">
        <w:t xml:space="preserve">The informal working group took place in Brussels from 2nd to 3rd April 2019. National delegates and FEAD representatives attended: </w:t>
      </w:r>
    </w:p>
    <w:p w:rsidR="00FA72F4" w:rsidRPr="00FA72F4" w:rsidRDefault="00FA72F4" w:rsidP="007738BE">
      <w:pPr>
        <w:pStyle w:val="SingleTxtG"/>
        <w:spacing w:before="120"/>
      </w:pPr>
      <w:r w:rsidRPr="00FA72F4">
        <w:t xml:space="preserve">National Delegates: Jan Van der </w:t>
      </w:r>
      <w:proofErr w:type="spellStart"/>
      <w:r w:rsidRPr="00FA72F4">
        <w:t>Heyden</w:t>
      </w:r>
      <w:proofErr w:type="spellEnd"/>
      <w:r w:rsidRPr="00FA72F4">
        <w:t xml:space="preserve"> (Belgium), Roel Noe (Belgium), François </w:t>
      </w:r>
      <w:proofErr w:type="spellStart"/>
      <w:r w:rsidRPr="00FA72F4">
        <w:t>Pondant</w:t>
      </w:r>
      <w:proofErr w:type="spellEnd"/>
      <w:r w:rsidRPr="00FA72F4">
        <w:t xml:space="preserve"> (Belgium), Charlotte </w:t>
      </w:r>
      <w:proofErr w:type="spellStart"/>
      <w:r w:rsidRPr="00FA72F4">
        <w:t>Kryger</w:t>
      </w:r>
      <w:proofErr w:type="spellEnd"/>
      <w:r w:rsidRPr="00FA72F4">
        <w:t xml:space="preserve"> Andersen (Denmark), </w:t>
      </w:r>
      <w:proofErr w:type="spellStart"/>
      <w:r w:rsidRPr="00FA72F4">
        <w:t>Maiken</w:t>
      </w:r>
      <w:proofErr w:type="spellEnd"/>
      <w:r w:rsidRPr="00FA72F4">
        <w:t xml:space="preserve"> Strange (Denmark), Anu </w:t>
      </w:r>
      <w:proofErr w:type="spellStart"/>
      <w:r w:rsidRPr="00FA72F4">
        <w:t>Häkinnen</w:t>
      </w:r>
      <w:proofErr w:type="spellEnd"/>
      <w:r w:rsidRPr="00FA72F4">
        <w:tab/>
        <w:t xml:space="preserve">(Finland), Claude </w:t>
      </w:r>
      <w:proofErr w:type="spellStart"/>
      <w:r w:rsidRPr="00FA72F4">
        <w:t>Pfauvadel</w:t>
      </w:r>
      <w:proofErr w:type="spellEnd"/>
      <w:r w:rsidRPr="00FA72F4">
        <w:tab/>
        <w:t xml:space="preserve"> (France), Jean-Michel </w:t>
      </w:r>
      <w:proofErr w:type="spellStart"/>
      <w:r w:rsidRPr="00FA72F4">
        <w:t>Piquion</w:t>
      </w:r>
      <w:proofErr w:type="spellEnd"/>
      <w:r w:rsidRPr="00FA72F4">
        <w:t xml:space="preserve"> (France), </w:t>
      </w:r>
      <w:proofErr w:type="spellStart"/>
      <w:r w:rsidRPr="00FA72F4">
        <w:t>Yvone</w:t>
      </w:r>
      <w:proofErr w:type="spellEnd"/>
      <w:r w:rsidRPr="00FA72F4">
        <w:t xml:space="preserve"> </w:t>
      </w:r>
      <w:proofErr w:type="spellStart"/>
      <w:r w:rsidRPr="00FA72F4">
        <w:t>Adebahr</w:t>
      </w:r>
      <w:proofErr w:type="spellEnd"/>
      <w:r w:rsidRPr="00FA72F4">
        <w:t xml:space="preserve"> (Germany), Michael Baier (Germany), David </w:t>
      </w:r>
      <w:proofErr w:type="spellStart"/>
      <w:r w:rsidRPr="00FA72F4">
        <w:t>Gilabert</w:t>
      </w:r>
      <w:proofErr w:type="spellEnd"/>
      <w:r w:rsidRPr="00FA72F4">
        <w:t xml:space="preserve"> (Switzerland), </w:t>
      </w:r>
      <w:proofErr w:type="spellStart"/>
      <w:r w:rsidRPr="00FA72F4">
        <w:t>Soedesh</w:t>
      </w:r>
      <w:proofErr w:type="spellEnd"/>
      <w:r w:rsidRPr="00FA72F4">
        <w:t xml:space="preserve"> Mahesh (The Netherlands)</w:t>
      </w:r>
    </w:p>
    <w:p w:rsidR="00FA72F4" w:rsidRPr="00FA72F4" w:rsidRDefault="00FA72F4" w:rsidP="007738BE">
      <w:pPr>
        <w:pStyle w:val="SingleTxtG"/>
        <w:spacing w:before="120"/>
      </w:pPr>
      <w:r w:rsidRPr="00FA72F4">
        <w:t xml:space="preserve">FEAD Representatives: Damien </w:t>
      </w:r>
      <w:proofErr w:type="spellStart"/>
      <w:r w:rsidRPr="00FA72F4">
        <w:t>Rambault</w:t>
      </w:r>
      <w:proofErr w:type="spellEnd"/>
      <w:r w:rsidRPr="00FA72F4">
        <w:t xml:space="preserve"> (France) &amp; Baudouin Ska (Belgium) Co-Chairs of the Informal Working Group, Jan </w:t>
      </w:r>
      <w:proofErr w:type="spellStart"/>
      <w:r w:rsidRPr="00FA72F4">
        <w:t>Goedhart</w:t>
      </w:r>
      <w:proofErr w:type="spellEnd"/>
      <w:r w:rsidRPr="00FA72F4">
        <w:t xml:space="preserve"> (The Netherlands) FEAD ADR Expert, Roland </w:t>
      </w:r>
      <w:proofErr w:type="spellStart"/>
      <w:r w:rsidRPr="00FA72F4">
        <w:t>Schueler</w:t>
      </w:r>
      <w:proofErr w:type="spellEnd"/>
      <w:r w:rsidRPr="00FA72F4">
        <w:t xml:space="preserve"> (Germany) FEAD ADR Expert, Willy Van </w:t>
      </w:r>
      <w:proofErr w:type="spellStart"/>
      <w:r w:rsidRPr="00FA72F4">
        <w:t>Praet</w:t>
      </w:r>
      <w:proofErr w:type="spellEnd"/>
      <w:r w:rsidRPr="00FA72F4">
        <w:t xml:space="preserve"> (Belgium) FEAD ADR Expert, Aurore </w:t>
      </w:r>
      <w:proofErr w:type="spellStart"/>
      <w:r w:rsidRPr="00FA72F4">
        <w:t>Mourette</w:t>
      </w:r>
      <w:proofErr w:type="spellEnd"/>
      <w:r w:rsidRPr="00FA72F4">
        <w:t xml:space="preserve"> FEAD Secretariat, Jonathan </w:t>
      </w:r>
      <w:proofErr w:type="spellStart"/>
      <w:r w:rsidRPr="00FA72F4">
        <w:t>Lannin</w:t>
      </w:r>
      <w:proofErr w:type="spellEnd"/>
      <w:r w:rsidRPr="00FA72F4">
        <w:t xml:space="preserve"> FEAD Secretariat, Marcus Holt FEAD Secretariat</w:t>
      </w:r>
    </w:p>
    <w:p w:rsidR="00FA72F4" w:rsidRPr="00FA72F4" w:rsidRDefault="00FA72F4" w:rsidP="007738BE">
      <w:pPr>
        <w:pStyle w:val="SingleTxtG"/>
        <w:spacing w:before="120"/>
      </w:pPr>
      <w:r>
        <w:t>4.</w:t>
      </w:r>
      <w:r>
        <w:tab/>
      </w:r>
      <w:r w:rsidRPr="00FA72F4">
        <w:t>During the meeting of the informal working group on the transport of hazardous waste, relevant national derogations were presented by the national representatives. Following discussion, each individual issue was either selected or not selected for further discussion at the forthcoming RID/ADR/ADN Joint Meeting.</w:t>
      </w:r>
    </w:p>
    <w:p w:rsidR="00FA72F4" w:rsidRPr="00FA72F4" w:rsidRDefault="00FA72F4" w:rsidP="007738BE">
      <w:pPr>
        <w:pStyle w:val="SingleTxtG"/>
        <w:spacing w:before="120"/>
      </w:pPr>
      <w:r>
        <w:t>5.</w:t>
      </w:r>
      <w:r>
        <w:tab/>
      </w:r>
      <w:r w:rsidRPr="00FA72F4">
        <w:t>This document compiles all comments expressed during the Informal Working Group on the Transport of Hazardous Waste, allowing the Joint Meeting to consider the most appropriate way to deal with them.</w:t>
      </w:r>
    </w:p>
    <w:p w:rsidR="00FA72F4" w:rsidRPr="00FA72F4" w:rsidRDefault="00FA72F4" w:rsidP="007738BE">
      <w:pPr>
        <w:pStyle w:val="SingleTxtG"/>
        <w:spacing w:before="120"/>
      </w:pPr>
      <w:r>
        <w:t>6.</w:t>
      </w:r>
      <w:r>
        <w:tab/>
      </w:r>
      <w:r w:rsidRPr="00FA72F4">
        <w:t>For each listed issue, the Joint Meeting should decide whether the issue is still selected or not selected. In case of selection, the following actions can be suggested:</w:t>
      </w:r>
    </w:p>
    <w:p w:rsidR="00FA72F4" w:rsidRPr="00FA72F4" w:rsidRDefault="00FA72F4" w:rsidP="00FA72F4">
      <w:pPr>
        <w:pStyle w:val="SingleTxtG"/>
      </w:pPr>
      <w:r>
        <w:tab/>
      </w:r>
      <w:r>
        <w:tab/>
        <w:t>(a)</w:t>
      </w:r>
      <w:r>
        <w:tab/>
      </w:r>
      <w:r w:rsidRPr="00FA72F4">
        <w:t>Proposal during the meeting;</w:t>
      </w:r>
    </w:p>
    <w:p w:rsidR="00FA72F4" w:rsidRPr="00FA72F4" w:rsidRDefault="00FA72F4" w:rsidP="00FA72F4">
      <w:pPr>
        <w:pStyle w:val="SingleTxtG"/>
      </w:pPr>
      <w:r>
        <w:tab/>
      </w:r>
      <w:r>
        <w:tab/>
        <w:t>(b)</w:t>
      </w:r>
      <w:r>
        <w:tab/>
      </w:r>
      <w:r w:rsidRPr="00FA72F4">
        <w:t>A given country asked to formulate a proposal;</w:t>
      </w:r>
    </w:p>
    <w:p w:rsidR="00FA72F4" w:rsidRPr="00FA72F4" w:rsidRDefault="00FA72F4" w:rsidP="00FA72F4">
      <w:pPr>
        <w:pStyle w:val="SingleTxtG"/>
      </w:pPr>
      <w:r>
        <w:tab/>
      </w:r>
      <w:r>
        <w:tab/>
        <w:t>(c)</w:t>
      </w:r>
      <w:r>
        <w:tab/>
      </w:r>
      <w:r w:rsidRPr="00FA72F4">
        <w:t>FEAD asked to formulate a proposal;</w:t>
      </w:r>
    </w:p>
    <w:p w:rsidR="00FA72F4" w:rsidRPr="00FA72F4" w:rsidRDefault="00FA72F4" w:rsidP="00FA72F4">
      <w:pPr>
        <w:pStyle w:val="SingleTxtG"/>
      </w:pPr>
      <w:r>
        <w:tab/>
      </w:r>
      <w:r>
        <w:tab/>
        <w:t>(d)</w:t>
      </w:r>
      <w:r>
        <w:tab/>
      </w:r>
      <w:r w:rsidRPr="00FA72F4">
        <w:t>Further investigation in an additional Informal Working Group required.</w:t>
      </w:r>
    </w:p>
    <w:p w:rsidR="00FA72F4" w:rsidRPr="002746C2" w:rsidRDefault="00FA72F4" w:rsidP="00FA72F4">
      <w:pPr>
        <w:pStyle w:val="HChG"/>
      </w:pPr>
      <w:r>
        <w:tab/>
      </w:r>
      <w:r>
        <w:tab/>
      </w:r>
      <w:r w:rsidRPr="00316CAD">
        <w:t>Proposed list of ADR Issues concerning the Transport of Hazardous Waste</w:t>
      </w:r>
    </w:p>
    <w:p w:rsidR="00FA72F4" w:rsidRPr="007A69FA" w:rsidRDefault="00FA72F4" w:rsidP="003931FC">
      <w:pPr>
        <w:pStyle w:val="H1G"/>
      </w:pPr>
      <w:r>
        <w:tab/>
      </w:r>
      <w:r>
        <w:tab/>
      </w:r>
      <w:r w:rsidRPr="007A69FA">
        <w:t>Introduction</w:t>
      </w:r>
    </w:p>
    <w:p w:rsidR="00FA72F4" w:rsidRPr="00FA72F4" w:rsidRDefault="00FA72F4" w:rsidP="00FA72F4">
      <w:pPr>
        <w:pStyle w:val="SingleTxtG"/>
      </w:pPr>
      <w:r>
        <w:t>1.</w:t>
      </w:r>
      <w:r>
        <w:tab/>
      </w:r>
      <w:r w:rsidRPr="00FA72F4">
        <w:t xml:space="preserve">Over more than fifteen years, efforts have been made to integrate waste into the ADR. Despite this, problems as listed hereafter remain in the ADR, particularly regarding waste transport from end-users to sorting plants, highlighted by the entry into force of the </w:t>
      </w:r>
      <w:r w:rsidR="003931FC">
        <w:t>Classification, Labelling and Packaging (</w:t>
      </w:r>
      <w:r w:rsidRPr="00FA72F4">
        <w:t>CLP</w:t>
      </w:r>
      <w:r w:rsidR="003931FC">
        <w:t>)</w:t>
      </w:r>
      <w:r w:rsidRPr="00FA72F4">
        <w:t xml:space="preserve"> Regulation:</w:t>
      </w:r>
    </w:p>
    <w:p w:rsidR="00FA72F4" w:rsidRPr="00FA72F4" w:rsidRDefault="00FA72F4" w:rsidP="00FA72F4">
      <w:pPr>
        <w:pStyle w:val="SingleTxtG"/>
      </w:pPr>
      <w:r>
        <w:tab/>
      </w:r>
      <w:r>
        <w:tab/>
        <w:t>(a)</w:t>
      </w:r>
      <w:r>
        <w:tab/>
      </w:r>
      <w:r w:rsidRPr="00FA72F4">
        <w:t>Correct enforcement of the ADR;</w:t>
      </w:r>
    </w:p>
    <w:p w:rsidR="00FA72F4" w:rsidRPr="00FA72F4" w:rsidRDefault="00FA72F4" w:rsidP="00FA72F4">
      <w:pPr>
        <w:pStyle w:val="SingleTxtG"/>
      </w:pPr>
      <w:r>
        <w:tab/>
      </w:r>
      <w:r>
        <w:tab/>
        <w:t>(b)</w:t>
      </w:r>
      <w:r>
        <w:tab/>
      </w:r>
      <w:r w:rsidRPr="00FA72F4">
        <w:t>Compatibility with national environmental legislations;</w:t>
      </w:r>
    </w:p>
    <w:p w:rsidR="00FA72F4" w:rsidRPr="00FA72F4" w:rsidRDefault="00FA72F4" w:rsidP="00FA72F4">
      <w:pPr>
        <w:pStyle w:val="SingleTxtG"/>
      </w:pPr>
      <w:r>
        <w:tab/>
      </w:r>
      <w:r>
        <w:tab/>
        <w:t>(c)</w:t>
      </w:r>
      <w:r>
        <w:tab/>
      </w:r>
      <w:r w:rsidRPr="00FA72F4">
        <w:t>A level playing field all waste transporters at a European level;</w:t>
      </w:r>
    </w:p>
    <w:p w:rsidR="00FA72F4" w:rsidRPr="00FA72F4" w:rsidRDefault="00FA72F4" w:rsidP="00FA72F4">
      <w:pPr>
        <w:pStyle w:val="SingleTxtG"/>
      </w:pPr>
      <w:r>
        <w:tab/>
      </w:r>
      <w:r>
        <w:tab/>
        <w:t>(d)</w:t>
      </w:r>
      <w:r>
        <w:tab/>
      </w:r>
      <w:r w:rsidRPr="00FA72F4">
        <w:t>Safety and feasibility of the transport of hazardous waste.</w:t>
      </w:r>
    </w:p>
    <w:p w:rsidR="00FA72F4" w:rsidRPr="00FA72F4" w:rsidRDefault="00FA72F4" w:rsidP="00FA72F4">
      <w:pPr>
        <w:pStyle w:val="SingleTxtG"/>
      </w:pPr>
      <w:r>
        <w:t>2.</w:t>
      </w:r>
      <w:r>
        <w:tab/>
      </w:r>
      <w:r w:rsidRPr="00FA72F4">
        <w:t>Issues selected for further discussion at the RID/ADR/ADN Joint Meeting are listed below, in suggested order of priority.</w:t>
      </w:r>
    </w:p>
    <w:p w:rsidR="00FA72F4" w:rsidRPr="00FA72F4" w:rsidRDefault="00FA72F4" w:rsidP="00FA72F4">
      <w:pPr>
        <w:pStyle w:val="SingleTxtG"/>
      </w:pPr>
      <w:r>
        <w:t>3.</w:t>
      </w:r>
      <w:r>
        <w:tab/>
      </w:r>
      <w:r w:rsidRPr="00FA72F4">
        <w:t xml:space="preserve">Annex A contains </w:t>
      </w:r>
      <w:proofErr w:type="gramStart"/>
      <w:r w:rsidRPr="00FA72F4">
        <w:t>all of</w:t>
      </w:r>
      <w:proofErr w:type="gramEnd"/>
      <w:r w:rsidRPr="00FA72F4">
        <w:t xml:space="preserve"> the issues discussed during the Informal Working Group on the Transport of Hazardous Waste.</w:t>
      </w:r>
    </w:p>
    <w:p w:rsidR="00FA72F4" w:rsidRPr="00FA72F4" w:rsidRDefault="00FA72F4" w:rsidP="00FA72F4">
      <w:pPr>
        <w:pStyle w:val="SingleTxtG"/>
      </w:pPr>
      <w:r>
        <w:t>4.</w:t>
      </w:r>
      <w:r>
        <w:tab/>
      </w:r>
      <w:r w:rsidRPr="00FA72F4">
        <w:t>The list of issues selected is still open, as national delegates may propose further issues for selection.</w:t>
      </w:r>
    </w:p>
    <w:p w:rsidR="0054236F" w:rsidRDefault="0054236F" w:rsidP="0054236F">
      <w:pPr>
        <w:tabs>
          <w:tab w:val="left" w:pos="1215"/>
        </w:tabs>
        <w:spacing w:before="120" w:after="120" w:line="240" w:lineRule="exact"/>
        <w:ind w:left="1134" w:right="1134"/>
        <w:rPr>
          <w:b/>
          <w:color w:val="000000"/>
          <w:lang w:val="en-US"/>
        </w:rPr>
      </w:pPr>
    </w:p>
    <w:p w:rsidR="00FA72F4" w:rsidRPr="007A69FA" w:rsidRDefault="00FA72F4" w:rsidP="0054236F">
      <w:pPr>
        <w:tabs>
          <w:tab w:val="left" w:pos="1215"/>
        </w:tabs>
        <w:spacing w:before="120" w:after="120" w:line="240" w:lineRule="exact"/>
        <w:ind w:left="1134" w:right="1134"/>
        <w:rPr>
          <w:b/>
          <w:color w:val="000000"/>
          <w:lang w:val="en-US"/>
        </w:rPr>
      </w:pPr>
      <w:r w:rsidRPr="007A69FA">
        <w:rPr>
          <w:b/>
          <w:color w:val="000000"/>
          <w:lang w:val="en-US"/>
        </w:rPr>
        <w:lastRenderedPageBreak/>
        <w:t>Small chemicals inner packages without UN marking packed together</w:t>
      </w:r>
    </w:p>
    <w:p w:rsidR="00FA72F4" w:rsidRPr="0052512A" w:rsidRDefault="00FA72F4" w:rsidP="00FA72F4">
      <w:pPr>
        <w:pStyle w:val="SingleTxtG"/>
        <w:rPr>
          <w:rFonts w:eastAsiaTheme="minorHAnsi"/>
        </w:rPr>
      </w:pPr>
      <w:r>
        <w:rPr>
          <w:rFonts w:eastAsiaTheme="minorHAnsi"/>
        </w:rPr>
        <w:t>5.</w:t>
      </w:r>
      <w:r>
        <w:rPr>
          <w:rFonts w:eastAsiaTheme="minorHAnsi"/>
        </w:rPr>
        <w:tab/>
      </w:r>
      <w:r w:rsidRPr="0052512A">
        <w:rPr>
          <w:rFonts w:eastAsiaTheme="minorHAnsi"/>
        </w:rPr>
        <w:t xml:space="preserve">Original chemicals are packed in a combined packaging, especially tested for that purpose (see ADR 6.1.5). </w:t>
      </w:r>
      <w:r w:rsidRPr="00C7406A">
        <w:rPr>
          <w:rFonts w:eastAsiaTheme="minorHAnsi"/>
        </w:rPr>
        <w:t>For waste collection, only the inner packaging remains available. This waste must be sorted, according to its hazardous properties, and be repacked fulfilling all the requirements of the ADR, which is impossible. There is a lack of a simple legal solution available to replace the missing outer packaging.</w:t>
      </w:r>
    </w:p>
    <w:p w:rsidR="00FA72F4" w:rsidRDefault="00FA72F4" w:rsidP="00FA72F4">
      <w:pPr>
        <w:pStyle w:val="SingleTxtG"/>
        <w:rPr>
          <w:color w:val="000000"/>
          <w:lang w:val="en-US"/>
        </w:rPr>
      </w:pPr>
      <w:r>
        <w:rPr>
          <w:color w:val="000000"/>
          <w:lang w:val="en-US"/>
        </w:rPr>
        <w:t>6.</w:t>
      </w:r>
      <w:r>
        <w:rPr>
          <w:color w:val="000000"/>
          <w:lang w:val="en-US"/>
        </w:rPr>
        <w:tab/>
      </w:r>
      <w:r w:rsidRPr="007A69FA">
        <w:rPr>
          <w:color w:val="000000"/>
          <w:lang w:val="en-US"/>
        </w:rPr>
        <w:t>This issue is a daily problem faced by the waste management industry and is therefore of high priority</w:t>
      </w:r>
      <w:r>
        <w:rPr>
          <w:color w:val="000000"/>
          <w:lang w:val="en-US"/>
        </w:rPr>
        <w:t xml:space="preserve"> in the transport of packed waste.</w:t>
      </w:r>
    </w:p>
    <w:p w:rsidR="00FA72F4" w:rsidRPr="007A69FA" w:rsidRDefault="00FA72F4" w:rsidP="00FA72F4">
      <w:pPr>
        <w:pStyle w:val="SingleTxtG"/>
        <w:rPr>
          <w:color w:val="000000"/>
          <w:lang w:val="en-US"/>
        </w:rPr>
      </w:pPr>
      <w:r>
        <w:rPr>
          <w:color w:val="000000"/>
          <w:lang w:val="en-US"/>
        </w:rPr>
        <w:t>7.</w:t>
      </w:r>
      <w:r>
        <w:rPr>
          <w:color w:val="000000"/>
          <w:lang w:val="en-US"/>
        </w:rPr>
        <w:tab/>
        <w:t xml:space="preserve">Several countries have developed national derogations dealing with this issue, proposing </w:t>
      </w:r>
      <w:r w:rsidRPr="007A69FA">
        <w:rPr>
          <w:color w:val="000000"/>
          <w:lang w:val="en-US"/>
        </w:rPr>
        <w:t>a facilitated approach of combination packaging</w:t>
      </w:r>
      <w:r>
        <w:rPr>
          <w:color w:val="000000"/>
          <w:lang w:val="en-US"/>
        </w:rPr>
        <w:t>. There is a need for further harmonization at the ADR level.</w:t>
      </w:r>
    </w:p>
    <w:p w:rsidR="00FA72F4" w:rsidRPr="00720FBC" w:rsidRDefault="00FA72F4" w:rsidP="00FA72F4">
      <w:pPr>
        <w:pStyle w:val="SingleTxtG"/>
        <w:rPr>
          <w:color w:val="000000"/>
          <w:lang w:val="en-US"/>
        </w:rPr>
      </w:pPr>
      <w:r>
        <w:rPr>
          <w:color w:val="000000"/>
          <w:lang w:val="en-US"/>
        </w:rPr>
        <w:t>8.</w:t>
      </w:r>
      <w:r>
        <w:rPr>
          <w:color w:val="000000"/>
          <w:lang w:val="en-US"/>
        </w:rPr>
        <w:tab/>
      </w:r>
      <w:r w:rsidRPr="007A69FA">
        <w:rPr>
          <w:color w:val="000000"/>
          <w:lang w:val="en-US"/>
        </w:rPr>
        <w:t>The challenge remains to verify that transported goods are not incompatible.</w:t>
      </w:r>
    </w:p>
    <w:p w:rsidR="00FA72F4" w:rsidRPr="007A69FA" w:rsidRDefault="00FA72F4" w:rsidP="0054236F">
      <w:pPr>
        <w:tabs>
          <w:tab w:val="left" w:pos="1215"/>
        </w:tabs>
        <w:spacing w:before="120" w:after="120" w:line="240" w:lineRule="exact"/>
        <w:ind w:left="1134" w:right="1134"/>
        <w:rPr>
          <w:b/>
          <w:color w:val="000000"/>
          <w:lang w:val="en-US"/>
        </w:rPr>
      </w:pPr>
      <w:r w:rsidRPr="007A69FA">
        <w:rPr>
          <w:b/>
          <w:color w:val="000000"/>
          <w:lang w:val="en-US"/>
        </w:rPr>
        <w:t>Dangerous household waste collection</w:t>
      </w:r>
    </w:p>
    <w:p w:rsidR="00FA72F4" w:rsidRPr="007A69FA" w:rsidRDefault="00FA72F4" w:rsidP="00FA72F4">
      <w:pPr>
        <w:pStyle w:val="SingleTxtG"/>
        <w:rPr>
          <w:lang w:val="en-US"/>
        </w:rPr>
      </w:pPr>
      <w:r>
        <w:rPr>
          <w:lang w:val="en-US"/>
        </w:rPr>
        <w:t>9.</w:t>
      </w:r>
      <w:r>
        <w:rPr>
          <w:lang w:val="en-US"/>
        </w:rPr>
        <w:tab/>
      </w:r>
      <w:r w:rsidRPr="007A69FA">
        <w:rPr>
          <w:lang w:val="en-US"/>
        </w:rPr>
        <w:t xml:space="preserve">The European Waste Framework Directive requires that each country </w:t>
      </w:r>
      <w:r w:rsidRPr="007A69FA">
        <w:t xml:space="preserve">organises a selective collection of hazardous household waste by 2025. However, the European Waste Framework Directive does not </w:t>
      </w:r>
      <w:r>
        <w:t>integrate ADR rules.</w:t>
      </w:r>
    </w:p>
    <w:p w:rsidR="00FA72F4" w:rsidRPr="0052512A" w:rsidRDefault="00FA72F4" w:rsidP="00FA72F4">
      <w:pPr>
        <w:pStyle w:val="SingleTxtG"/>
        <w:rPr>
          <w:sz w:val="18"/>
          <w:szCs w:val="18"/>
          <w:lang w:val="en-US"/>
        </w:rPr>
      </w:pPr>
      <w:r>
        <w:rPr>
          <w:lang w:val="en-US"/>
        </w:rPr>
        <w:t>10.</w:t>
      </w:r>
      <w:r>
        <w:rPr>
          <w:lang w:val="en-US"/>
        </w:rPr>
        <w:tab/>
      </w:r>
      <w:r w:rsidRPr="0052512A">
        <w:rPr>
          <w:lang w:val="en-US"/>
        </w:rPr>
        <w:t>Current ADR provisions do not address this issue</w:t>
      </w:r>
      <w:r>
        <w:rPr>
          <w:lang w:val="en-US"/>
        </w:rPr>
        <w:t>, for which</w:t>
      </w:r>
      <w:r w:rsidRPr="0052512A">
        <w:rPr>
          <w:lang w:val="en-US"/>
        </w:rPr>
        <w:t xml:space="preserve"> </w:t>
      </w:r>
      <w:r>
        <w:rPr>
          <w:lang w:val="en-US"/>
        </w:rPr>
        <w:t>several countries have developed their own national derogations. Such a situation</w:t>
      </w:r>
      <w:r w:rsidRPr="0052512A">
        <w:rPr>
          <w:lang w:val="en-US"/>
        </w:rPr>
        <w:t xml:space="preserve"> </w:t>
      </w:r>
      <w:r>
        <w:rPr>
          <w:lang w:val="en-US"/>
        </w:rPr>
        <w:t>could</w:t>
      </w:r>
      <w:r w:rsidRPr="0052512A">
        <w:rPr>
          <w:lang w:val="en-US"/>
        </w:rPr>
        <w:t xml:space="preserve"> create an</w:t>
      </w:r>
      <w:r>
        <w:rPr>
          <w:lang w:val="en-US"/>
        </w:rPr>
        <w:t xml:space="preserve"> increasingly</w:t>
      </w:r>
      <w:r w:rsidRPr="0052512A">
        <w:rPr>
          <w:lang w:val="en-US"/>
        </w:rPr>
        <w:t xml:space="preserve"> uneven playing field in Europe. There is an urgent need for harmonization </w:t>
      </w:r>
      <w:proofErr w:type="gramStart"/>
      <w:r w:rsidRPr="0052512A">
        <w:rPr>
          <w:lang w:val="en-US"/>
        </w:rPr>
        <w:t>in order to</w:t>
      </w:r>
      <w:proofErr w:type="gramEnd"/>
      <w:r w:rsidRPr="0052512A">
        <w:rPr>
          <w:lang w:val="en-US"/>
        </w:rPr>
        <w:t xml:space="preserve"> anticipate such a multiplicity of national rules.</w:t>
      </w:r>
    </w:p>
    <w:p w:rsidR="00FA72F4" w:rsidRPr="00D460E9" w:rsidRDefault="00FA72F4" w:rsidP="00FA72F4">
      <w:pPr>
        <w:pStyle w:val="SingleTxtG"/>
        <w:rPr>
          <w:lang w:val="en-US"/>
        </w:rPr>
      </w:pPr>
      <w:r>
        <w:t>11.</w:t>
      </w:r>
      <w:r>
        <w:tab/>
      </w:r>
      <w:r w:rsidRPr="007A69FA">
        <w:t xml:space="preserve">Consequently, it is necessary </w:t>
      </w:r>
      <w:r>
        <w:t xml:space="preserve">for ADR to better </w:t>
      </w:r>
      <w:proofErr w:type="gramStart"/>
      <w:r>
        <w:t>take into account</w:t>
      </w:r>
      <w:proofErr w:type="gramEnd"/>
      <w:r>
        <w:t xml:space="preserve"> the specificity of household hazardous </w:t>
      </w:r>
      <w:r w:rsidRPr="007A69FA">
        <w:t xml:space="preserve">waste </w:t>
      </w:r>
      <w:r>
        <w:t>transport.</w:t>
      </w:r>
    </w:p>
    <w:p w:rsidR="00FA72F4" w:rsidRPr="007A69FA" w:rsidRDefault="00FA72F4" w:rsidP="0054236F">
      <w:pPr>
        <w:tabs>
          <w:tab w:val="left" w:pos="1215"/>
        </w:tabs>
        <w:spacing w:before="120" w:after="120" w:line="240" w:lineRule="exact"/>
        <w:ind w:left="1134" w:right="1134"/>
        <w:rPr>
          <w:b/>
          <w:lang w:val="en-US"/>
        </w:rPr>
      </w:pPr>
      <w:r w:rsidRPr="007A69FA">
        <w:rPr>
          <w:b/>
          <w:lang w:val="en-US"/>
        </w:rPr>
        <w:t>Re-use of packaging</w:t>
      </w:r>
    </w:p>
    <w:p w:rsidR="00FA72F4" w:rsidRPr="009D3F36" w:rsidRDefault="00B24FE1" w:rsidP="00FA72F4">
      <w:pPr>
        <w:pStyle w:val="SingleTxtG"/>
        <w:rPr>
          <w:lang w:val="en-US"/>
        </w:rPr>
      </w:pPr>
      <w:r>
        <w:rPr>
          <w:lang w:val="en-US"/>
        </w:rPr>
        <w:t>12.</w:t>
      </w:r>
      <w:r>
        <w:rPr>
          <w:lang w:val="en-US"/>
        </w:rPr>
        <w:tab/>
      </w:r>
      <w:r w:rsidR="00FA72F4" w:rsidRPr="009D3F36">
        <w:rPr>
          <w:lang w:val="en-US"/>
        </w:rPr>
        <w:t>Reuse of packaging is not forbidden (see definition in</w:t>
      </w:r>
      <w:r w:rsidR="00FA72F4">
        <w:rPr>
          <w:lang w:val="en-US"/>
        </w:rPr>
        <w:t xml:space="preserve"> ADR</w:t>
      </w:r>
      <w:r w:rsidR="00FA72F4" w:rsidRPr="009D3F36">
        <w:rPr>
          <w:lang w:val="en-US"/>
        </w:rPr>
        <w:t xml:space="preserve"> 1.2.1), but without the original certificate and the packaging manufacturer instructions, it’s difficult e.g. to fulfill the prescriptions of </w:t>
      </w:r>
      <w:r w:rsidR="00FA72F4">
        <w:rPr>
          <w:lang w:val="en-US"/>
        </w:rPr>
        <w:t xml:space="preserve">ADR </w:t>
      </w:r>
      <w:r w:rsidR="00FA72F4" w:rsidRPr="009D3F36">
        <w:rPr>
          <w:lang w:val="en-US"/>
        </w:rPr>
        <w:t xml:space="preserve">6.1.1.5 (packaging) or </w:t>
      </w:r>
      <w:r w:rsidR="00FA72F4">
        <w:rPr>
          <w:lang w:val="en-US"/>
        </w:rPr>
        <w:t xml:space="preserve">ADR </w:t>
      </w:r>
      <w:r w:rsidR="00FA72F4" w:rsidRPr="009D3F36">
        <w:rPr>
          <w:lang w:val="en-US"/>
        </w:rPr>
        <w:t>6.5.1.1.4 (IBC) and to use the right gaskets.</w:t>
      </w:r>
    </w:p>
    <w:p w:rsidR="00FA72F4" w:rsidRPr="007A69FA" w:rsidRDefault="00B24FE1" w:rsidP="00FA72F4">
      <w:pPr>
        <w:pStyle w:val="SingleTxtG"/>
        <w:rPr>
          <w:color w:val="000000"/>
          <w:lang w:val="en-US"/>
        </w:rPr>
      </w:pPr>
      <w:r>
        <w:rPr>
          <w:color w:val="000000"/>
          <w:lang w:val="en-US"/>
        </w:rPr>
        <w:t>13.</w:t>
      </w:r>
      <w:r>
        <w:rPr>
          <w:color w:val="000000"/>
          <w:lang w:val="en-US"/>
        </w:rPr>
        <w:tab/>
      </w:r>
      <w:r w:rsidR="00FA72F4" w:rsidRPr="007A69FA">
        <w:rPr>
          <w:color w:val="000000"/>
          <w:lang w:val="en-US"/>
        </w:rPr>
        <w:t xml:space="preserve">The re-use of packaging should be allowed </w:t>
      </w:r>
      <w:proofErr w:type="gramStart"/>
      <w:r w:rsidR="00FA72F4" w:rsidRPr="007A69FA">
        <w:rPr>
          <w:color w:val="000000"/>
          <w:lang w:val="en-US"/>
        </w:rPr>
        <w:t>in order to</w:t>
      </w:r>
      <w:proofErr w:type="gramEnd"/>
      <w:r w:rsidR="00FA72F4" w:rsidRPr="007A69FA">
        <w:rPr>
          <w:color w:val="000000"/>
          <w:lang w:val="en-US"/>
        </w:rPr>
        <w:t xml:space="preserve"> avoid the unnecessary creation of additional packaging purely for waste transport purposes.</w:t>
      </w:r>
    </w:p>
    <w:p w:rsidR="00FA72F4" w:rsidRPr="00D460E9" w:rsidRDefault="00B24FE1" w:rsidP="00FA72F4">
      <w:pPr>
        <w:pStyle w:val="SingleTxtG"/>
        <w:rPr>
          <w:color w:val="000000"/>
          <w:lang w:val="en-US"/>
        </w:rPr>
      </w:pPr>
      <w:r>
        <w:rPr>
          <w:color w:val="000000"/>
          <w:lang w:val="en-US"/>
        </w:rPr>
        <w:t>14.</w:t>
      </w:r>
      <w:r>
        <w:rPr>
          <w:color w:val="000000"/>
          <w:lang w:val="en-US"/>
        </w:rPr>
        <w:tab/>
      </w:r>
      <w:r w:rsidR="00FA72F4" w:rsidRPr="007A69FA">
        <w:rPr>
          <w:color w:val="000000"/>
          <w:lang w:val="en-US"/>
        </w:rPr>
        <w:t xml:space="preserve">However, such re-use should be </w:t>
      </w:r>
      <w:r w:rsidR="00FA72F4">
        <w:rPr>
          <w:color w:val="000000"/>
          <w:lang w:val="en-US"/>
        </w:rPr>
        <w:t>submitted</w:t>
      </w:r>
      <w:r w:rsidR="00FA72F4" w:rsidRPr="007A69FA">
        <w:rPr>
          <w:color w:val="000000"/>
          <w:lang w:val="en-US"/>
        </w:rPr>
        <w:t xml:space="preserve"> to certain conditions to avoid the abuse of used packaging.</w:t>
      </w:r>
    </w:p>
    <w:p w:rsidR="00FA72F4" w:rsidRPr="007A69FA" w:rsidRDefault="00FA72F4" w:rsidP="0054236F">
      <w:pPr>
        <w:tabs>
          <w:tab w:val="left" w:pos="1215"/>
        </w:tabs>
        <w:spacing w:before="120" w:after="120" w:line="240" w:lineRule="exact"/>
        <w:ind w:left="1134" w:right="1134"/>
        <w:rPr>
          <w:b/>
          <w:lang w:val="en-US"/>
        </w:rPr>
      </w:pPr>
      <w:r w:rsidRPr="007A69FA">
        <w:rPr>
          <w:b/>
          <w:lang w:val="en-US"/>
        </w:rPr>
        <w:t>“Empty uncleaned packaging” or “discarded, empty, uncleaned packaging” (UN 3509)</w:t>
      </w:r>
    </w:p>
    <w:p w:rsidR="00FA72F4" w:rsidRPr="00380BB3" w:rsidRDefault="00B24FE1" w:rsidP="00B24FE1">
      <w:pPr>
        <w:pStyle w:val="SingleTxtG"/>
        <w:rPr>
          <w:lang w:val="en-US"/>
        </w:rPr>
      </w:pPr>
      <w:r>
        <w:rPr>
          <w:lang w:val="en-US"/>
        </w:rPr>
        <w:t>15.</w:t>
      </w:r>
      <w:r>
        <w:rPr>
          <w:lang w:val="en-US"/>
        </w:rPr>
        <w:tab/>
      </w:r>
      <w:r w:rsidR="00FA72F4" w:rsidRPr="00E02329">
        <w:rPr>
          <w:lang w:val="en-US"/>
        </w:rPr>
        <w:t xml:space="preserve">UN 3509 has been developed to </w:t>
      </w:r>
      <w:r w:rsidR="00FA72F4">
        <w:rPr>
          <w:lang w:val="en-US"/>
        </w:rPr>
        <w:t>cover</w:t>
      </w:r>
      <w:r w:rsidR="00FA72F4" w:rsidRPr="00E02329">
        <w:rPr>
          <w:lang w:val="en-US"/>
        </w:rPr>
        <w:t xml:space="preserve"> the transport of damaged packaging no longer fulfilling the definition of packaging. For this reason, specific conditions have been set in ADR special provision 663. ADR 4.1.1.11 allows the use of UN 3509 for empty packaging still fulfilling the definition of packaging (not damaged) in case of recycling or recovery. As this type of packaging is not damaged, it is not justified to apply ADR special provision 663. </w:t>
      </w:r>
      <w:r w:rsidR="00FA72F4">
        <w:rPr>
          <w:lang w:val="en-US"/>
        </w:rPr>
        <w:t>A c</w:t>
      </w:r>
      <w:r w:rsidR="00FA72F4" w:rsidRPr="00E02329">
        <w:rPr>
          <w:lang w:val="en-US"/>
        </w:rPr>
        <w:t xml:space="preserve">larification </w:t>
      </w:r>
      <w:r w:rsidR="00FA72F4">
        <w:rPr>
          <w:lang w:val="en-US"/>
        </w:rPr>
        <w:t xml:space="preserve">of the wording of the ADR text was discussed during the Informal Working Group, considering also the issue of the 5-year </w:t>
      </w:r>
      <w:r w:rsidR="00FA72F4" w:rsidRPr="00380BB3">
        <w:rPr>
          <w:lang w:val="en-US"/>
        </w:rPr>
        <w:t>lifespan of packaging under ADR 4.1.1.</w:t>
      </w:r>
      <w:r w:rsidR="00BC09AC">
        <w:rPr>
          <w:lang w:val="en-US"/>
        </w:rPr>
        <w:t>15</w:t>
      </w:r>
      <w:r w:rsidR="00FA72F4" w:rsidRPr="00380BB3">
        <w:rPr>
          <w:lang w:val="en-US"/>
        </w:rPr>
        <w:t>.</w:t>
      </w:r>
    </w:p>
    <w:p w:rsidR="00FA72F4" w:rsidRDefault="00B24FE1" w:rsidP="00B24FE1">
      <w:pPr>
        <w:pStyle w:val="SingleTxtG"/>
        <w:rPr>
          <w:lang w:val="en-US"/>
        </w:rPr>
      </w:pPr>
      <w:r>
        <w:rPr>
          <w:lang w:val="en-US"/>
        </w:rPr>
        <w:t>16.</w:t>
      </w:r>
      <w:r>
        <w:rPr>
          <w:lang w:val="en-US"/>
        </w:rPr>
        <w:tab/>
      </w:r>
      <w:r w:rsidR="00FA72F4">
        <w:rPr>
          <w:lang w:val="en-US"/>
        </w:rPr>
        <w:t>Moreover, a</w:t>
      </w:r>
      <w:r w:rsidR="00FA72F4" w:rsidRPr="007A69FA">
        <w:rPr>
          <w:lang w:val="en-US"/>
        </w:rPr>
        <w:t>mbiguity remains as to the definition of “empty.” Defining this term is complex, particularly in the case of liquids, the remnants of which have solidified.</w:t>
      </w:r>
    </w:p>
    <w:p w:rsidR="00FA72F4" w:rsidRPr="002F6C57" w:rsidRDefault="00B24FE1" w:rsidP="00B24FE1">
      <w:pPr>
        <w:pStyle w:val="SingleTxtG"/>
        <w:spacing w:line="276" w:lineRule="auto"/>
        <w:rPr>
          <w:lang w:val="en-US"/>
        </w:rPr>
      </w:pPr>
      <w:r>
        <w:rPr>
          <w:lang w:val="en-US"/>
        </w:rPr>
        <w:t>17.</w:t>
      </w:r>
      <w:r>
        <w:rPr>
          <w:lang w:val="en-US"/>
        </w:rPr>
        <w:tab/>
      </w:r>
      <w:r w:rsidR="00FA72F4" w:rsidRPr="00207720">
        <w:rPr>
          <w:lang w:val="en-US"/>
        </w:rPr>
        <w:t>In ADR special provision 663, the present wording of the sentence</w:t>
      </w:r>
      <w:r w:rsidR="00FA72F4">
        <w:rPr>
          <w:lang w:val="en-US"/>
        </w:rPr>
        <w:t xml:space="preserve">: </w:t>
      </w:r>
      <w:r w:rsidR="00FA72F4" w:rsidRPr="00EE1961">
        <w:rPr>
          <w:i/>
          <w:iCs/>
          <w:lang w:val="en-US"/>
        </w:rPr>
        <w:t>“</w:t>
      </w:r>
      <w:proofErr w:type="spellStart"/>
      <w:r w:rsidR="00FA72F4" w:rsidRPr="00EE1961">
        <w:rPr>
          <w:i/>
          <w:iCs/>
          <w:color w:val="000000"/>
        </w:rPr>
        <w:t>P</w:t>
      </w:r>
      <w:r w:rsidR="00FA72F4" w:rsidRPr="002F6C57">
        <w:rPr>
          <w:i/>
          <w:color w:val="000000"/>
        </w:rPr>
        <w:t>ackagings</w:t>
      </w:r>
      <w:proofErr w:type="spellEnd"/>
      <w:r w:rsidR="00FA72F4" w:rsidRPr="002F6C57">
        <w:rPr>
          <w:i/>
          <w:color w:val="000000"/>
        </w:rPr>
        <w:t xml:space="preserve">, discarded, empty, uncleaned with residues presenting a risk or a subsidiary risk of Class 5.1 shall not be packed together with other </w:t>
      </w:r>
      <w:proofErr w:type="spellStart"/>
      <w:r w:rsidR="00FA72F4" w:rsidRPr="002F6C57">
        <w:rPr>
          <w:i/>
          <w:color w:val="000000"/>
        </w:rPr>
        <w:t>packagings</w:t>
      </w:r>
      <w:proofErr w:type="spellEnd"/>
      <w:r w:rsidR="00FA72F4" w:rsidRPr="002F6C57">
        <w:rPr>
          <w:i/>
          <w:color w:val="000000"/>
        </w:rPr>
        <w:t xml:space="preserve">, discarded, empty, uncleaned, or loaded together with other </w:t>
      </w:r>
      <w:proofErr w:type="spellStart"/>
      <w:r w:rsidR="00FA72F4" w:rsidRPr="002F6C57">
        <w:rPr>
          <w:i/>
          <w:color w:val="000000"/>
        </w:rPr>
        <w:t>packagings</w:t>
      </w:r>
      <w:proofErr w:type="spellEnd"/>
      <w:r w:rsidR="00FA72F4" w:rsidRPr="002F6C57">
        <w:rPr>
          <w:i/>
          <w:color w:val="000000"/>
        </w:rPr>
        <w:t>, discarded, empty, uncleaned in the same container, vehicle or bulk container</w:t>
      </w:r>
      <w:r w:rsidR="00FA72F4">
        <w:rPr>
          <w:i/>
          <w:color w:val="000000"/>
        </w:rPr>
        <w:t>”</w:t>
      </w:r>
      <w:r w:rsidR="00FA72F4" w:rsidRPr="002F6C57">
        <w:rPr>
          <w:color w:val="000000"/>
        </w:rPr>
        <w:t xml:space="preserve"> can be misunderstood. I</w:t>
      </w:r>
      <w:r w:rsidR="00FA72F4" w:rsidRPr="00207720">
        <w:rPr>
          <w:lang w:val="en-US"/>
        </w:rPr>
        <w:t xml:space="preserve">t would be desirable to amend the sentence </w:t>
      </w:r>
      <w:proofErr w:type="gramStart"/>
      <w:r w:rsidR="00FA72F4" w:rsidRPr="00207720">
        <w:rPr>
          <w:lang w:val="en-US"/>
        </w:rPr>
        <w:t>in order to</w:t>
      </w:r>
      <w:proofErr w:type="gramEnd"/>
      <w:r w:rsidR="00FA72F4" w:rsidRPr="00207720">
        <w:rPr>
          <w:lang w:val="en-US"/>
        </w:rPr>
        <w:t xml:space="preserve"> clearly </w:t>
      </w:r>
      <w:r w:rsidR="00FA72F4">
        <w:rPr>
          <w:lang w:val="en-US"/>
        </w:rPr>
        <w:t>distinguish</w:t>
      </w:r>
      <w:r w:rsidR="00FA72F4" w:rsidRPr="00207720">
        <w:rPr>
          <w:lang w:val="en-US"/>
        </w:rPr>
        <w:t xml:space="preserve"> </w:t>
      </w:r>
      <w:r w:rsidR="00FA72F4" w:rsidRPr="002F6C57">
        <w:rPr>
          <w:lang w:val="en-US"/>
        </w:rPr>
        <w:t xml:space="preserve">what is </w:t>
      </w:r>
      <w:r w:rsidR="00FA72F4">
        <w:rPr>
          <w:lang w:val="en-US"/>
        </w:rPr>
        <w:t xml:space="preserve">permitted </w:t>
      </w:r>
      <w:r w:rsidR="00FA72F4" w:rsidRPr="002F6C57">
        <w:rPr>
          <w:lang w:val="en-US"/>
        </w:rPr>
        <w:t>in packaging and bulk transport.</w:t>
      </w:r>
    </w:p>
    <w:p w:rsidR="0054236F" w:rsidRDefault="0054236F" w:rsidP="0054236F">
      <w:pPr>
        <w:tabs>
          <w:tab w:val="left" w:pos="1215"/>
        </w:tabs>
        <w:spacing w:before="120" w:after="120" w:line="240" w:lineRule="exact"/>
        <w:ind w:left="1134" w:right="1134"/>
        <w:rPr>
          <w:b/>
          <w:color w:val="000000"/>
          <w:lang w:val="en-US"/>
        </w:rPr>
      </w:pPr>
    </w:p>
    <w:p w:rsidR="00FA72F4" w:rsidRPr="007A69FA" w:rsidRDefault="00FA72F4" w:rsidP="0054236F">
      <w:pPr>
        <w:tabs>
          <w:tab w:val="left" w:pos="1215"/>
        </w:tabs>
        <w:spacing w:before="120" w:after="120" w:line="240" w:lineRule="exact"/>
        <w:ind w:left="1134" w:right="1134"/>
        <w:rPr>
          <w:b/>
          <w:color w:val="000000"/>
          <w:lang w:val="en-US"/>
        </w:rPr>
      </w:pPr>
      <w:r w:rsidRPr="007A69FA">
        <w:rPr>
          <w:b/>
          <w:color w:val="000000"/>
          <w:lang w:val="en-US"/>
        </w:rPr>
        <w:lastRenderedPageBreak/>
        <w:t>Criteria for hazardous waste differ from criteria for dangerous goods</w:t>
      </w:r>
    </w:p>
    <w:p w:rsidR="00FA72F4" w:rsidRPr="00815742" w:rsidRDefault="00B24FE1" w:rsidP="007738BE">
      <w:pPr>
        <w:pStyle w:val="SingleTxtG"/>
        <w:spacing w:before="120"/>
        <w:rPr>
          <w:lang w:val="en-US"/>
        </w:rPr>
      </w:pPr>
      <w:r>
        <w:rPr>
          <w:lang w:val="en-US"/>
        </w:rPr>
        <w:t>18.</w:t>
      </w:r>
      <w:r>
        <w:rPr>
          <w:lang w:val="en-US"/>
        </w:rPr>
        <w:tab/>
      </w:r>
      <w:r w:rsidR="00FA72F4" w:rsidRPr="00815742">
        <w:rPr>
          <w:lang w:val="en-US"/>
        </w:rPr>
        <w:t>Hazardous waste properties HP4, 5,</w:t>
      </w:r>
      <w:r w:rsidR="00FA72F4">
        <w:rPr>
          <w:lang w:val="en-US"/>
        </w:rPr>
        <w:t xml:space="preserve"> </w:t>
      </w:r>
      <w:r w:rsidR="00FA72F4" w:rsidRPr="00815742">
        <w:rPr>
          <w:lang w:val="en-US"/>
        </w:rPr>
        <w:t>7, 10, 11, 13, 15 have no equivalence in the ADR classification. For HP14, only CLP hazard mentions H400, 410 and 411 are linked to ADR (nor H412,413 nor 420).</w:t>
      </w:r>
      <w:r w:rsidR="00FA72F4">
        <w:rPr>
          <w:lang w:val="en-US"/>
        </w:rPr>
        <w:t xml:space="preserve"> </w:t>
      </w:r>
      <w:r w:rsidR="00FA72F4" w:rsidRPr="00815742">
        <w:rPr>
          <w:lang w:val="en-US"/>
        </w:rPr>
        <w:t xml:space="preserve">An EU classification as a hazardous waste (code with *) does not automatically require classification as a dangerous good in the ADR. CLP labelling of the original product is often the only available information (ex-inner </w:t>
      </w:r>
      <w:proofErr w:type="spellStart"/>
      <w:r w:rsidR="00FA72F4" w:rsidRPr="00815742">
        <w:rPr>
          <w:lang w:val="en-US"/>
        </w:rPr>
        <w:t>packagings</w:t>
      </w:r>
      <w:proofErr w:type="spellEnd"/>
      <w:r w:rsidR="00FA72F4" w:rsidRPr="00815742">
        <w:rPr>
          <w:lang w:val="en-US"/>
        </w:rPr>
        <w:t>)</w:t>
      </w:r>
      <w:r w:rsidR="00FA72F4">
        <w:rPr>
          <w:lang w:val="en-US"/>
        </w:rPr>
        <w:t>.</w:t>
      </w:r>
    </w:p>
    <w:p w:rsidR="00FA72F4" w:rsidRPr="007A69FA" w:rsidRDefault="00B24FE1" w:rsidP="007738BE">
      <w:pPr>
        <w:pStyle w:val="SingleTxtG"/>
        <w:spacing w:before="120"/>
        <w:rPr>
          <w:lang w:val="en-US"/>
        </w:rPr>
      </w:pPr>
      <w:r>
        <w:rPr>
          <w:lang w:val="en-US"/>
        </w:rPr>
        <w:t>19.</w:t>
      </w:r>
      <w:r>
        <w:rPr>
          <w:lang w:val="en-US"/>
        </w:rPr>
        <w:tab/>
      </w:r>
      <w:r w:rsidR="00FA72F4" w:rsidRPr="007A69FA">
        <w:rPr>
          <w:lang w:val="en-US"/>
        </w:rPr>
        <w:t>Classification of some</w:t>
      </w:r>
      <w:r w:rsidR="00FA72F4">
        <w:rPr>
          <w:lang w:val="en-US"/>
        </w:rPr>
        <w:t xml:space="preserve"> “unknown”</w:t>
      </w:r>
      <w:r w:rsidR="00FA72F4" w:rsidRPr="007A69FA">
        <w:rPr>
          <w:lang w:val="en-US"/>
        </w:rPr>
        <w:t xml:space="preserve"> waste </w:t>
      </w:r>
      <w:r w:rsidR="00FA72F4">
        <w:rPr>
          <w:lang w:val="en-US"/>
        </w:rPr>
        <w:t>faces two situations:</w:t>
      </w:r>
    </w:p>
    <w:p w:rsidR="00FA72F4" w:rsidRPr="007A69FA" w:rsidRDefault="003931FC" w:rsidP="003931FC">
      <w:pPr>
        <w:pStyle w:val="SingleTxtG"/>
        <w:spacing w:after="0" w:line="276" w:lineRule="auto"/>
        <w:ind w:left="1701"/>
        <w:rPr>
          <w:color w:val="000000"/>
          <w:lang w:val="en-US"/>
        </w:rPr>
      </w:pPr>
      <w:proofErr w:type="spellStart"/>
      <w:r>
        <w:rPr>
          <w:color w:val="000000"/>
          <w:lang w:val="en-US"/>
        </w:rPr>
        <w:t>i</w:t>
      </w:r>
      <w:proofErr w:type="spellEnd"/>
      <w:r>
        <w:rPr>
          <w:color w:val="000000"/>
          <w:lang w:val="en-US"/>
        </w:rPr>
        <w:t>.</w:t>
      </w:r>
      <w:r w:rsidR="00B24FE1">
        <w:rPr>
          <w:color w:val="000000"/>
          <w:lang w:val="en-US"/>
        </w:rPr>
        <w:tab/>
      </w:r>
      <w:r w:rsidR="00FA72F4">
        <w:rPr>
          <w:color w:val="000000"/>
          <w:lang w:val="en-US"/>
        </w:rPr>
        <w:t>Unable to classify</w:t>
      </w:r>
      <w:r w:rsidR="00FA72F4" w:rsidRPr="007A69FA">
        <w:rPr>
          <w:color w:val="000000"/>
          <w:lang w:val="en-US"/>
        </w:rPr>
        <w:t xml:space="preserve"> </w:t>
      </w:r>
      <w:r w:rsidR="00FA72F4">
        <w:rPr>
          <w:color w:val="000000"/>
          <w:lang w:val="en-US"/>
        </w:rPr>
        <w:t>waste</w:t>
      </w:r>
      <w:r w:rsidR="00FA72F4" w:rsidRPr="007A69FA">
        <w:rPr>
          <w:color w:val="000000"/>
          <w:lang w:val="en-US"/>
        </w:rPr>
        <w:t xml:space="preserve"> </w:t>
      </w:r>
      <w:r w:rsidR="00FA72F4">
        <w:rPr>
          <w:color w:val="000000"/>
          <w:lang w:val="en-US"/>
        </w:rPr>
        <w:t>as</w:t>
      </w:r>
      <w:r w:rsidR="00FA72F4" w:rsidRPr="007A69FA">
        <w:rPr>
          <w:color w:val="000000"/>
          <w:lang w:val="en-US"/>
        </w:rPr>
        <w:t xml:space="preserve"> hazardous or non-hazardous</w:t>
      </w:r>
      <w:r w:rsidR="00FA72F4">
        <w:rPr>
          <w:color w:val="000000"/>
          <w:lang w:val="en-US"/>
        </w:rPr>
        <w:t xml:space="preserve"> under ADR</w:t>
      </w:r>
      <w:r w:rsidR="00FA72F4" w:rsidRPr="007A69FA">
        <w:rPr>
          <w:color w:val="000000"/>
          <w:lang w:val="en-US"/>
        </w:rPr>
        <w:t>;</w:t>
      </w:r>
    </w:p>
    <w:p w:rsidR="00FA72F4" w:rsidRPr="007A69FA" w:rsidRDefault="003931FC" w:rsidP="003931FC">
      <w:pPr>
        <w:pStyle w:val="SingleTxtG"/>
        <w:spacing w:after="0" w:line="276" w:lineRule="auto"/>
        <w:ind w:left="1701"/>
        <w:rPr>
          <w:color w:val="000000"/>
          <w:lang w:val="en-US"/>
        </w:rPr>
      </w:pPr>
      <w:r>
        <w:rPr>
          <w:color w:val="000000"/>
          <w:lang w:val="en-US"/>
        </w:rPr>
        <w:t>ii.</w:t>
      </w:r>
      <w:r w:rsidR="00B24FE1">
        <w:rPr>
          <w:color w:val="000000"/>
          <w:lang w:val="en-US"/>
        </w:rPr>
        <w:tab/>
      </w:r>
      <w:r w:rsidR="00FA72F4">
        <w:rPr>
          <w:color w:val="000000"/>
          <w:lang w:val="en-US"/>
        </w:rPr>
        <w:t>Waste known as hazardous but unable to identify the kind of hazard.</w:t>
      </w:r>
    </w:p>
    <w:p w:rsidR="00FA72F4" w:rsidRPr="00D460E9" w:rsidRDefault="00B24FE1" w:rsidP="007738BE">
      <w:pPr>
        <w:pStyle w:val="SingleTxtG"/>
        <w:spacing w:before="120"/>
        <w:rPr>
          <w:lang w:val="en-US"/>
        </w:rPr>
      </w:pPr>
      <w:r>
        <w:rPr>
          <w:lang w:val="en-US"/>
        </w:rPr>
        <w:t>20.</w:t>
      </w:r>
      <w:r>
        <w:rPr>
          <w:lang w:val="en-US"/>
        </w:rPr>
        <w:tab/>
      </w:r>
      <w:r w:rsidR="00FA72F4" w:rsidRPr="007A69FA">
        <w:rPr>
          <w:lang w:val="en-US"/>
        </w:rPr>
        <w:t>Several participants found it unfeasible to have a “one to one” cross reference list between the EU classification system and the ADR, given the different criteria used and different purposes thereof.</w:t>
      </w:r>
    </w:p>
    <w:p w:rsidR="00FA72F4" w:rsidRPr="00E93A5D" w:rsidRDefault="00FA72F4" w:rsidP="0054236F">
      <w:pPr>
        <w:tabs>
          <w:tab w:val="left" w:pos="1215"/>
        </w:tabs>
        <w:spacing w:before="120" w:after="120" w:line="240" w:lineRule="exact"/>
        <w:ind w:left="1134" w:right="1134"/>
        <w:rPr>
          <w:b/>
          <w:lang w:val="en-US"/>
        </w:rPr>
      </w:pPr>
      <w:r w:rsidRPr="007A69FA">
        <w:rPr>
          <w:b/>
          <w:lang w:val="en-US"/>
        </w:rPr>
        <w:t xml:space="preserve">Presence of hazardous household waste in the collection of non-hazardous waste e.g. empty </w:t>
      </w:r>
      <w:r w:rsidRPr="00E93A5D">
        <w:rPr>
          <w:b/>
          <w:lang w:val="en-US"/>
        </w:rPr>
        <w:t>packaging</w:t>
      </w:r>
    </w:p>
    <w:p w:rsidR="00FA72F4" w:rsidRDefault="00B24FE1" w:rsidP="007738BE">
      <w:pPr>
        <w:pStyle w:val="SingleTxtG"/>
        <w:spacing w:before="120"/>
        <w:rPr>
          <w:lang w:val="en-US"/>
        </w:rPr>
      </w:pPr>
      <w:r>
        <w:rPr>
          <w:lang w:val="en-US"/>
        </w:rPr>
        <w:t>21.</w:t>
      </w:r>
      <w:r>
        <w:rPr>
          <w:lang w:val="en-US"/>
        </w:rPr>
        <w:tab/>
      </w:r>
      <w:r w:rsidR="00FA72F4" w:rsidRPr="0047719D">
        <w:rPr>
          <w:lang w:val="en-US"/>
        </w:rPr>
        <w:t>This problem is increased by the introduction of the CLP-classification: and the increase of household products bearing hazardous CLP-labels (GHS 02, 05, 07), which is considered in certain conditions as non-hazardous waste by local environmental legislations. How can such legislation be harmonized with the ADR?</w:t>
      </w:r>
    </w:p>
    <w:p w:rsidR="00FA72F4" w:rsidRPr="00D460E9" w:rsidRDefault="00B24FE1" w:rsidP="007738BE">
      <w:pPr>
        <w:pStyle w:val="SingleTxtG"/>
        <w:spacing w:before="120"/>
        <w:rPr>
          <w:lang w:val="en-US"/>
        </w:rPr>
      </w:pPr>
      <w:r>
        <w:rPr>
          <w:lang w:val="en-US"/>
        </w:rPr>
        <w:t>22.</w:t>
      </w:r>
      <w:r>
        <w:rPr>
          <w:lang w:val="en-US"/>
        </w:rPr>
        <w:tab/>
      </w:r>
      <w:r w:rsidR="00FA72F4">
        <w:rPr>
          <w:lang w:val="en-US"/>
        </w:rPr>
        <w:t>Examples of such issues include aerosol containers with remnants of gas within, which are considered dangerous. Likewise, bleach containers with small remnants of liquid have the potential to be dangerous, particularly with consideration to the burdensome nature of checking each container for small amounts of dangerous substances. Batteries mixed with residual waste generate similar problems (increasing fire risk due to lithium batteries).</w:t>
      </w:r>
    </w:p>
    <w:p w:rsidR="00FA72F4" w:rsidRPr="007A69FA" w:rsidRDefault="00FA72F4" w:rsidP="0054236F">
      <w:pPr>
        <w:tabs>
          <w:tab w:val="left" w:pos="1215"/>
        </w:tabs>
        <w:spacing w:before="120" w:after="120" w:line="240" w:lineRule="exact"/>
        <w:ind w:left="1134" w:right="1134"/>
        <w:rPr>
          <w:b/>
          <w:color w:val="000000"/>
          <w:lang w:val="en-US"/>
        </w:rPr>
      </w:pPr>
      <w:r w:rsidRPr="007A69FA">
        <w:rPr>
          <w:b/>
          <w:color w:val="000000"/>
          <w:lang w:val="en-US"/>
        </w:rPr>
        <w:t>Unidentified waste (classification of non-identified waste)</w:t>
      </w:r>
    </w:p>
    <w:p w:rsidR="00FA72F4" w:rsidRDefault="00B24FE1" w:rsidP="007738BE">
      <w:pPr>
        <w:pStyle w:val="SingleTxtG"/>
        <w:spacing w:before="120"/>
        <w:rPr>
          <w:color w:val="000000"/>
          <w:lang w:val="en-US"/>
        </w:rPr>
      </w:pPr>
      <w:r>
        <w:t>23.</w:t>
      </w:r>
      <w:r>
        <w:tab/>
      </w:r>
      <w:r w:rsidR="00FA72F4">
        <w:t xml:space="preserve">ADR 2.1.3.5.5 deals with lack of information on waste. </w:t>
      </w:r>
    </w:p>
    <w:p w:rsidR="00FA72F4" w:rsidRDefault="00B24FE1" w:rsidP="007738BE">
      <w:pPr>
        <w:pStyle w:val="SingleTxtG"/>
        <w:spacing w:before="120"/>
        <w:rPr>
          <w:lang w:val="en-US"/>
        </w:rPr>
      </w:pPr>
      <w:r>
        <w:rPr>
          <w:lang w:val="en-US"/>
        </w:rPr>
        <w:t>24.</w:t>
      </w:r>
      <w:r>
        <w:rPr>
          <w:lang w:val="en-US"/>
        </w:rPr>
        <w:tab/>
      </w:r>
      <w:r w:rsidR="00FA72F4">
        <w:rPr>
          <w:lang w:val="en-US"/>
        </w:rPr>
        <w:t>Its interpretation differs from country to country. Harmonization would be welcome based on national experiences.</w:t>
      </w:r>
    </w:p>
    <w:p w:rsidR="00FA72F4" w:rsidRPr="00A27F32" w:rsidRDefault="00FA72F4" w:rsidP="0054236F">
      <w:pPr>
        <w:tabs>
          <w:tab w:val="left" w:pos="1215"/>
        </w:tabs>
        <w:spacing w:before="120" w:after="120" w:line="240" w:lineRule="exact"/>
        <w:ind w:left="1134" w:right="1134"/>
        <w:rPr>
          <w:b/>
          <w:lang w:val="en-US"/>
        </w:rPr>
      </w:pPr>
      <w:r w:rsidRPr="00AA42D2">
        <w:rPr>
          <w:b/>
          <w:lang w:val="en-US"/>
        </w:rPr>
        <w:t>Chemical compatibility for plastic packaging</w:t>
      </w:r>
    </w:p>
    <w:p w:rsidR="00FA72F4" w:rsidRPr="000F0E45" w:rsidRDefault="00B24FE1" w:rsidP="007738BE">
      <w:pPr>
        <w:pStyle w:val="SingleTxtG"/>
        <w:spacing w:before="120"/>
        <w:rPr>
          <w:lang w:val="en-US"/>
        </w:rPr>
      </w:pPr>
      <w:r>
        <w:rPr>
          <w:lang w:val="en-US"/>
        </w:rPr>
        <w:t>25.</w:t>
      </w:r>
      <w:r>
        <w:rPr>
          <w:lang w:val="en-US"/>
        </w:rPr>
        <w:tab/>
      </w:r>
      <w:r w:rsidR="00FA72F4" w:rsidRPr="000F0E45">
        <w:rPr>
          <w:lang w:val="en-US"/>
        </w:rPr>
        <w:t xml:space="preserve">The rule for collective entries (figure </w:t>
      </w:r>
      <w:r w:rsidR="00FA72F4">
        <w:rPr>
          <w:lang w:val="en-US"/>
        </w:rPr>
        <w:t xml:space="preserve">ADR </w:t>
      </w:r>
      <w:r w:rsidR="00FA72F4" w:rsidRPr="000F0E45">
        <w:rPr>
          <w:lang w:val="en-US"/>
        </w:rPr>
        <w:t>4.1.1.</w:t>
      </w:r>
      <w:r w:rsidR="00BC09AC" w:rsidRPr="000F0E45">
        <w:rPr>
          <w:lang w:val="en-US"/>
        </w:rPr>
        <w:t>2</w:t>
      </w:r>
      <w:r w:rsidR="00BC09AC">
        <w:rPr>
          <w:lang w:val="en-US"/>
        </w:rPr>
        <w:t>1</w:t>
      </w:r>
      <w:bookmarkStart w:id="0" w:name="_GoBack"/>
      <w:bookmarkEnd w:id="0"/>
      <w:r w:rsidR="00FA72F4" w:rsidRPr="000F0E45">
        <w:rPr>
          <w:lang w:val="en-US"/>
        </w:rPr>
        <w:t>.2) requires the exact composition of the waste. In most cases, it leads to a declaration of “further testing requested”, which means it will be stored at room temperature for 6 months or on a test piece for 3 weeks under conditions</w:t>
      </w:r>
      <w:r w:rsidR="00FA72F4">
        <w:rPr>
          <w:lang w:val="en-US"/>
        </w:rPr>
        <w:t xml:space="preserve">, which is </w:t>
      </w:r>
      <w:r w:rsidR="00FA72F4" w:rsidRPr="000F0E45">
        <w:rPr>
          <w:lang w:val="en-US"/>
        </w:rPr>
        <w:t xml:space="preserve">in practice </w:t>
      </w:r>
      <w:r w:rsidR="00FA72F4">
        <w:rPr>
          <w:lang w:val="en-US"/>
        </w:rPr>
        <w:t>i</w:t>
      </w:r>
      <w:r w:rsidR="00FA72F4" w:rsidRPr="000F0E45">
        <w:rPr>
          <w:lang w:val="en-US"/>
        </w:rPr>
        <w:t>napplicable for waste</w:t>
      </w:r>
      <w:r w:rsidR="00FA72F4">
        <w:rPr>
          <w:lang w:val="en-US"/>
        </w:rPr>
        <w:t>.</w:t>
      </w:r>
    </w:p>
    <w:p w:rsidR="00FA72F4" w:rsidRPr="007A69FA" w:rsidRDefault="00B24FE1" w:rsidP="007738BE">
      <w:pPr>
        <w:pStyle w:val="SingleTxtG"/>
        <w:spacing w:before="120"/>
        <w:rPr>
          <w:lang w:val="en-US"/>
        </w:rPr>
      </w:pPr>
      <w:r>
        <w:rPr>
          <w:lang w:val="en-US"/>
        </w:rPr>
        <w:t>26.</w:t>
      </w:r>
      <w:r>
        <w:rPr>
          <w:lang w:val="en-US"/>
        </w:rPr>
        <w:tab/>
      </w:r>
      <w:r w:rsidR="00FA72F4" w:rsidRPr="007A69FA">
        <w:rPr>
          <w:lang w:val="en-US"/>
        </w:rPr>
        <w:t>Rules concerning compatibility for chemical packaging were simpler and more practical in ADR 2001.</w:t>
      </w:r>
    </w:p>
    <w:p w:rsidR="00FA72F4" w:rsidRPr="007A69FA" w:rsidRDefault="00B24FE1" w:rsidP="007738BE">
      <w:pPr>
        <w:pStyle w:val="SingleTxtG"/>
        <w:spacing w:before="120"/>
        <w:rPr>
          <w:lang w:val="en-US"/>
        </w:rPr>
      </w:pPr>
      <w:r>
        <w:rPr>
          <w:lang w:val="en-US"/>
        </w:rPr>
        <w:t>27.</w:t>
      </w:r>
      <w:r>
        <w:rPr>
          <w:lang w:val="en-US"/>
        </w:rPr>
        <w:tab/>
      </w:r>
      <w:r w:rsidR="00FA72F4">
        <w:rPr>
          <w:lang w:val="en-US"/>
        </w:rPr>
        <w:t xml:space="preserve">The sole national derogation dealing with this issue is </w:t>
      </w:r>
      <w:proofErr w:type="spellStart"/>
      <w:r w:rsidR="00FA72F4">
        <w:rPr>
          <w:lang w:val="en-US"/>
        </w:rPr>
        <w:t>Ausnahme</w:t>
      </w:r>
      <w:proofErr w:type="spellEnd"/>
      <w:r w:rsidR="00FA72F4">
        <w:rPr>
          <w:lang w:val="en-US"/>
        </w:rPr>
        <w:t xml:space="preserve"> 20 in Germany.</w:t>
      </w:r>
      <w:r w:rsidR="00FA72F4" w:rsidRPr="007A69FA">
        <w:rPr>
          <w:lang w:val="en-US"/>
        </w:rPr>
        <w:t xml:space="preserve"> </w:t>
      </w:r>
      <w:r w:rsidR="00FA72F4">
        <w:rPr>
          <w:lang w:val="en-US"/>
        </w:rPr>
        <w:t>This derogation is based on “</w:t>
      </w:r>
      <w:proofErr w:type="spellStart"/>
      <w:r w:rsidR="00FA72F4" w:rsidRPr="007A69FA">
        <w:rPr>
          <w:lang w:val="en-US"/>
        </w:rPr>
        <w:t>Abfallgruppe</w:t>
      </w:r>
      <w:proofErr w:type="spellEnd"/>
      <w:r w:rsidR="00FA72F4" w:rsidRPr="007A69FA">
        <w:rPr>
          <w:lang w:val="en-US"/>
        </w:rPr>
        <w:t xml:space="preserve">” </w:t>
      </w:r>
      <w:r w:rsidR="00FA72F4">
        <w:rPr>
          <w:lang w:val="en-US"/>
        </w:rPr>
        <w:t>(waste groups)</w:t>
      </w:r>
      <w:r w:rsidR="00FA72F4" w:rsidRPr="007A69FA">
        <w:rPr>
          <w:lang w:val="en-US"/>
        </w:rPr>
        <w:t xml:space="preserve">, </w:t>
      </w:r>
      <w:r w:rsidR="00FA72F4">
        <w:rPr>
          <w:lang w:val="en-US"/>
        </w:rPr>
        <w:t>and not on</w:t>
      </w:r>
      <w:r w:rsidR="00FA72F4" w:rsidRPr="007A69FA">
        <w:rPr>
          <w:lang w:val="en-US"/>
        </w:rPr>
        <w:t xml:space="preserve"> UN numbers.</w:t>
      </w:r>
    </w:p>
    <w:p w:rsidR="00FA72F4" w:rsidRPr="007A69FA" w:rsidRDefault="00B24FE1" w:rsidP="007738BE">
      <w:pPr>
        <w:pStyle w:val="SingleTxtG"/>
        <w:spacing w:before="120"/>
        <w:rPr>
          <w:lang w:val="en-US"/>
        </w:rPr>
      </w:pPr>
      <w:r>
        <w:rPr>
          <w:lang w:val="en-US"/>
        </w:rPr>
        <w:t>28.</w:t>
      </w:r>
      <w:r>
        <w:rPr>
          <w:lang w:val="en-US"/>
        </w:rPr>
        <w:tab/>
      </w:r>
      <w:r w:rsidR="00FA72F4" w:rsidRPr="007A69FA">
        <w:rPr>
          <w:lang w:val="en-US"/>
        </w:rPr>
        <w:t xml:space="preserve">Such an approach </w:t>
      </w:r>
      <w:r w:rsidR="00FA72F4">
        <w:rPr>
          <w:lang w:val="en-US"/>
        </w:rPr>
        <w:t>could be inspiring for the ADR.</w:t>
      </w:r>
    </w:p>
    <w:p w:rsidR="00FA72F4" w:rsidRPr="007A69FA" w:rsidRDefault="00FA72F4" w:rsidP="0054236F">
      <w:pPr>
        <w:tabs>
          <w:tab w:val="left" w:pos="1215"/>
        </w:tabs>
        <w:spacing w:before="120" w:after="120" w:line="240" w:lineRule="exact"/>
        <w:ind w:left="1134" w:right="1134"/>
        <w:rPr>
          <w:b/>
          <w:lang w:val="en-US"/>
        </w:rPr>
      </w:pPr>
      <w:r w:rsidRPr="007A69FA">
        <w:rPr>
          <w:b/>
          <w:lang w:val="en-US"/>
        </w:rPr>
        <w:t>Packaging of medical waste</w:t>
      </w:r>
    </w:p>
    <w:p w:rsidR="00FA72F4" w:rsidRPr="003B26BE" w:rsidRDefault="0054236F" w:rsidP="007738BE">
      <w:pPr>
        <w:pStyle w:val="SingleTxtG"/>
        <w:spacing w:before="120"/>
        <w:rPr>
          <w:rFonts w:eastAsiaTheme="minorHAnsi"/>
        </w:rPr>
      </w:pPr>
      <w:r>
        <w:rPr>
          <w:rFonts w:eastAsiaTheme="minorHAnsi"/>
        </w:rPr>
        <w:t>29.</w:t>
      </w:r>
      <w:r>
        <w:rPr>
          <w:rFonts w:eastAsiaTheme="minorHAnsi"/>
        </w:rPr>
        <w:tab/>
      </w:r>
      <w:r w:rsidR="00FA72F4">
        <w:rPr>
          <w:rFonts w:eastAsiaTheme="minorHAnsi"/>
        </w:rPr>
        <w:t xml:space="preserve">The management of medical waste inside hospital institutions must respect specific rules </w:t>
      </w:r>
      <w:proofErr w:type="gramStart"/>
      <w:r w:rsidR="00FA72F4">
        <w:rPr>
          <w:rFonts w:eastAsiaTheme="minorHAnsi"/>
        </w:rPr>
        <w:t>in order to</w:t>
      </w:r>
      <w:proofErr w:type="gramEnd"/>
      <w:r w:rsidR="00FA72F4">
        <w:rPr>
          <w:rFonts w:eastAsiaTheme="minorHAnsi"/>
        </w:rPr>
        <w:t xml:space="preserve"> preserve the health of patients (absolute priority). As a result, increasingly automatized hospital practices are not always in conformity with ADR rules.</w:t>
      </w:r>
    </w:p>
    <w:p w:rsidR="00FA72F4" w:rsidRDefault="0054236F" w:rsidP="007738BE">
      <w:pPr>
        <w:pStyle w:val="SingleTxtG"/>
        <w:spacing w:before="120"/>
        <w:rPr>
          <w:rFonts w:eastAsiaTheme="minorHAnsi"/>
        </w:rPr>
      </w:pPr>
      <w:r>
        <w:rPr>
          <w:rFonts w:eastAsiaTheme="minorHAnsi"/>
        </w:rPr>
        <w:t>30.</w:t>
      </w:r>
      <w:r>
        <w:rPr>
          <w:rFonts w:eastAsiaTheme="minorHAnsi"/>
        </w:rPr>
        <w:tab/>
      </w:r>
      <w:r w:rsidR="00FA72F4">
        <w:rPr>
          <w:rFonts w:eastAsiaTheme="minorHAnsi"/>
        </w:rPr>
        <w:t xml:space="preserve">As an example, packing instruction </w:t>
      </w:r>
      <w:r w:rsidR="00FA72F4" w:rsidRPr="006B19EE">
        <w:rPr>
          <w:rFonts w:eastAsiaTheme="minorHAnsi"/>
        </w:rPr>
        <w:t>P621</w:t>
      </w:r>
      <w:r w:rsidR="00FA72F4">
        <w:rPr>
          <w:rFonts w:eastAsiaTheme="minorHAnsi"/>
        </w:rPr>
        <w:t xml:space="preserve"> that deals with medical waste (</w:t>
      </w:r>
      <w:r w:rsidR="00FA72F4" w:rsidRPr="006B19EE">
        <w:rPr>
          <w:rFonts w:eastAsiaTheme="minorHAnsi"/>
        </w:rPr>
        <w:t>UN 3291</w:t>
      </w:r>
      <w:r w:rsidR="00FA72F4">
        <w:rPr>
          <w:rFonts w:eastAsiaTheme="minorHAnsi"/>
        </w:rPr>
        <w:t xml:space="preserve">) </w:t>
      </w:r>
      <w:r w:rsidR="00FA72F4" w:rsidRPr="006B19EE">
        <w:rPr>
          <w:rFonts w:eastAsiaTheme="minorHAnsi"/>
        </w:rPr>
        <w:t xml:space="preserve">requires compliance </w:t>
      </w:r>
      <w:r w:rsidR="00FA72F4">
        <w:rPr>
          <w:rFonts w:eastAsiaTheme="minorHAnsi"/>
        </w:rPr>
        <w:t>with ADR</w:t>
      </w:r>
      <w:r w:rsidR="00FA72F4" w:rsidRPr="006B19EE">
        <w:rPr>
          <w:rFonts w:eastAsiaTheme="minorHAnsi"/>
        </w:rPr>
        <w:t xml:space="preserve"> 4.1.1.5.</w:t>
      </w:r>
      <w:r w:rsidR="00FA72F4">
        <w:rPr>
          <w:rFonts w:eastAsiaTheme="minorHAnsi"/>
        </w:rPr>
        <w:t xml:space="preserve"> Consequently, up</w:t>
      </w:r>
      <w:r w:rsidR="00FA72F4" w:rsidRPr="006B19EE">
        <w:rPr>
          <w:rFonts w:eastAsiaTheme="minorHAnsi"/>
        </w:rPr>
        <w:t>wards closure systems</w:t>
      </w:r>
      <w:r w:rsidR="00FA72F4">
        <w:rPr>
          <w:rFonts w:eastAsiaTheme="minorHAnsi"/>
        </w:rPr>
        <w:t xml:space="preserve"> are necessary</w:t>
      </w:r>
      <w:r w:rsidR="00FA72F4" w:rsidRPr="006B19EE">
        <w:rPr>
          <w:rFonts w:eastAsiaTheme="minorHAnsi"/>
        </w:rPr>
        <w:t xml:space="preserve"> for inner packaging with liquids, placed within the outer packaging</w:t>
      </w:r>
      <w:r w:rsidR="00FA72F4">
        <w:rPr>
          <w:rFonts w:eastAsiaTheme="minorHAnsi"/>
        </w:rPr>
        <w:t xml:space="preserve"> and</w:t>
      </w:r>
      <w:r w:rsidR="00FA72F4" w:rsidRPr="006B19EE">
        <w:rPr>
          <w:rFonts w:eastAsiaTheme="minorHAnsi"/>
        </w:rPr>
        <w:t xml:space="preserve"> conform</w:t>
      </w:r>
      <w:r w:rsidR="00FA72F4">
        <w:rPr>
          <w:rFonts w:eastAsiaTheme="minorHAnsi"/>
        </w:rPr>
        <w:t xml:space="preserve"> to</w:t>
      </w:r>
      <w:r w:rsidR="00FA72F4" w:rsidRPr="006B19EE">
        <w:rPr>
          <w:rFonts w:eastAsiaTheme="minorHAnsi"/>
        </w:rPr>
        <w:t xml:space="preserve"> orientation marks </w:t>
      </w:r>
      <w:r w:rsidR="00FA72F4">
        <w:rPr>
          <w:rFonts w:eastAsiaTheme="minorHAnsi"/>
        </w:rPr>
        <w:t xml:space="preserve">as </w:t>
      </w:r>
      <w:r w:rsidR="00FA72F4" w:rsidRPr="006B19EE">
        <w:rPr>
          <w:rFonts w:eastAsiaTheme="minorHAnsi"/>
        </w:rPr>
        <w:t xml:space="preserve">prescribed in </w:t>
      </w:r>
      <w:r w:rsidR="00FA72F4">
        <w:rPr>
          <w:rFonts w:eastAsiaTheme="minorHAnsi"/>
        </w:rPr>
        <w:t xml:space="preserve">ADR </w:t>
      </w:r>
      <w:r w:rsidR="00FA72F4" w:rsidRPr="006B19EE">
        <w:rPr>
          <w:rFonts w:eastAsiaTheme="minorHAnsi"/>
        </w:rPr>
        <w:t>5.2.1.10. This is possible for chemicals but</w:t>
      </w:r>
      <w:r w:rsidR="00FA72F4">
        <w:rPr>
          <w:rFonts w:eastAsiaTheme="minorHAnsi"/>
        </w:rPr>
        <w:t xml:space="preserve"> is difficult</w:t>
      </w:r>
      <w:r w:rsidR="00FA72F4" w:rsidRPr="006B19EE">
        <w:rPr>
          <w:rFonts w:eastAsiaTheme="minorHAnsi"/>
        </w:rPr>
        <w:t xml:space="preserve"> for </w:t>
      </w:r>
      <w:r w:rsidR="00FA72F4">
        <w:rPr>
          <w:rFonts w:eastAsiaTheme="minorHAnsi"/>
        </w:rPr>
        <w:t>automatic medical processes.</w:t>
      </w:r>
    </w:p>
    <w:p w:rsidR="00FA72F4" w:rsidRPr="00CE6539" w:rsidRDefault="0054236F" w:rsidP="007738BE">
      <w:pPr>
        <w:pStyle w:val="SingleTxtG"/>
        <w:spacing w:before="120"/>
        <w:rPr>
          <w:rFonts w:eastAsiaTheme="minorHAnsi"/>
        </w:rPr>
      </w:pPr>
      <w:r>
        <w:rPr>
          <w:rFonts w:eastAsiaTheme="minorHAnsi"/>
        </w:rPr>
        <w:t>31.</w:t>
      </w:r>
      <w:r>
        <w:rPr>
          <w:rFonts w:eastAsiaTheme="minorHAnsi"/>
        </w:rPr>
        <w:tab/>
      </w:r>
      <w:r w:rsidR="00FA72F4">
        <w:rPr>
          <w:rFonts w:eastAsiaTheme="minorHAnsi"/>
        </w:rPr>
        <w:t>Regarding the packaging of medical waste, the responsibilities go beyond those of the waste sector.  Both the medical and packaging sectors should be involved in identifying packaging problems and developing solutions thereto.</w:t>
      </w:r>
    </w:p>
    <w:p w:rsidR="00FA72F4" w:rsidRPr="007A69FA" w:rsidRDefault="00FA72F4" w:rsidP="0054236F">
      <w:pPr>
        <w:tabs>
          <w:tab w:val="left" w:pos="1215"/>
        </w:tabs>
        <w:spacing w:before="120" w:after="120" w:line="240" w:lineRule="exact"/>
        <w:ind w:left="1134" w:right="1134"/>
        <w:rPr>
          <w:b/>
          <w:lang w:val="en-US"/>
        </w:rPr>
      </w:pPr>
      <w:r w:rsidRPr="007A69FA">
        <w:rPr>
          <w:b/>
          <w:lang w:val="en-US"/>
        </w:rPr>
        <w:lastRenderedPageBreak/>
        <w:t>Quantity of waste transported in the transport document</w:t>
      </w:r>
    </w:p>
    <w:p w:rsidR="00FA72F4" w:rsidRPr="005F4DE6" w:rsidRDefault="0054236F" w:rsidP="007738BE">
      <w:pPr>
        <w:pStyle w:val="SingleTxtG"/>
        <w:spacing w:before="120"/>
        <w:rPr>
          <w:lang w:val="en-US"/>
        </w:rPr>
      </w:pPr>
      <w:r>
        <w:t>32.</w:t>
      </w:r>
      <w:r>
        <w:tab/>
      </w:r>
      <w:r w:rsidR="00FA72F4" w:rsidRPr="005F4DE6">
        <w:t>There should be a tolerance to have an estimated quantity for waste, as it is allowed on the specific waste consignment not</w:t>
      </w:r>
      <w:r w:rsidR="00FA72F4">
        <w:t>e set by environmental legislation</w:t>
      </w:r>
      <w:r w:rsidR="00FA72F4" w:rsidRPr="005F4DE6">
        <w:t>.</w:t>
      </w:r>
    </w:p>
    <w:p w:rsidR="00FA72F4" w:rsidRPr="007A69FA" w:rsidRDefault="0054236F" w:rsidP="0054236F">
      <w:pPr>
        <w:pStyle w:val="SingleTxtG"/>
        <w:rPr>
          <w:lang w:val="en-US"/>
        </w:rPr>
      </w:pPr>
      <w:r>
        <w:rPr>
          <w:lang w:val="en-US"/>
        </w:rPr>
        <w:t>33.</w:t>
      </w:r>
      <w:r>
        <w:rPr>
          <w:lang w:val="en-US"/>
        </w:rPr>
        <w:tab/>
      </w:r>
      <w:r w:rsidR="00FA72F4">
        <w:rPr>
          <w:lang w:val="en-US"/>
        </w:rPr>
        <w:t>For practical reasons</w:t>
      </w:r>
      <w:r w:rsidR="00FA72F4" w:rsidRPr="007A69FA">
        <w:rPr>
          <w:lang w:val="en-US"/>
        </w:rPr>
        <w:t xml:space="preserve">, it is </w:t>
      </w:r>
      <w:r w:rsidR="00FA72F4">
        <w:rPr>
          <w:lang w:val="en-US"/>
        </w:rPr>
        <w:t xml:space="preserve">sometimes not </w:t>
      </w:r>
      <w:r w:rsidR="00FA72F4" w:rsidRPr="007A69FA">
        <w:rPr>
          <w:lang w:val="en-US"/>
        </w:rPr>
        <w:t xml:space="preserve">feasible to put the exact </w:t>
      </w:r>
      <w:r w:rsidR="00FA72F4">
        <w:rPr>
          <w:lang w:val="en-US"/>
        </w:rPr>
        <w:t>weight</w:t>
      </w:r>
      <w:r w:rsidR="00FA72F4" w:rsidRPr="007A69FA">
        <w:rPr>
          <w:lang w:val="en-US"/>
        </w:rPr>
        <w:t xml:space="preserve"> of the waste in the transport document.</w:t>
      </w:r>
    </w:p>
    <w:p w:rsidR="00FA72F4" w:rsidRPr="007A69FA" w:rsidRDefault="0054236F" w:rsidP="0054236F">
      <w:pPr>
        <w:pStyle w:val="SingleTxtG"/>
        <w:rPr>
          <w:lang w:val="en-US"/>
        </w:rPr>
      </w:pPr>
      <w:r>
        <w:rPr>
          <w:lang w:val="en-US"/>
        </w:rPr>
        <w:t>34.</w:t>
      </w:r>
      <w:r>
        <w:rPr>
          <w:lang w:val="en-US"/>
        </w:rPr>
        <w:tab/>
      </w:r>
      <w:r w:rsidR="00FA72F4">
        <w:rPr>
          <w:lang w:val="en-US"/>
        </w:rPr>
        <w:t>Several solutions have already been developed in different national derogations. Harmonization at ADR level is desirable.</w:t>
      </w:r>
    </w:p>
    <w:p w:rsidR="00FA72F4" w:rsidRPr="007A69FA" w:rsidRDefault="00FA72F4" w:rsidP="0054236F">
      <w:pPr>
        <w:tabs>
          <w:tab w:val="left" w:pos="1215"/>
        </w:tabs>
        <w:spacing w:before="120" w:after="120" w:line="240" w:lineRule="exact"/>
        <w:ind w:left="1134" w:right="1134"/>
        <w:rPr>
          <w:b/>
          <w:lang w:val="en-US"/>
        </w:rPr>
      </w:pPr>
      <w:r w:rsidRPr="007A69FA">
        <w:rPr>
          <w:b/>
          <w:lang w:val="en-US"/>
        </w:rPr>
        <w:t>Transport of UN 3509 in sheeted bulk containers or vehicle (not only closed)</w:t>
      </w:r>
    </w:p>
    <w:p w:rsidR="00FA72F4" w:rsidRPr="007C502F" w:rsidRDefault="0054236F" w:rsidP="0054236F">
      <w:pPr>
        <w:pStyle w:val="SingleTxtG"/>
        <w:rPr>
          <w:lang w:val="en-US"/>
        </w:rPr>
      </w:pPr>
      <w:r>
        <w:rPr>
          <w:lang w:val="en-US"/>
        </w:rPr>
        <w:t>35.</w:t>
      </w:r>
      <w:r>
        <w:rPr>
          <w:lang w:val="en-US"/>
        </w:rPr>
        <w:tab/>
      </w:r>
      <w:r w:rsidR="00FA72F4" w:rsidRPr="00B8514A">
        <w:rPr>
          <w:lang w:val="en-US"/>
        </w:rPr>
        <w:t>In several countries, closed transport units are not the usual way of working. Sheeted transport is authorized for UN</w:t>
      </w:r>
      <w:r w:rsidR="00FA72F4">
        <w:rPr>
          <w:lang w:val="en-US"/>
        </w:rPr>
        <w:t xml:space="preserve"> </w:t>
      </w:r>
      <w:r w:rsidR="00FA72F4" w:rsidRPr="00B8514A">
        <w:rPr>
          <w:lang w:val="en-US"/>
        </w:rPr>
        <w:t xml:space="preserve">3175 and UN 3243, </w:t>
      </w:r>
      <w:r w:rsidR="00FA72F4">
        <w:rPr>
          <w:lang w:val="en-US"/>
        </w:rPr>
        <w:t>but</w:t>
      </w:r>
      <w:r w:rsidR="00FA72F4" w:rsidRPr="00B8514A">
        <w:rPr>
          <w:lang w:val="en-US"/>
        </w:rPr>
        <w:t xml:space="preserve"> not for UN 3509</w:t>
      </w:r>
      <w:r w:rsidR="00FA72F4">
        <w:rPr>
          <w:lang w:val="en-US"/>
        </w:rPr>
        <w:t xml:space="preserve">, only via certain </w:t>
      </w:r>
      <w:r w:rsidR="00FA72F4" w:rsidRPr="007C502F">
        <w:rPr>
          <w:lang w:val="en-US"/>
        </w:rPr>
        <w:t xml:space="preserve">national derogations including the multilateral agreement M287 initiated by Austria. </w:t>
      </w:r>
      <w:r w:rsidR="00FA72F4" w:rsidRPr="007C502F">
        <w:t>Harmonisation at ADR level is desirable.</w:t>
      </w:r>
    </w:p>
    <w:p w:rsidR="00FA72F4" w:rsidRPr="007A69FA" w:rsidRDefault="00FA72F4" w:rsidP="0054236F">
      <w:pPr>
        <w:tabs>
          <w:tab w:val="left" w:pos="1215"/>
        </w:tabs>
        <w:spacing w:before="120" w:after="120" w:line="240" w:lineRule="exact"/>
        <w:ind w:left="1134" w:right="1134"/>
        <w:rPr>
          <w:b/>
          <w:lang w:val="en-US"/>
        </w:rPr>
      </w:pPr>
      <w:r w:rsidRPr="007A69FA">
        <w:rPr>
          <w:b/>
          <w:lang w:val="en-US"/>
        </w:rPr>
        <w:t>Carriage of polymerizing substances as waste</w:t>
      </w:r>
    </w:p>
    <w:p w:rsidR="00FA72F4" w:rsidRPr="0067309F" w:rsidRDefault="0054236F" w:rsidP="0054236F">
      <w:pPr>
        <w:pStyle w:val="SingleTxtG"/>
        <w:rPr>
          <w:lang w:val="en-US"/>
        </w:rPr>
      </w:pPr>
      <w:r>
        <w:rPr>
          <w:lang w:val="en-US"/>
        </w:rPr>
        <w:t>36.</w:t>
      </w:r>
      <w:r>
        <w:rPr>
          <w:lang w:val="en-US"/>
        </w:rPr>
        <w:tab/>
      </w:r>
      <w:r w:rsidR="00FA72F4" w:rsidRPr="0067309F">
        <w:rPr>
          <w:lang w:val="en-US"/>
        </w:rPr>
        <w:t xml:space="preserve">A prerequisite for the transport of polymerizing substance is </w:t>
      </w:r>
      <w:proofErr w:type="gramStart"/>
      <w:r w:rsidR="00FA72F4" w:rsidRPr="0067309F">
        <w:rPr>
          <w:lang w:val="en-US"/>
        </w:rPr>
        <w:t>sufficient</w:t>
      </w:r>
      <w:proofErr w:type="gramEnd"/>
      <w:r w:rsidR="00FA72F4" w:rsidRPr="0067309F">
        <w:rPr>
          <w:lang w:val="en-US"/>
        </w:rPr>
        <w:t xml:space="preserve"> stabilization. A large amount of this polymerizing substances is also carried as waste. In that case, the information required for complying with the provisions is often not available or the properties have changed.</w:t>
      </w:r>
    </w:p>
    <w:p w:rsidR="00FA72F4" w:rsidRDefault="0054236F" w:rsidP="0054236F">
      <w:pPr>
        <w:pStyle w:val="SingleTxtG"/>
        <w:rPr>
          <w:lang w:val="en-US"/>
        </w:rPr>
      </w:pPr>
      <w:r>
        <w:rPr>
          <w:lang w:val="en-US"/>
        </w:rPr>
        <w:t>37.</w:t>
      </w:r>
      <w:r>
        <w:rPr>
          <w:lang w:val="en-US"/>
        </w:rPr>
        <w:tab/>
      </w:r>
      <w:r w:rsidR="00FA72F4">
        <w:rPr>
          <w:lang w:val="en-US"/>
        </w:rPr>
        <w:t>Cases have occurred in which outside heat has caused reactions within the waste-containing tank, despite the contained substances not being inherently dangerous.</w:t>
      </w:r>
    </w:p>
    <w:p w:rsidR="00FA72F4" w:rsidRPr="007C2768" w:rsidRDefault="0054236F" w:rsidP="0054236F">
      <w:pPr>
        <w:pStyle w:val="SingleTxtG"/>
        <w:rPr>
          <w:lang w:val="en-US"/>
        </w:rPr>
      </w:pPr>
      <w:r>
        <w:rPr>
          <w:lang w:val="en-US"/>
        </w:rPr>
        <w:t>38.</w:t>
      </w:r>
      <w:r>
        <w:rPr>
          <w:lang w:val="en-US"/>
        </w:rPr>
        <w:tab/>
      </w:r>
      <w:r w:rsidR="00FA72F4" w:rsidRPr="007A69FA">
        <w:rPr>
          <w:lang w:val="en-US"/>
        </w:rPr>
        <w:t>This issue was already submitted by the government of Germany in the paper ECE/TRANS/WP</w:t>
      </w:r>
      <w:r w:rsidR="003931FC">
        <w:rPr>
          <w:lang w:val="en-US"/>
        </w:rPr>
        <w:t>.</w:t>
      </w:r>
      <w:r w:rsidR="00FA72F4" w:rsidRPr="007A69FA">
        <w:rPr>
          <w:lang w:val="en-US"/>
        </w:rPr>
        <w:t>15/AC</w:t>
      </w:r>
      <w:r w:rsidR="003931FC">
        <w:rPr>
          <w:lang w:val="en-US"/>
        </w:rPr>
        <w:t>.</w:t>
      </w:r>
      <w:r w:rsidR="00FA72F4" w:rsidRPr="007A69FA">
        <w:rPr>
          <w:lang w:val="en-US"/>
        </w:rPr>
        <w:t>1/2019/8</w:t>
      </w:r>
      <w:r w:rsidR="00FA72F4">
        <w:rPr>
          <w:lang w:val="en-US"/>
        </w:rPr>
        <w:t xml:space="preserve"> and is by consequence already managed by the Joint Meeting. </w:t>
      </w:r>
    </w:p>
    <w:p w:rsidR="00FA72F4" w:rsidRPr="007A69FA" w:rsidRDefault="00FA72F4" w:rsidP="0054236F">
      <w:pPr>
        <w:tabs>
          <w:tab w:val="left" w:pos="1215"/>
        </w:tabs>
        <w:spacing w:before="120" w:after="120" w:line="240" w:lineRule="exact"/>
        <w:ind w:left="1134" w:right="1134"/>
        <w:rPr>
          <w:b/>
          <w:lang w:val="en-US"/>
        </w:rPr>
      </w:pPr>
      <w:r w:rsidRPr="007A69FA">
        <w:rPr>
          <w:b/>
          <w:lang w:val="en-US"/>
        </w:rPr>
        <w:t>Transport of large volumes of asbestos contaminated objects or soil in bulk</w:t>
      </w:r>
    </w:p>
    <w:p w:rsidR="00FA72F4" w:rsidRPr="001752D8" w:rsidRDefault="0054236F" w:rsidP="0054236F">
      <w:pPr>
        <w:pStyle w:val="SingleTxtG"/>
        <w:rPr>
          <w:lang w:val="en-US"/>
        </w:rPr>
      </w:pPr>
      <w:r>
        <w:t>39.</w:t>
      </w:r>
      <w:r>
        <w:tab/>
      </w:r>
      <w:r w:rsidR="00FA72F4">
        <w:t xml:space="preserve">ADR special provision </w:t>
      </w:r>
      <w:r w:rsidR="00FA72F4" w:rsidRPr="001752D8">
        <w:t>168</w:t>
      </w:r>
      <w:r w:rsidR="00FA72F4">
        <w:t xml:space="preserve"> does not refer to quantified levels of free asbestos contamination, reason why diverging interpretations are applied at national level.</w:t>
      </w:r>
    </w:p>
    <w:p w:rsidR="00FA72F4" w:rsidRPr="006375D5" w:rsidRDefault="0054236F" w:rsidP="0054236F">
      <w:pPr>
        <w:pStyle w:val="SingleTxtG"/>
        <w:rPr>
          <w:lang w:val="en-US"/>
        </w:rPr>
      </w:pPr>
      <w:r>
        <w:rPr>
          <w:lang w:val="en-US"/>
        </w:rPr>
        <w:t>40.</w:t>
      </w:r>
      <w:r>
        <w:rPr>
          <w:lang w:val="en-US"/>
        </w:rPr>
        <w:tab/>
      </w:r>
      <w:r w:rsidR="00FA72F4" w:rsidRPr="007A69FA">
        <w:rPr>
          <w:lang w:val="en-US"/>
        </w:rPr>
        <w:t xml:space="preserve">France </w:t>
      </w:r>
      <w:r w:rsidR="00FA72F4">
        <w:rPr>
          <w:lang w:val="en-US"/>
        </w:rPr>
        <w:t>has developed</w:t>
      </w:r>
      <w:r w:rsidR="00FA72F4" w:rsidRPr="007A69FA">
        <w:rPr>
          <w:lang w:val="en-US"/>
        </w:rPr>
        <w:t xml:space="preserve"> a national derogation</w:t>
      </w:r>
      <w:r w:rsidR="00FA72F4">
        <w:rPr>
          <w:lang w:val="en-US"/>
        </w:rPr>
        <w:t xml:space="preserve"> </w:t>
      </w:r>
      <w:proofErr w:type="gramStart"/>
      <w:r w:rsidR="00FA72F4">
        <w:rPr>
          <w:lang w:val="en-US"/>
        </w:rPr>
        <w:t>in order to</w:t>
      </w:r>
      <w:proofErr w:type="gramEnd"/>
      <w:r w:rsidR="00FA72F4">
        <w:rPr>
          <w:lang w:val="en-US"/>
        </w:rPr>
        <w:t xml:space="preserve"> transport large volumes of asbestos in bulk, considering that ADR special provision 168 was not applicable in this case. Harmonization at ADR level is desirable.</w:t>
      </w:r>
    </w:p>
    <w:p w:rsidR="00FA72F4" w:rsidRDefault="00FA72F4" w:rsidP="0054236F">
      <w:pPr>
        <w:tabs>
          <w:tab w:val="left" w:pos="1215"/>
        </w:tabs>
        <w:spacing w:before="120" w:after="120" w:line="240" w:lineRule="exact"/>
        <w:ind w:left="1134" w:right="1134"/>
        <w:rPr>
          <w:b/>
          <w:lang w:val="en-US"/>
        </w:rPr>
      </w:pPr>
      <w:r w:rsidRPr="007A69FA">
        <w:rPr>
          <w:b/>
          <w:lang w:val="en-US"/>
        </w:rPr>
        <w:t>For class 6.2, in addition to the information concerning the consignee, the name and telephone number of a responsible person shall be indicated</w:t>
      </w:r>
    </w:p>
    <w:p w:rsidR="00FA72F4" w:rsidRPr="00222FC4" w:rsidRDefault="0054236F" w:rsidP="007738BE">
      <w:pPr>
        <w:pStyle w:val="SingleTxtG"/>
        <w:spacing w:before="120"/>
        <w:rPr>
          <w:lang w:val="en-US"/>
        </w:rPr>
      </w:pPr>
      <w:r>
        <w:rPr>
          <w:lang w:val="en-US"/>
        </w:rPr>
        <w:t>41.</w:t>
      </w:r>
      <w:r>
        <w:rPr>
          <w:lang w:val="en-US"/>
        </w:rPr>
        <w:tab/>
      </w:r>
      <w:r w:rsidR="00FA72F4" w:rsidRPr="00E24848">
        <w:rPr>
          <w:lang w:val="en-US"/>
        </w:rPr>
        <w:t xml:space="preserve">In </w:t>
      </w:r>
      <w:r w:rsidR="00FA72F4">
        <w:rPr>
          <w:lang w:val="en-US"/>
        </w:rPr>
        <w:t>modern</w:t>
      </w:r>
      <w:r w:rsidR="00FA72F4" w:rsidRPr="00E24848">
        <w:rPr>
          <w:lang w:val="en-US"/>
        </w:rPr>
        <w:t xml:space="preserve"> medical facilit</w:t>
      </w:r>
      <w:r w:rsidR="00FA72F4">
        <w:rPr>
          <w:lang w:val="en-US"/>
        </w:rPr>
        <w:t>ies</w:t>
      </w:r>
      <w:r w:rsidR="00FA72F4" w:rsidRPr="00E24848">
        <w:rPr>
          <w:lang w:val="en-US"/>
        </w:rPr>
        <w:t>, UN</w:t>
      </w:r>
      <w:r w:rsidR="00FA72F4">
        <w:rPr>
          <w:lang w:val="en-US"/>
        </w:rPr>
        <w:t xml:space="preserve"> </w:t>
      </w:r>
      <w:r w:rsidR="00FA72F4" w:rsidRPr="00E24848">
        <w:rPr>
          <w:lang w:val="en-US"/>
        </w:rPr>
        <w:t xml:space="preserve">3291 waste </w:t>
      </w:r>
      <w:r w:rsidR="00FA72F4" w:rsidRPr="00D969C0">
        <w:rPr>
          <w:lang w:val="en-US"/>
        </w:rPr>
        <w:t>is generated in many departments.</w:t>
      </w:r>
    </w:p>
    <w:p w:rsidR="00FA72F4" w:rsidRPr="00E24848" w:rsidRDefault="0054236F" w:rsidP="007738BE">
      <w:pPr>
        <w:pStyle w:val="SingleTxtG"/>
        <w:spacing w:before="120"/>
        <w:rPr>
          <w:lang w:val="en-US"/>
        </w:rPr>
      </w:pPr>
      <w:r>
        <w:rPr>
          <w:lang w:val="en-US"/>
        </w:rPr>
        <w:t>42.</w:t>
      </w:r>
      <w:r>
        <w:rPr>
          <w:lang w:val="en-US"/>
        </w:rPr>
        <w:tab/>
      </w:r>
      <w:r w:rsidR="00FA72F4" w:rsidRPr="00237D25">
        <w:rPr>
          <w:lang w:val="en-US"/>
        </w:rPr>
        <w:t>ADR 5.4.1.2.4 concerns Class 6.2. UN</w:t>
      </w:r>
      <w:r w:rsidR="003931FC">
        <w:rPr>
          <w:lang w:val="en-US"/>
        </w:rPr>
        <w:t xml:space="preserve"> </w:t>
      </w:r>
      <w:r w:rsidR="00FA72F4" w:rsidRPr="00237D25">
        <w:rPr>
          <w:lang w:val="en-US"/>
        </w:rPr>
        <w:t>3291 is the only UN</w:t>
      </w:r>
      <w:r w:rsidR="003931FC">
        <w:rPr>
          <w:lang w:val="en-US"/>
        </w:rPr>
        <w:t xml:space="preserve"> number</w:t>
      </w:r>
      <w:r w:rsidR="00FA72F4" w:rsidRPr="00237D25">
        <w:rPr>
          <w:lang w:val="en-US"/>
        </w:rPr>
        <w:t xml:space="preserve"> classified as 6.2 where the exact composition of which is not known.</w:t>
      </w:r>
      <w:r w:rsidR="00FA72F4">
        <w:rPr>
          <w:lang w:val="en-US"/>
        </w:rPr>
        <w:t xml:space="preserve"> </w:t>
      </w:r>
      <w:r w:rsidR="00FA72F4" w:rsidRPr="00D969C0">
        <w:rPr>
          <w:lang w:val="en-US"/>
        </w:rPr>
        <w:t>Adding the phone number and the responsible person on the transport document</w:t>
      </w:r>
      <w:r w:rsidR="00FA72F4" w:rsidRPr="00E24848">
        <w:rPr>
          <w:lang w:val="en-US"/>
        </w:rPr>
        <w:t xml:space="preserve"> </w:t>
      </w:r>
      <w:r w:rsidR="00FA72F4">
        <w:rPr>
          <w:lang w:val="en-US"/>
        </w:rPr>
        <w:t>as required by ADR 5.4.1.2.4 does not</w:t>
      </w:r>
      <w:r w:rsidR="00FA72F4" w:rsidRPr="00E24848">
        <w:rPr>
          <w:lang w:val="en-US"/>
        </w:rPr>
        <w:t xml:space="preserve"> ensure that this person,</w:t>
      </w:r>
      <w:r w:rsidR="00FA72F4">
        <w:rPr>
          <w:lang w:val="en-US"/>
        </w:rPr>
        <w:t xml:space="preserve"> contacted in case of accident,</w:t>
      </w:r>
      <w:r w:rsidR="00FA72F4" w:rsidRPr="00E24848">
        <w:rPr>
          <w:lang w:val="en-US"/>
        </w:rPr>
        <w:t xml:space="preserve"> </w:t>
      </w:r>
      <w:r w:rsidR="00FA72F4">
        <w:rPr>
          <w:lang w:val="en-US"/>
        </w:rPr>
        <w:t>would</w:t>
      </w:r>
      <w:r w:rsidR="00FA72F4" w:rsidRPr="00E24848">
        <w:rPr>
          <w:lang w:val="en-US"/>
        </w:rPr>
        <w:t xml:space="preserve"> </w:t>
      </w:r>
      <w:r w:rsidR="00FA72F4">
        <w:rPr>
          <w:lang w:val="en-US"/>
        </w:rPr>
        <w:t>be able to identify the precise origin of the package and would</w:t>
      </w:r>
      <w:r w:rsidR="00FA72F4" w:rsidRPr="00E24848">
        <w:rPr>
          <w:lang w:val="en-US"/>
        </w:rPr>
        <w:t xml:space="preserve"> </w:t>
      </w:r>
      <w:r w:rsidR="00FA72F4">
        <w:rPr>
          <w:lang w:val="en-US"/>
        </w:rPr>
        <w:t>not be able t</w:t>
      </w:r>
      <w:r w:rsidR="00FA72F4" w:rsidRPr="00E24848">
        <w:rPr>
          <w:lang w:val="en-US"/>
        </w:rPr>
        <w:t xml:space="preserve">o </w:t>
      </w:r>
      <w:r w:rsidR="00FA72F4">
        <w:rPr>
          <w:lang w:val="en-US"/>
        </w:rPr>
        <w:t>provide accurate</w:t>
      </w:r>
      <w:r w:rsidR="00FA72F4" w:rsidRPr="00E24848">
        <w:rPr>
          <w:lang w:val="en-US"/>
        </w:rPr>
        <w:t xml:space="preserve"> information on the content</w:t>
      </w:r>
      <w:r w:rsidR="00FA72F4">
        <w:rPr>
          <w:lang w:val="en-US"/>
        </w:rPr>
        <w:t>.</w:t>
      </w:r>
    </w:p>
    <w:p w:rsidR="00FA72F4" w:rsidRPr="006375D5" w:rsidRDefault="0054236F" w:rsidP="007738BE">
      <w:pPr>
        <w:pStyle w:val="SingleTxtG"/>
        <w:spacing w:before="120"/>
        <w:rPr>
          <w:lang w:val="en-US"/>
        </w:rPr>
      </w:pPr>
      <w:r>
        <w:rPr>
          <w:lang w:val="en-US"/>
        </w:rPr>
        <w:t>43.</w:t>
      </w:r>
      <w:r>
        <w:rPr>
          <w:lang w:val="en-US"/>
        </w:rPr>
        <w:tab/>
      </w:r>
      <w:r w:rsidR="00FA72F4">
        <w:rPr>
          <w:lang w:val="en-US"/>
        </w:rPr>
        <w:t>The hospital and department identity</w:t>
      </w:r>
      <w:r w:rsidR="00FA72F4" w:rsidRPr="00E24848">
        <w:rPr>
          <w:lang w:val="en-US"/>
        </w:rPr>
        <w:t xml:space="preserve">, </w:t>
      </w:r>
      <w:r w:rsidR="00FA72F4">
        <w:rPr>
          <w:lang w:val="en-US"/>
        </w:rPr>
        <w:t xml:space="preserve">as already legally required in some countries, would provide </w:t>
      </w:r>
      <w:proofErr w:type="gramStart"/>
      <w:r w:rsidR="00FA72F4">
        <w:rPr>
          <w:lang w:val="en-US"/>
        </w:rPr>
        <w:t>sufficient</w:t>
      </w:r>
      <w:proofErr w:type="gramEnd"/>
      <w:r w:rsidR="00FA72F4">
        <w:rPr>
          <w:lang w:val="en-US"/>
        </w:rPr>
        <w:t xml:space="preserve"> and effective information.</w:t>
      </w:r>
    </w:p>
    <w:p w:rsidR="00FA72F4" w:rsidRPr="007A69FA" w:rsidRDefault="00FA72F4" w:rsidP="0054236F">
      <w:pPr>
        <w:tabs>
          <w:tab w:val="left" w:pos="1215"/>
        </w:tabs>
        <w:spacing w:before="120" w:after="120" w:line="240" w:lineRule="exact"/>
        <w:ind w:left="1134" w:right="1134"/>
        <w:rPr>
          <w:b/>
          <w:color w:val="000000"/>
          <w:lang w:val="en-US"/>
        </w:rPr>
      </w:pPr>
      <w:r w:rsidRPr="007A69FA">
        <w:rPr>
          <w:b/>
          <w:color w:val="000000"/>
          <w:lang w:val="en-US"/>
        </w:rPr>
        <w:t>Exemption of pharmaceutical products ready for use</w:t>
      </w:r>
    </w:p>
    <w:p w:rsidR="00FA72F4" w:rsidRPr="0054236F" w:rsidRDefault="0054236F" w:rsidP="007738BE">
      <w:pPr>
        <w:pStyle w:val="SingleTxtG"/>
        <w:spacing w:before="120"/>
      </w:pPr>
      <w:r>
        <w:t>44.</w:t>
      </w:r>
      <w:r>
        <w:tab/>
      </w:r>
      <w:r w:rsidR="00FA72F4" w:rsidRPr="0054236F">
        <w:t>ADR special provision 601 exempts the transport of pharmaceutical products ready for use. Such an exemption is limited to products and is not applicable to waste.</w:t>
      </w:r>
    </w:p>
    <w:p w:rsidR="00FA72F4" w:rsidRPr="0054236F" w:rsidRDefault="0054236F" w:rsidP="007738BE">
      <w:pPr>
        <w:pStyle w:val="SingleTxtG"/>
        <w:spacing w:before="120"/>
      </w:pPr>
      <w:r>
        <w:t>45.</w:t>
      </w:r>
      <w:r>
        <w:tab/>
      </w:r>
      <w:r w:rsidR="00FA72F4" w:rsidRPr="0054236F">
        <w:t xml:space="preserve">Inclusion of this issue is inspired by multilateral agreement M287, initiated by Austria. </w:t>
      </w:r>
    </w:p>
    <w:p w:rsidR="00FA72F4" w:rsidRPr="007A69FA" w:rsidRDefault="0054236F" w:rsidP="0054236F">
      <w:pPr>
        <w:pStyle w:val="SingleTxtG"/>
        <w:rPr>
          <w:lang w:val="en-US"/>
        </w:rPr>
      </w:pPr>
      <w:r>
        <w:t>46.</w:t>
      </w:r>
      <w:r>
        <w:tab/>
      </w:r>
      <w:r w:rsidR="00FA72F4" w:rsidRPr="0054236F">
        <w:t>Safety concerns include the reluctance to exempt non-packaged pharmaceutical products. The transport of non-packaged pharmaceutical products has the potential for toxic or</w:t>
      </w:r>
      <w:r w:rsidR="00FA72F4" w:rsidRPr="007A69FA">
        <w:rPr>
          <w:lang w:val="en-US"/>
        </w:rPr>
        <w:t xml:space="preserve"> chemical effects, meaning that transport of a large quantity of such products could lead to a large collection of potentially hazardous substances.</w:t>
      </w:r>
    </w:p>
    <w:p w:rsidR="00FA72F4" w:rsidRDefault="0054236F" w:rsidP="0054236F">
      <w:pPr>
        <w:pStyle w:val="SingleTxtG"/>
        <w:rPr>
          <w:lang w:val="en-US"/>
        </w:rPr>
      </w:pPr>
      <w:r>
        <w:rPr>
          <w:lang w:val="en-US"/>
        </w:rPr>
        <w:t>47.</w:t>
      </w:r>
      <w:r>
        <w:rPr>
          <w:lang w:val="en-US"/>
        </w:rPr>
        <w:tab/>
      </w:r>
      <w:r w:rsidR="00FA72F4" w:rsidRPr="007A69FA">
        <w:rPr>
          <w:lang w:val="en-US"/>
        </w:rPr>
        <w:t>Thus, a</w:t>
      </w:r>
      <w:r w:rsidR="00FA72F4">
        <w:rPr>
          <w:lang w:val="en-US"/>
        </w:rPr>
        <w:t xml:space="preserve"> potential extension of ADR special provision 601 to waste, must integrate the above concerns.</w:t>
      </w:r>
    </w:p>
    <w:p w:rsidR="00FA72F4" w:rsidRDefault="0054236F" w:rsidP="0054236F">
      <w:pPr>
        <w:pStyle w:val="HChG"/>
      </w:pPr>
      <w:r>
        <w:lastRenderedPageBreak/>
        <w:tab/>
      </w:r>
      <w:r>
        <w:tab/>
      </w:r>
      <w:r w:rsidR="00FA72F4" w:rsidRPr="0085448A">
        <w:t>Annex</w:t>
      </w:r>
      <w:r w:rsidR="00FA72F4">
        <w:t xml:space="preserve"> A</w:t>
      </w:r>
    </w:p>
    <w:p w:rsidR="00FA72F4" w:rsidRDefault="0054236F" w:rsidP="0054236F">
      <w:pPr>
        <w:pStyle w:val="HChG"/>
      </w:pPr>
      <w:r>
        <w:tab/>
      </w:r>
      <w:r>
        <w:tab/>
      </w:r>
      <w:r w:rsidR="00FA72F4">
        <w:t>List of all issues discussed during the Informal Working Group</w:t>
      </w:r>
    </w:p>
    <w:p w:rsidR="00FA72F4" w:rsidRPr="008B23DA" w:rsidRDefault="00FA72F4" w:rsidP="00FA72F4">
      <w:pPr>
        <w:pStyle w:val="SingleTxtG"/>
        <w:spacing w:line="276" w:lineRule="auto"/>
        <w:ind w:left="0"/>
      </w:pPr>
      <w:r>
        <w:t>The issues are presented in the chronological order of discussion at the Informal Working Group</w:t>
      </w:r>
    </w:p>
    <w:tbl>
      <w:tblPr>
        <w:tblStyle w:val="TableGrid1"/>
        <w:tblW w:w="0" w:type="auto"/>
        <w:tblLook w:val="04A0" w:firstRow="1" w:lastRow="0" w:firstColumn="1" w:lastColumn="0" w:noHBand="0" w:noVBand="1"/>
      </w:tblPr>
      <w:tblGrid>
        <w:gridCol w:w="1144"/>
        <w:gridCol w:w="4805"/>
        <w:gridCol w:w="3680"/>
      </w:tblGrid>
      <w:tr w:rsidR="00FA72F4" w:rsidRPr="0085448A" w:rsidTr="007738BE">
        <w:trPr>
          <w:trHeight w:val="454"/>
          <w:tblHeader/>
        </w:trPr>
        <w:tc>
          <w:tcPr>
            <w:tcW w:w="0" w:type="auto"/>
            <w:shd w:val="clear" w:color="auto" w:fill="AEAAAA"/>
          </w:tcPr>
          <w:p w:rsidR="00FA72F4" w:rsidRPr="0085448A" w:rsidRDefault="00FA72F4" w:rsidP="007738BE">
            <w:pPr>
              <w:spacing w:before="60" w:afterLines="60" w:after="144"/>
              <w:jc w:val="center"/>
              <w:rPr>
                <w:rFonts w:ascii="Times New Roman" w:hAnsi="Times New Roman"/>
                <w:b/>
                <w:sz w:val="20"/>
                <w:szCs w:val="20"/>
              </w:rPr>
            </w:pPr>
            <w:r w:rsidRPr="0085448A">
              <w:rPr>
                <w:rFonts w:ascii="Times New Roman" w:hAnsi="Times New Roman"/>
                <w:b/>
                <w:sz w:val="20"/>
                <w:szCs w:val="20"/>
              </w:rPr>
              <w:t>Subject Number</w:t>
            </w:r>
          </w:p>
        </w:tc>
        <w:tc>
          <w:tcPr>
            <w:tcW w:w="4805" w:type="dxa"/>
            <w:shd w:val="clear" w:color="auto" w:fill="AEAAAA"/>
          </w:tcPr>
          <w:p w:rsidR="00FA72F4" w:rsidRPr="0085448A" w:rsidRDefault="00FA72F4" w:rsidP="007738BE">
            <w:pPr>
              <w:spacing w:before="60" w:afterLines="60" w:after="144"/>
              <w:jc w:val="center"/>
              <w:rPr>
                <w:rFonts w:ascii="Times New Roman" w:hAnsi="Times New Roman"/>
                <w:b/>
                <w:sz w:val="20"/>
                <w:szCs w:val="20"/>
              </w:rPr>
            </w:pPr>
            <w:r w:rsidRPr="0085448A">
              <w:rPr>
                <w:rFonts w:ascii="Times New Roman" w:hAnsi="Times New Roman"/>
                <w:b/>
                <w:sz w:val="20"/>
                <w:szCs w:val="20"/>
              </w:rPr>
              <w:t>Title</w:t>
            </w:r>
          </w:p>
        </w:tc>
        <w:tc>
          <w:tcPr>
            <w:tcW w:w="3680" w:type="dxa"/>
            <w:shd w:val="clear" w:color="auto" w:fill="AEAAAA"/>
          </w:tcPr>
          <w:p w:rsidR="00FA72F4" w:rsidRPr="0085448A" w:rsidRDefault="00FA72F4" w:rsidP="007738BE">
            <w:pPr>
              <w:spacing w:before="60" w:afterLines="60" w:after="144"/>
              <w:jc w:val="center"/>
              <w:rPr>
                <w:rFonts w:ascii="Times New Roman" w:hAnsi="Times New Roman"/>
                <w:b/>
                <w:sz w:val="20"/>
                <w:szCs w:val="20"/>
              </w:rPr>
            </w:pPr>
            <w:r w:rsidRPr="0085448A">
              <w:rPr>
                <w:rFonts w:ascii="Times New Roman" w:hAnsi="Times New Roman"/>
                <w:b/>
                <w:sz w:val="20"/>
                <w:szCs w:val="20"/>
              </w:rPr>
              <w:t>Decision</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r w:rsidRPr="0085448A">
              <w:rPr>
                <w:rFonts w:ascii="Times New Roman" w:hAnsi="Times New Roman"/>
                <w:b/>
                <w:sz w:val="20"/>
                <w:szCs w:val="20"/>
              </w:rPr>
              <w:t>1</w:t>
            </w:r>
          </w:p>
        </w:tc>
        <w:tc>
          <w:tcPr>
            <w:tcW w:w="4805" w:type="dxa"/>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r w:rsidRPr="0085448A">
              <w:rPr>
                <w:rFonts w:ascii="Times New Roman" w:hAnsi="Times New Roman"/>
                <w:b/>
                <w:sz w:val="20"/>
                <w:szCs w:val="20"/>
              </w:rPr>
              <w:t>Classification / Description / Exemption</w:t>
            </w:r>
          </w:p>
        </w:tc>
        <w:tc>
          <w:tcPr>
            <w:tcW w:w="3680" w:type="dxa"/>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p>
        </w:tc>
      </w:tr>
      <w:tr w:rsidR="00FA72F4" w:rsidRPr="0085448A" w:rsidTr="007738BE">
        <w:trPr>
          <w:trHeight w:val="454"/>
        </w:trPr>
        <w:tc>
          <w:tcPr>
            <w:tcW w:w="0" w:type="auto"/>
            <w:shd w:val="clear" w:color="auto" w:fill="FFFF00"/>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1.1</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Exemption of lamp containing dangerous goods</w:t>
            </w:r>
          </w:p>
        </w:tc>
        <w:tc>
          <w:tcPr>
            <w:tcW w:w="3680" w:type="dxa"/>
          </w:tcPr>
          <w:p w:rsidR="00FA72F4" w:rsidRPr="0085448A" w:rsidRDefault="00FA72F4" w:rsidP="007738BE">
            <w:pPr>
              <w:spacing w:before="60" w:afterLines="60" w:after="144"/>
              <w:rPr>
                <w:rFonts w:ascii="Times New Roman" w:hAnsi="Times New Roman"/>
                <w:sz w:val="20"/>
                <w:szCs w:val="20"/>
              </w:rPr>
            </w:pPr>
            <w:r w:rsidRPr="0085448A">
              <w:rPr>
                <w:rFonts w:ascii="Times New Roman" w:hAnsi="Times New Roman"/>
                <w:sz w:val="20"/>
                <w:szCs w:val="20"/>
              </w:rPr>
              <w:t xml:space="preserve">The inclusion of this issue is </w:t>
            </w:r>
            <w:r w:rsidRPr="0085448A">
              <w:rPr>
                <w:rFonts w:ascii="Times New Roman" w:hAnsi="Times New Roman"/>
                <w:b/>
                <w:sz w:val="20"/>
                <w:szCs w:val="20"/>
              </w:rPr>
              <w:t>temporarily not</w:t>
            </w:r>
            <w:r w:rsidRPr="0085448A">
              <w:rPr>
                <w:rFonts w:ascii="Times New Roman" w:hAnsi="Times New Roman"/>
                <w:sz w:val="20"/>
                <w:szCs w:val="20"/>
              </w:rPr>
              <w:t xml:space="preserve">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1.2</w:t>
            </w:r>
          </w:p>
        </w:tc>
        <w:tc>
          <w:tcPr>
            <w:tcW w:w="4805" w:type="dxa"/>
          </w:tcPr>
          <w:p w:rsidR="00FA72F4" w:rsidRPr="00C7406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Exemption of p</w:t>
            </w:r>
            <w:r w:rsidRPr="00C7406A">
              <w:rPr>
                <w:rFonts w:ascii="Times New Roman" w:hAnsi="Times New Roman"/>
                <w:sz w:val="20"/>
                <w:szCs w:val="20"/>
              </w:rPr>
              <w:t>harmaceutical products (medicines) ready for use</w:t>
            </w:r>
          </w:p>
        </w:tc>
        <w:tc>
          <w:tcPr>
            <w:tcW w:w="3680"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This issue is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1.3</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Exemption for emergency procedure</w:t>
            </w:r>
          </w:p>
        </w:tc>
        <w:tc>
          <w:tcPr>
            <w:tcW w:w="3680" w:type="dxa"/>
          </w:tcPr>
          <w:p w:rsidR="00FA72F4" w:rsidRPr="0085448A" w:rsidRDefault="00FA72F4" w:rsidP="007738BE">
            <w:pPr>
              <w:spacing w:before="60" w:afterLines="60" w:after="144"/>
              <w:rPr>
                <w:rFonts w:ascii="Times New Roman" w:hAnsi="Times New Roman"/>
                <w:sz w:val="20"/>
                <w:szCs w:val="20"/>
              </w:rPr>
            </w:pPr>
            <w:r w:rsidRPr="00C7406A">
              <w:rPr>
                <w:rFonts w:ascii="Times New Roman" w:hAnsi="Times New Roman"/>
                <w:sz w:val="20"/>
                <w:szCs w:val="20"/>
              </w:rPr>
              <w:t xml:space="preserve">This issue is </w:t>
            </w:r>
            <w:r w:rsidRPr="00C7406A">
              <w:rPr>
                <w:rFonts w:ascii="Times New Roman" w:hAnsi="Times New Roman"/>
                <w:b/>
                <w:i/>
                <w:sz w:val="20"/>
                <w:szCs w:val="20"/>
              </w:rPr>
              <w:t>not</w:t>
            </w:r>
            <w:r w:rsidRPr="00C7406A">
              <w:rPr>
                <w:rFonts w:ascii="Times New Roman" w:hAnsi="Times New Roman"/>
                <w:sz w:val="20"/>
                <w:szCs w:val="20"/>
              </w:rPr>
              <w:t xml:space="preserve">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1.4</w:t>
            </w:r>
          </w:p>
        </w:tc>
        <w:tc>
          <w:tcPr>
            <w:tcW w:w="4805" w:type="dxa"/>
          </w:tcPr>
          <w:p w:rsidR="00FA72F4" w:rsidRPr="0085448A" w:rsidRDefault="00FA72F4" w:rsidP="007738BE">
            <w:pPr>
              <w:spacing w:before="60" w:afterLines="60" w:after="144"/>
              <w:rPr>
                <w:rFonts w:ascii="Times New Roman" w:hAnsi="Times New Roman"/>
                <w:sz w:val="20"/>
                <w:szCs w:val="20"/>
              </w:rPr>
            </w:pPr>
            <w:r w:rsidRPr="0085448A">
              <w:rPr>
                <w:rFonts w:ascii="Times New Roman" w:hAnsi="Times New Roman"/>
                <w:sz w:val="20"/>
                <w:szCs w:val="20"/>
              </w:rPr>
              <w:t xml:space="preserve">Criteria for hazardous waste differ from the criteria for dangerous goods </w:t>
            </w:r>
          </w:p>
        </w:tc>
        <w:tc>
          <w:tcPr>
            <w:tcW w:w="3680" w:type="dxa"/>
          </w:tcPr>
          <w:p w:rsidR="00FA72F4" w:rsidRPr="0085448A" w:rsidRDefault="00FA72F4" w:rsidP="007738BE">
            <w:pPr>
              <w:spacing w:before="60" w:afterLines="60" w:after="144"/>
              <w:rPr>
                <w:rFonts w:ascii="Times New Roman" w:hAnsi="Times New Roman"/>
                <w:sz w:val="20"/>
                <w:szCs w:val="20"/>
              </w:rPr>
            </w:pPr>
            <w:r w:rsidRPr="0085448A">
              <w:rPr>
                <w:rFonts w:ascii="Times New Roman" w:hAnsi="Times New Roman"/>
                <w:sz w:val="20"/>
                <w:szCs w:val="20"/>
              </w:rPr>
              <w:t>The issue is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1.5</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Unidentified waste</w:t>
            </w:r>
          </w:p>
        </w:tc>
        <w:tc>
          <w:tcPr>
            <w:tcW w:w="3680" w:type="dxa"/>
          </w:tcPr>
          <w:p w:rsidR="00FA72F4" w:rsidRPr="0085448A" w:rsidRDefault="00FA72F4" w:rsidP="0054236F">
            <w:pPr>
              <w:spacing w:before="60" w:afterLines="60" w:after="144"/>
              <w:rPr>
                <w:rFonts w:ascii="Times New Roman" w:hAnsi="Times New Roman"/>
                <w:b/>
                <w:bCs/>
                <w:sz w:val="20"/>
                <w:szCs w:val="20"/>
              </w:rPr>
            </w:pPr>
            <w:r w:rsidRPr="0085448A">
              <w:rPr>
                <w:rFonts w:ascii="Times New Roman" w:hAnsi="Times New Roman"/>
                <w:sz w:val="20"/>
                <w:szCs w:val="20"/>
              </w:rPr>
              <w:t>This issue is selected.</w:t>
            </w:r>
          </w:p>
        </w:tc>
      </w:tr>
      <w:tr w:rsidR="00FA72F4" w:rsidRPr="0085448A" w:rsidTr="007738BE">
        <w:trPr>
          <w:trHeight w:val="454"/>
        </w:trPr>
        <w:tc>
          <w:tcPr>
            <w:tcW w:w="0" w:type="auto"/>
            <w:tcBorders>
              <w:bottom w:val="single" w:sz="4" w:space="0" w:color="auto"/>
            </w:tcBorders>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1.6</w:t>
            </w:r>
          </w:p>
        </w:tc>
        <w:tc>
          <w:tcPr>
            <w:tcW w:w="4805" w:type="dxa"/>
            <w:tcBorders>
              <w:bottom w:val="single" w:sz="4" w:space="0" w:color="auto"/>
            </w:tcBorders>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Exemption for uncleaned empty packaging: definition of empty packaging?</w:t>
            </w:r>
          </w:p>
        </w:tc>
        <w:tc>
          <w:tcPr>
            <w:tcW w:w="3680" w:type="dxa"/>
          </w:tcPr>
          <w:p w:rsidR="00FA72F4" w:rsidRPr="0085448A" w:rsidRDefault="00FA72F4" w:rsidP="0054236F">
            <w:pPr>
              <w:spacing w:before="60" w:afterLines="60" w:after="144"/>
              <w:rPr>
                <w:rFonts w:ascii="Times New Roman" w:hAnsi="Times New Roman"/>
                <w:sz w:val="20"/>
                <w:szCs w:val="20"/>
              </w:rPr>
            </w:pPr>
            <w:r w:rsidRPr="00C7406A">
              <w:rPr>
                <w:rFonts w:ascii="Times New Roman" w:hAnsi="Times New Roman"/>
                <w:sz w:val="20"/>
                <w:szCs w:val="20"/>
              </w:rPr>
              <w:t xml:space="preserve">This issue is </w:t>
            </w:r>
            <w:r w:rsidRPr="00C7406A">
              <w:rPr>
                <w:rFonts w:ascii="Times New Roman" w:hAnsi="Times New Roman"/>
                <w:b/>
                <w:i/>
                <w:sz w:val="20"/>
                <w:szCs w:val="20"/>
              </w:rPr>
              <w:t>not</w:t>
            </w:r>
            <w:r w:rsidRPr="00C7406A">
              <w:rPr>
                <w:rFonts w:ascii="Times New Roman" w:hAnsi="Times New Roman"/>
                <w:sz w:val="20"/>
                <w:szCs w:val="20"/>
              </w:rPr>
              <w:t xml:space="preserve"> selected. </w:t>
            </w:r>
          </w:p>
        </w:tc>
      </w:tr>
      <w:tr w:rsidR="00FA72F4" w:rsidRPr="0085448A" w:rsidTr="007738BE">
        <w:trPr>
          <w:trHeight w:val="454"/>
        </w:trPr>
        <w:tc>
          <w:tcPr>
            <w:tcW w:w="0" w:type="auto"/>
            <w:tcBorders>
              <w:bottom w:val="single" w:sz="4" w:space="0" w:color="auto"/>
            </w:tcBorders>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r w:rsidRPr="0085448A">
              <w:rPr>
                <w:rFonts w:ascii="Times New Roman" w:hAnsi="Times New Roman"/>
                <w:b/>
                <w:sz w:val="20"/>
                <w:szCs w:val="20"/>
              </w:rPr>
              <w:t>2</w:t>
            </w:r>
          </w:p>
        </w:tc>
        <w:tc>
          <w:tcPr>
            <w:tcW w:w="4805" w:type="dxa"/>
            <w:tcBorders>
              <w:bottom w:val="single" w:sz="4" w:space="0" w:color="auto"/>
            </w:tcBorders>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r w:rsidRPr="0085448A">
              <w:rPr>
                <w:rFonts w:ascii="Times New Roman" w:hAnsi="Times New Roman"/>
                <w:b/>
                <w:sz w:val="20"/>
                <w:szCs w:val="20"/>
              </w:rPr>
              <w:t>Packaging / Marking - labelling</w:t>
            </w:r>
          </w:p>
        </w:tc>
        <w:tc>
          <w:tcPr>
            <w:tcW w:w="3680" w:type="dxa"/>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p>
        </w:tc>
      </w:tr>
      <w:tr w:rsidR="00FA72F4" w:rsidRPr="0085448A" w:rsidTr="007738BE">
        <w:trPr>
          <w:trHeight w:val="454"/>
        </w:trPr>
        <w:tc>
          <w:tcPr>
            <w:tcW w:w="0" w:type="auto"/>
            <w:tcBorders>
              <w:top w:val="single" w:sz="4" w:space="0" w:color="auto"/>
            </w:tcBorders>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2.1</w:t>
            </w:r>
          </w:p>
        </w:tc>
        <w:tc>
          <w:tcPr>
            <w:tcW w:w="4805" w:type="dxa"/>
            <w:tcBorders>
              <w:top w:val="single" w:sz="4" w:space="0" w:color="auto"/>
            </w:tcBorders>
          </w:tcPr>
          <w:p w:rsidR="00FA72F4" w:rsidRPr="00C7406A" w:rsidRDefault="00FA72F4" w:rsidP="0054236F">
            <w:pPr>
              <w:spacing w:before="60" w:afterLines="60" w:after="144"/>
              <w:rPr>
                <w:rFonts w:ascii="Times New Roman" w:hAnsi="Times New Roman"/>
                <w:sz w:val="20"/>
                <w:szCs w:val="20"/>
              </w:rPr>
            </w:pPr>
            <w:r w:rsidRPr="00C7406A">
              <w:rPr>
                <w:rFonts w:ascii="Times New Roman" w:hAnsi="Times New Roman"/>
                <w:sz w:val="20"/>
                <w:szCs w:val="20"/>
              </w:rPr>
              <w:t xml:space="preserve">Transport of packaged waste: inner </w:t>
            </w:r>
            <w:proofErr w:type="spellStart"/>
            <w:r w:rsidRPr="00C7406A">
              <w:rPr>
                <w:rFonts w:ascii="Times New Roman" w:hAnsi="Times New Roman"/>
                <w:sz w:val="20"/>
                <w:szCs w:val="20"/>
              </w:rPr>
              <w:t>packagings</w:t>
            </w:r>
            <w:proofErr w:type="spellEnd"/>
            <w:r w:rsidRPr="00C7406A">
              <w:rPr>
                <w:rFonts w:ascii="Times New Roman" w:hAnsi="Times New Roman"/>
                <w:sz w:val="20"/>
                <w:szCs w:val="20"/>
              </w:rPr>
              <w:t xml:space="preserve"> packed together</w:t>
            </w:r>
          </w:p>
        </w:tc>
        <w:tc>
          <w:tcPr>
            <w:tcW w:w="3680" w:type="dxa"/>
          </w:tcPr>
          <w:p w:rsidR="00FA72F4" w:rsidRPr="0085448A" w:rsidRDefault="00FA72F4" w:rsidP="007738BE">
            <w:pPr>
              <w:spacing w:before="60" w:afterLines="60" w:after="144"/>
              <w:rPr>
                <w:rFonts w:ascii="Times New Roman" w:hAnsi="Times New Roman"/>
                <w:sz w:val="20"/>
                <w:szCs w:val="20"/>
              </w:rPr>
            </w:pPr>
            <w:r w:rsidRPr="0085448A">
              <w:rPr>
                <w:rFonts w:ascii="Times New Roman" w:hAnsi="Times New Roman"/>
                <w:sz w:val="20"/>
                <w:szCs w:val="20"/>
              </w:rPr>
              <w:t>This issue is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line="259" w:lineRule="auto"/>
              <w:rPr>
                <w:rFonts w:ascii="Times New Roman" w:hAnsi="Times New Roman"/>
                <w:sz w:val="20"/>
                <w:szCs w:val="20"/>
              </w:rPr>
            </w:pPr>
            <w:r w:rsidRPr="0085448A">
              <w:rPr>
                <w:rFonts w:ascii="Times New Roman" w:hAnsi="Times New Roman"/>
                <w:sz w:val="20"/>
                <w:szCs w:val="20"/>
              </w:rPr>
              <w:t>2.2</w:t>
            </w:r>
          </w:p>
        </w:tc>
        <w:tc>
          <w:tcPr>
            <w:tcW w:w="4805" w:type="dxa"/>
          </w:tcPr>
          <w:p w:rsidR="00FA72F4" w:rsidRPr="0085448A" w:rsidRDefault="00FA72F4" w:rsidP="0054236F">
            <w:pPr>
              <w:spacing w:before="60" w:afterLines="60" w:after="144" w:line="259" w:lineRule="auto"/>
              <w:rPr>
                <w:rFonts w:ascii="Times New Roman" w:hAnsi="Times New Roman"/>
                <w:sz w:val="20"/>
                <w:szCs w:val="20"/>
              </w:rPr>
            </w:pPr>
            <w:r w:rsidRPr="0085448A">
              <w:rPr>
                <w:rFonts w:ascii="Times New Roman" w:hAnsi="Times New Roman"/>
                <w:sz w:val="20"/>
                <w:szCs w:val="20"/>
              </w:rPr>
              <w:t xml:space="preserve">Households dangerous waste collection </w:t>
            </w:r>
          </w:p>
        </w:tc>
        <w:tc>
          <w:tcPr>
            <w:tcW w:w="3680" w:type="dxa"/>
          </w:tcPr>
          <w:p w:rsidR="00FA72F4" w:rsidRPr="0085448A" w:rsidRDefault="00FA72F4" w:rsidP="007738BE">
            <w:pPr>
              <w:spacing w:before="60" w:afterLines="60" w:after="144"/>
              <w:rPr>
                <w:rFonts w:ascii="Times New Roman" w:hAnsi="Times New Roman"/>
                <w:sz w:val="20"/>
                <w:szCs w:val="20"/>
              </w:rPr>
            </w:pPr>
            <w:r w:rsidRPr="0085448A">
              <w:rPr>
                <w:rFonts w:ascii="Times New Roman" w:hAnsi="Times New Roman"/>
                <w:sz w:val="20"/>
                <w:szCs w:val="20"/>
              </w:rPr>
              <w:t xml:space="preserve">This issue is selected. </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2.3</w:t>
            </w:r>
          </w:p>
        </w:tc>
        <w:tc>
          <w:tcPr>
            <w:tcW w:w="4805" w:type="dxa"/>
          </w:tcPr>
          <w:p w:rsidR="00FA72F4" w:rsidRPr="0085448A" w:rsidRDefault="00FA72F4" w:rsidP="007738BE">
            <w:pPr>
              <w:spacing w:before="60" w:afterLines="60" w:after="144"/>
              <w:rPr>
                <w:rFonts w:ascii="Times New Roman" w:hAnsi="Times New Roman"/>
                <w:sz w:val="20"/>
                <w:szCs w:val="20"/>
              </w:rPr>
            </w:pPr>
            <w:r w:rsidRPr="0085448A">
              <w:rPr>
                <w:rFonts w:ascii="Times New Roman" w:hAnsi="Times New Roman"/>
                <w:sz w:val="20"/>
                <w:szCs w:val="20"/>
              </w:rPr>
              <w:t>Re-use of packaging</w:t>
            </w:r>
          </w:p>
        </w:tc>
        <w:tc>
          <w:tcPr>
            <w:tcW w:w="3680"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This issue is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2.4</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Packaging or IBC which are expired</w:t>
            </w:r>
          </w:p>
        </w:tc>
        <w:tc>
          <w:tcPr>
            <w:tcW w:w="3680" w:type="dxa"/>
          </w:tcPr>
          <w:p w:rsidR="00FA72F4" w:rsidRPr="00C7406A" w:rsidRDefault="00FA72F4" w:rsidP="0054236F">
            <w:pPr>
              <w:spacing w:before="60" w:afterLines="60" w:after="144"/>
              <w:rPr>
                <w:rFonts w:ascii="Times New Roman" w:hAnsi="Times New Roman"/>
                <w:sz w:val="20"/>
                <w:szCs w:val="20"/>
              </w:rPr>
            </w:pPr>
            <w:r w:rsidRPr="00C7406A">
              <w:rPr>
                <w:rFonts w:ascii="Times New Roman" w:hAnsi="Times New Roman"/>
                <w:sz w:val="20"/>
                <w:szCs w:val="20"/>
              </w:rPr>
              <w:t xml:space="preserve">This issue is </w:t>
            </w:r>
            <w:r w:rsidRPr="00C7406A">
              <w:rPr>
                <w:rFonts w:ascii="Times New Roman" w:hAnsi="Times New Roman"/>
                <w:b/>
                <w:i/>
                <w:sz w:val="20"/>
                <w:szCs w:val="20"/>
              </w:rPr>
              <w:t>not</w:t>
            </w:r>
            <w:r w:rsidRPr="00C7406A">
              <w:rPr>
                <w:rFonts w:ascii="Times New Roman" w:hAnsi="Times New Roman"/>
                <w:sz w:val="20"/>
                <w:szCs w:val="20"/>
              </w:rPr>
              <w:t xml:space="preserve">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2.5</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Environmentally hazardous substance mark</w:t>
            </w:r>
          </w:p>
        </w:tc>
        <w:tc>
          <w:tcPr>
            <w:tcW w:w="3680" w:type="dxa"/>
          </w:tcPr>
          <w:p w:rsidR="00FA72F4" w:rsidRPr="00C7406A" w:rsidRDefault="00FA72F4" w:rsidP="0054236F">
            <w:pPr>
              <w:spacing w:before="60" w:afterLines="60" w:after="144"/>
              <w:rPr>
                <w:rFonts w:ascii="Times New Roman" w:hAnsi="Times New Roman"/>
                <w:b/>
                <w:bCs/>
                <w:sz w:val="20"/>
                <w:szCs w:val="20"/>
                <w:u w:val="single"/>
              </w:rPr>
            </w:pPr>
            <w:r w:rsidRPr="00C7406A">
              <w:rPr>
                <w:rFonts w:ascii="Times New Roman" w:hAnsi="Times New Roman"/>
                <w:sz w:val="20"/>
                <w:szCs w:val="20"/>
              </w:rPr>
              <w:t xml:space="preserve">This issue is </w:t>
            </w:r>
            <w:r w:rsidRPr="00C7406A">
              <w:rPr>
                <w:rFonts w:ascii="Times New Roman" w:hAnsi="Times New Roman"/>
                <w:b/>
                <w:i/>
                <w:sz w:val="20"/>
                <w:szCs w:val="20"/>
              </w:rPr>
              <w:t>not</w:t>
            </w:r>
            <w:r w:rsidRPr="00C7406A">
              <w:rPr>
                <w:rFonts w:ascii="Times New Roman" w:hAnsi="Times New Roman"/>
                <w:sz w:val="20"/>
                <w:szCs w:val="20"/>
              </w:rPr>
              <w:t xml:space="preserve"> selected. </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2.6</w:t>
            </w:r>
          </w:p>
        </w:tc>
        <w:tc>
          <w:tcPr>
            <w:tcW w:w="4805" w:type="dxa"/>
          </w:tcPr>
          <w:p w:rsidR="00FA72F4" w:rsidRPr="00C7406A" w:rsidRDefault="00FA72F4" w:rsidP="0054236F">
            <w:pPr>
              <w:spacing w:before="60" w:afterLines="60" w:after="144"/>
              <w:rPr>
                <w:rFonts w:ascii="Times New Roman" w:hAnsi="Times New Roman"/>
                <w:sz w:val="20"/>
                <w:szCs w:val="20"/>
              </w:rPr>
            </w:pPr>
            <w:r w:rsidRPr="00C7406A">
              <w:rPr>
                <w:rFonts w:ascii="Times New Roman" w:hAnsi="Times New Roman"/>
                <w:sz w:val="20"/>
                <w:szCs w:val="20"/>
              </w:rPr>
              <w:t xml:space="preserve">“Empty uncleaned packaging” or “discarded, empty, uncleaned </w:t>
            </w:r>
            <w:proofErr w:type="spellStart"/>
            <w:r w:rsidRPr="00C7406A">
              <w:rPr>
                <w:rFonts w:ascii="Times New Roman" w:hAnsi="Times New Roman"/>
                <w:sz w:val="20"/>
                <w:szCs w:val="20"/>
              </w:rPr>
              <w:t>packagings</w:t>
            </w:r>
            <w:proofErr w:type="spellEnd"/>
            <w:r w:rsidRPr="00C7406A">
              <w:rPr>
                <w:rFonts w:ascii="Times New Roman" w:hAnsi="Times New Roman"/>
                <w:sz w:val="20"/>
                <w:szCs w:val="20"/>
              </w:rPr>
              <w:t xml:space="preserve"> (UN 3509)” </w:t>
            </w:r>
          </w:p>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Clarification of the scope</w:t>
            </w:r>
          </w:p>
        </w:tc>
        <w:tc>
          <w:tcPr>
            <w:tcW w:w="3680"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This issue is selected.</w:t>
            </w:r>
          </w:p>
          <w:p w:rsidR="00FA72F4" w:rsidRPr="0085448A" w:rsidRDefault="00FA72F4" w:rsidP="0054236F">
            <w:pPr>
              <w:spacing w:before="60" w:afterLines="60" w:after="144"/>
              <w:rPr>
                <w:rFonts w:ascii="Times New Roman" w:hAnsi="Times New Roman"/>
                <w:sz w:val="20"/>
                <w:szCs w:val="20"/>
              </w:rPr>
            </w:pP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2.7</w:t>
            </w:r>
          </w:p>
        </w:tc>
        <w:tc>
          <w:tcPr>
            <w:tcW w:w="4805" w:type="dxa"/>
          </w:tcPr>
          <w:p w:rsidR="00FA72F4" w:rsidRPr="00C7406A" w:rsidRDefault="00FA72F4" w:rsidP="0054236F">
            <w:pPr>
              <w:spacing w:before="60" w:afterLines="60" w:after="144"/>
              <w:rPr>
                <w:rFonts w:ascii="Times New Roman" w:hAnsi="Times New Roman"/>
                <w:sz w:val="20"/>
                <w:szCs w:val="20"/>
              </w:rPr>
            </w:pPr>
            <w:r w:rsidRPr="00C7406A">
              <w:rPr>
                <w:rFonts w:ascii="Times New Roman" w:hAnsi="Times New Roman"/>
                <w:sz w:val="20"/>
                <w:szCs w:val="20"/>
              </w:rPr>
              <w:t>Salvage packaging can be used for damaged, defective, leaking or non-conforming packages. Use of a larger size packaging, an IBC of type 11A or a large packaging is permitted under certain condition</w:t>
            </w:r>
          </w:p>
        </w:tc>
        <w:tc>
          <w:tcPr>
            <w:tcW w:w="3680" w:type="dxa"/>
          </w:tcPr>
          <w:p w:rsidR="00FA72F4" w:rsidRPr="00C7406A" w:rsidRDefault="00FA72F4" w:rsidP="0054236F">
            <w:pPr>
              <w:shd w:val="clear" w:color="auto" w:fill="FFFFFF" w:themeFill="background1"/>
              <w:spacing w:before="60" w:afterLines="60" w:after="144"/>
              <w:rPr>
                <w:rFonts w:ascii="Times New Roman" w:hAnsi="Times New Roman"/>
                <w:sz w:val="20"/>
                <w:szCs w:val="20"/>
              </w:rPr>
            </w:pPr>
            <w:r w:rsidRPr="00C7406A">
              <w:rPr>
                <w:rFonts w:ascii="Times New Roman" w:hAnsi="Times New Roman"/>
                <w:sz w:val="20"/>
                <w:szCs w:val="20"/>
              </w:rPr>
              <w:t xml:space="preserve">This issue is </w:t>
            </w:r>
            <w:r w:rsidRPr="00C7406A">
              <w:rPr>
                <w:rFonts w:ascii="Times New Roman" w:hAnsi="Times New Roman"/>
                <w:b/>
                <w:i/>
                <w:sz w:val="20"/>
                <w:szCs w:val="20"/>
              </w:rPr>
              <w:t>not</w:t>
            </w:r>
            <w:r w:rsidRPr="00C7406A">
              <w:rPr>
                <w:rFonts w:ascii="Times New Roman" w:hAnsi="Times New Roman"/>
                <w:sz w:val="20"/>
                <w:szCs w:val="20"/>
              </w:rPr>
              <w:t xml:space="preserve"> selected.</w:t>
            </w:r>
          </w:p>
          <w:p w:rsidR="00FA72F4" w:rsidRPr="00C7406A" w:rsidRDefault="00FA72F4" w:rsidP="0054236F">
            <w:pPr>
              <w:spacing w:before="60" w:afterLines="60" w:after="144"/>
              <w:rPr>
                <w:rFonts w:ascii="Times New Roman" w:hAnsi="Times New Roman"/>
                <w:sz w:val="20"/>
                <w:szCs w:val="20"/>
              </w:rPr>
            </w:pP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2.8</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Chemical compatibility</w:t>
            </w:r>
          </w:p>
        </w:tc>
        <w:tc>
          <w:tcPr>
            <w:tcW w:w="3680" w:type="dxa"/>
          </w:tcPr>
          <w:p w:rsidR="00FA72F4" w:rsidRPr="0085448A" w:rsidRDefault="00FA72F4" w:rsidP="007738BE">
            <w:pPr>
              <w:spacing w:before="60" w:afterLines="60" w:after="144"/>
              <w:rPr>
                <w:rFonts w:ascii="Times New Roman" w:hAnsi="Times New Roman"/>
                <w:sz w:val="20"/>
                <w:szCs w:val="20"/>
              </w:rPr>
            </w:pPr>
            <w:r w:rsidRPr="0085448A">
              <w:rPr>
                <w:rFonts w:ascii="Times New Roman" w:hAnsi="Times New Roman"/>
                <w:sz w:val="20"/>
                <w:szCs w:val="20"/>
              </w:rPr>
              <w:t xml:space="preserve">This issue is selected. </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2.9</w:t>
            </w:r>
          </w:p>
        </w:tc>
        <w:tc>
          <w:tcPr>
            <w:tcW w:w="4805" w:type="dxa"/>
          </w:tcPr>
          <w:p w:rsidR="00FA72F4" w:rsidRPr="0085448A" w:rsidRDefault="00FA72F4" w:rsidP="0054236F">
            <w:pPr>
              <w:spacing w:before="60" w:afterLines="60" w:after="144"/>
              <w:rPr>
                <w:rFonts w:ascii="Times New Roman" w:hAnsi="Times New Roman"/>
                <w:sz w:val="20"/>
                <w:szCs w:val="20"/>
              </w:rPr>
            </w:pPr>
            <w:proofErr w:type="spellStart"/>
            <w:r w:rsidRPr="0085448A">
              <w:rPr>
                <w:rFonts w:ascii="Times New Roman" w:hAnsi="Times New Roman"/>
                <w:sz w:val="20"/>
                <w:szCs w:val="20"/>
              </w:rPr>
              <w:t>Packagings</w:t>
            </w:r>
            <w:proofErr w:type="spellEnd"/>
            <w:r w:rsidRPr="0085448A">
              <w:rPr>
                <w:rFonts w:ascii="Times New Roman" w:hAnsi="Times New Roman"/>
                <w:sz w:val="20"/>
                <w:szCs w:val="20"/>
              </w:rPr>
              <w:t xml:space="preserve"> of medical waste</w:t>
            </w:r>
          </w:p>
        </w:tc>
        <w:tc>
          <w:tcPr>
            <w:tcW w:w="3680" w:type="dxa"/>
          </w:tcPr>
          <w:p w:rsidR="00FA72F4" w:rsidRPr="0085448A" w:rsidRDefault="00FA72F4" w:rsidP="007738BE">
            <w:pPr>
              <w:spacing w:before="60" w:afterLines="60" w:after="144"/>
              <w:rPr>
                <w:rFonts w:ascii="Times New Roman" w:hAnsi="Times New Roman"/>
                <w:sz w:val="20"/>
                <w:szCs w:val="20"/>
              </w:rPr>
            </w:pPr>
            <w:r w:rsidRPr="0085448A">
              <w:rPr>
                <w:rFonts w:ascii="Times New Roman" w:hAnsi="Times New Roman"/>
                <w:sz w:val="20"/>
                <w:szCs w:val="20"/>
              </w:rPr>
              <w:t xml:space="preserve">This issue is selected. </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r w:rsidRPr="0085448A">
              <w:rPr>
                <w:rFonts w:ascii="Times New Roman" w:hAnsi="Times New Roman"/>
                <w:b/>
                <w:sz w:val="20"/>
                <w:szCs w:val="20"/>
              </w:rPr>
              <w:t>3</w:t>
            </w:r>
          </w:p>
        </w:tc>
        <w:tc>
          <w:tcPr>
            <w:tcW w:w="4805" w:type="dxa"/>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r w:rsidRPr="0085448A">
              <w:rPr>
                <w:rFonts w:ascii="Times New Roman" w:hAnsi="Times New Roman"/>
                <w:b/>
                <w:sz w:val="20"/>
                <w:szCs w:val="20"/>
              </w:rPr>
              <w:t>Bulk / Tanks / Placarding, orange plate marking</w:t>
            </w:r>
          </w:p>
        </w:tc>
        <w:tc>
          <w:tcPr>
            <w:tcW w:w="3680" w:type="dxa"/>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3.1</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Transport of large volumes of asbestos contaminated objects or soil in bulk</w:t>
            </w:r>
          </w:p>
        </w:tc>
        <w:tc>
          <w:tcPr>
            <w:tcW w:w="3680"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This issue is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lastRenderedPageBreak/>
              <w:t>3.2</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Transport of UN 3509 in sheeted bulk containers or vehicle (and not only closed)</w:t>
            </w:r>
          </w:p>
        </w:tc>
        <w:tc>
          <w:tcPr>
            <w:tcW w:w="3680"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This issue is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b/>
                <w:i/>
                <w:sz w:val="20"/>
                <w:szCs w:val="20"/>
              </w:rPr>
            </w:pPr>
            <w:r w:rsidRPr="0085448A">
              <w:rPr>
                <w:rFonts w:ascii="Times New Roman" w:hAnsi="Times New Roman"/>
                <w:sz w:val="20"/>
                <w:szCs w:val="20"/>
              </w:rPr>
              <w:br w:type="page"/>
            </w:r>
            <w:r w:rsidRPr="0085448A">
              <w:rPr>
                <w:rFonts w:ascii="Times New Roman" w:hAnsi="Times New Roman"/>
                <w:b/>
                <w:i/>
                <w:sz w:val="20"/>
                <w:szCs w:val="20"/>
              </w:rPr>
              <w:t>4</w:t>
            </w:r>
          </w:p>
        </w:tc>
        <w:tc>
          <w:tcPr>
            <w:tcW w:w="4805" w:type="dxa"/>
            <w:shd w:val="clear" w:color="auto" w:fill="D9D9D9" w:themeFill="background1" w:themeFillShade="D9"/>
          </w:tcPr>
          <w:p w:rsidR="00FA72F4" w:rsidRPr="0085448A" w:rsidRDefault="00FA72F4" w:rsidP="0054236F">
            <w:pPr>
              <w:spacing w:before="60" w:afterLines="60" w:after="144"/>
              <w:rPr>
                <w:rFonts w:ascii="Times New Roman" w:hAnsi="Times New Roman"/>
                <w:b/>
                <w:i/>
                <w:sz w:val="20"/>
                <w:szCs w:val="20"/>
              </w:rPr>
            </w:pPr>
            <w:r w:rsidRPr="0085448A">
              <w:rPr>
                <w:rFonts w:ascii="Times New Roman" w:hAnsi="Times New Roman"/>
                <w:b/>
                <w:i/>
                <w:sz w:val="20"/>
                <w:szCs w:val="20"/>
              </w:rPr>
              <w:t>Documentation / Transport / Responsibility</w:t>
            </w:r>
          </w:p>
        </w:tc>
        <w:tc>
          <w:tcPr>
            <w:tcW w:w="3680" w:type="dxa"/>
            <w:shd w:val="clear" w:color="auto" w:fill="D9D9D9" w:themeFill="background1" w:themeFillShade="D9"/>
          </w:tcPr>
          <w:p w:rsidR="00FA72F4" w:rsidRPr="0085448A" w:rsidRDefault="00FA72F4" w:rsidP="0054236F">
            <w:pPr>
              <w:spacing w:before="60" w:afterLines="60" w:after="144"/>
              <w:rPr>
                <w:rFonts w:ascii="Times New Roman" w:hAnsi="Times New Roman"/>
                <w:b/>
                <w:i/>
                <w:sz w:val="20"/>
                <w:szCs w:val="20"/>
              </w:rPr>
            </w:pP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4.1</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Digitalisation of transport document if specific waste legislation traceability document is used</w:t>
            </w:r>
          </w:p>
        </w:tc>
        <w:tc>
          <w:tcPr>
            <w:tcW w:w="3680" w:type="dxa"/>
          </w:tcPr>
          <w:p w:rsidR="00FA72F4" w:rsidRPr="00C7406A" w:rsidRDefault="00FA72F4" w:rsidP="0054236F">
            <w:pPr>
              <w:spacing w:before="60" w:afterLines="60" w:after="144"/>
              <w:rPr>
                <w:rFonts w:ascii="Times New Roman" w:hAnsi="Times New Roman"/>
                <w:sz w:val="20"/>
                <w:szCs w:val="20"/>
              </w:rPr>
            </w:pPr>
            <w:r w:rsidRPr="00C7406A">
              <w:rPr>
                <w:rFonts w:ascii="Times New Roman" w:hAnsi="Times New Roman"/>
                <w:sz w:val="20"/>
                <w:szCs w:val="20"/>
              </w:rPr>
              <w:t xml:space="preserve">This issue is </w:t>
            </w:r>
            <w:r w:rsidRPr="00C7406A">
              <w:rPr>
                <w:rFonts w:ascii="Times New Roman" w:hAnsi="Times New Roman"/>
                <w:b/>
                <w:i/>
                <w:sz w:val="20"/>
                <w:szCs w:val="20"/>
              </w:rPr>
              <w:t>not</w:t>
            </w:r>
            <w:r w:rsidRPr="00C7406A">
              <w:rPr>
                <w:rFonts w:ascii="Times New Roman" w:hAnsi="Times New Roman"/>
                <w:sz w:val="20"/>
                <w:szCs w:val="20"/>
              </w:rPr>
              <w:t xml:space="preserve"> selected.</w:t>
            </w:r>
          </w:p>
          <w:p w:rsidR="00FA72F4" w:rsidRPr="0085448A" w:rsidRDefault="00FA72F4" w:rsidP="0054236F">
            <w:pPr>
              <w:spacing w:before="60" w:afterLines="60" w:after="144"/>
              <w:rPr>
                <w:rFonts w:ascii="Times New Roman" w:hAnsi="Times New Roman"/>
                <w:sz w:val="20"/>
                <w:szCs w:val="20"/>
              </w:rPr>
            </w:pP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color w:val="000000" w:themeColor="text1"/>
                <w:sz w:val="20"/>
                <w:szCs w:val="20"/>
              </w:rPr>
            </w:pPr>
            <w:r w:rsidRPr="0085448A">
              <w:rPr>
                <w:rFonts w:ascii="Times New Roman" w:hAnsi="Times New Roman"/>
                <w:color w:val="000000" w:themeColor="text1"/>
                <w:sz w:val="20"/>
                <w:szCs w:val="20"/>
              </w:rPr>
              <w:t>4.2</w:t>
            </w:r>
          </w:p>
        </w:tc>
        <w:tc>
          <w:tcPr>
            <w:tcW w:w="4805" w:type="dxa"/>
          </w:tcPr>
          <w:p w:rsidR="00FA72F4" w:rsidRPr="0085448A" w:rsidRDefault="00FA72F4" w:rsidP="0054236F">
            <w:pPr>
              <w:spacing w:before="60" w:afterLines="60" w:after="144"/>
              <w:rPr>
                <w:rFonts w:ascii="Times New Roman" w:hAnsi="Times New Roman"/>
                <w:color w:val="000000" w:themeColor="text1"/>
                <w:sz w:val="20"/>
                <w:szCs w:val="20"/>
              </w:rPr>
            </w:pPr>
            <w:r w:rsidRPr="0085448A">
              <w:rPr>
                <w:rFonts w:ascii="Times New Roman" w:hAnsi="Times New Roman"/>
                <w:color w:val="000000" w:themeColor="text1"/>
                <w:sz w:val="20"/>
                <w:szCs w:val="20"/>
              </w:rPr>
              <w:t xml:space="preserve">Quantity of waste transported in the transport document </w:t>
            </w:r>
          </w:p>
        </w:tc>
        <w:tc>
          <w:tcPr>
            <w:tcW w:w="3680" w:type="dxa"/>
          </w:tcPr>
          <w:p w:rsidR="00FA72F4" w:rsidRPr="0085448A" w:rsidRDefault="00FA72F4" w:rsidP="007738BE">
            <w:pPr>
              <w:spacing w:before="60" w:afterLines="60" w:after="144"/>
              <w:rPr>
                <w:rFonts w:ascii="Times New Roman" w:hAnsi="Times New Roman"/>
                <w:color w:val="000000" w:themeColor="text1"/>
                <w:sz w:val="20"/>
                <w:szCs w:val="20"/>
              </w:rPr>
            </w:pPr>
            <w:r w:rsidRPr="0085448A">
              <w:rPr>
                <w:rFonts w:ascii="Times New Roman" w:hAnsi="Times New Roman"/>
                <w:sz w:val="20"/>
                <w:szCs w:val="20"/>
              </w:rPr>
              <w:t>This issue is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color w:val="000000" w:themeColor="text1"/>
                <w:sz w:val="20"/>
                <w:szCs w:val="20"/>
              </w:rPr>
            </w:pPr>
            <w:r w:rsidRPr="0085448A">
              <w:rPr>
                <w:rFonts w:ascii="Times New Roman" w:hAnsi="Times New Roman"/>
                <w:color w:val="000000" w:themeColor="text1"/>
                <w:sz w:val="20"/>
                <w:szCs w:val="20"/>
              </w:rPr>
              <w:t>4.3</w:t>
            </w:r>
          </w:p>
        </w:tc>
        <w:tc>
          <w:tcPr>
            <w:tcW w:w="4805" w:type="dxa"/>
          </w:tcPr>
          <w:p w:rsidR="00FA72F4" w:rsidRPr="00C7406A" w:rsidRDefault="00FA72F4" w:rsidP="0054236F">
            <w:pPr>
              <w:spacing w:before="60" w:afterLines="60" w:after="144"/>
              <w:rPr>
                <w:rFonts w:ascii="Times New Roman" w:hAnsi="Times New Roman"/>
                <w:color w:val="000000" w:themeColor="text1"/>
                <w:sz w:val="20"/>
                <w:szCs w:val="20"/>
              </w:rPr>
            </w:pPr>
            <w:r w:rsidRPr="00C7406A">
              <w:rPr>
                <w:rFonts w:ascii="Times New Roman" w:hAnsi="Times New Roman"/>
                <w:color w:val="000000" w:themeColor="text1"/>
                <w:sz w:val="20"/>
                <w:szCs w:val="20"/>
              </w:rPr>
              <w:t>For Class 6.2, In addition to the information concerning the consignee, the name and telephone number of a responsible person shall be indicated.</w:t>
            </w:r>
          </w:p>
        </w:tc>
        <w:tc>
          <w:tcPr>
            <w:tcW w:w="3680" w:type="dxa"/>
          </w:tcPr>
          <w:p w:rsidR="00FA72F4" w:rsidRPr="0085448A" w:rsidRDefault="00FA72F4" w:rsidP="0054236F">
            <w:pPr>
              <w:spacing w:before="60" w:afterLines="60" w:after="144"/>
              <w:rPr>
                <w:rFonts w:ascii="Times New Roman" w:hAnsi="Times New Roman"/>
                <w:color w:val="000000" w:themeColor="text1"/>
                <w:sz w:val="20"/>
                <w:szCs w:val="20"/>
              </w:rPr>
            </w:pPr>
            <w:r w:rsidRPr="0085448A">
              <w:rPr>
                <w:rFonts w:ascii="Times New Roman" w:hAnsi="Times New Roman"/>
                <w:color w:val="000000" w:themeColor="text1"/>
                <w:sz w:val="20"/>
                <w:szCs w:val="20"/>
              </w:rPr>
              <w:t>The issue is selected.</w:t>
            </w:r>
          </w:p>
          <w:p w:rsidR="00FA72F4" w:rsidRPr="0085448A" w:rsidRDefault="00FA72F4" w:rsidP="0054236F">
            <w:pPr>
              <w:spacing w:before="60" w:afterLines="60" w:after="144"/>
              <w:rPr>
                <w:rFonts w:ascii="Times New Roman" w:hAnsi="Times New Roman"/>
                <w:color w:val="000000" w:themeColor="text1"/>
                <w:sz w:val="20"/>
                <w:szCs w:val="20"/>
              </w:rPr>
            </w:pPr>
            <w:r w:rsidRPr="0085448A">
              <w:rPr>
                <w:rFonts w:ascii="Times New Roman" w:hAnsi="Times New Roman"/>
                <w:color w:val="000000" w:themeColor="text1"/>
                <w:sz w:val="20"/>
                <w:szCs w:val="20"/>
              </w:rPr>
              <w:t xml:space="preserve"> </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4.4</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 xml:space="preserve">Is the waste producer always the consignor? In chapter 1.4, the consignor has many obligations.  </w:t>
            </w:r>
          </w:p>
        </w:tc>
        <w:tc>
          <w:tcPr>
            <w:tcW w:w="3680"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 xml:space="preserve">The issue is </w:t>
            </w:r>
            <w:r w:rsidRPr="006375D5">
              <w:rPr>
                <w:rFonts w:ascii="Times New Roman" w:hAnsi="Times New Roman"/>
                <w:b/>
                <w:bCs/>
                <w:i/>
                <w:iCs/>
                <w:sz w:val="20"/>
                <w:szCs w:val="20"/>
              </w:rPr>
              <w:t>not</w:t>
            </w:r>
            <w:r w:rsidRPr="0085448A">
              <w:rPr>
                <w:rFonts w:ascii="Times New Roman" w:hAnsi="Times New Roman"/>
                <w:sz w:val="20"/>
                <w:szCs w:val="20"/>
              </w:rPr>
              <w:t xml:space="preserve"> selected.</w:t>
            </w:r>
          </w:p>
          <w:p w:rsidR="00FA72F4" w:rsidRPr="0085448A" w:rsidRDefault="00FA72F4" w:rsidP="0054236F">
            <w:pPr>
              <w:spacing w:before="60" w:afterLines="60" w:after="144"/>
              <w:rPr>
                <w:rFonts w:ascii="Times New Roman" w:hAnsi="Times New Roman"/>
                <w:sz w:val="20"/>
                <w:szCs w:val="20"/>
              </w:rPr>
            </w:pP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b/>
                <w:i/>
                <w:sz w:val="20"/>
                <w:szCs w:val="20"/>
              </w:rPr>
            </w:pPr>
            <w:r w:rsidRPr="0085448A">
              <w:rPr>
                <w:rFonts w:ascii="Times New Roman" w:hAnsi="Times New Roman"/>
                <w:b/>
                <w:i/>
                <w:sz w:val="20"/>
                <w:szCs w:val="20"/>
              </w:rPr>
              <w:t>5</w:t>
            </w:r>
          </w:p>
        </w:tc>
        <w:tc>
          <w:tcPr>
            <w:tcW w:w="4805" w:type="dxa"/>
            <w:shd w:val="clear" w:color="auto" w:fill="D9D9D9" w:themeFill="background1" w:themeFillShade="D9"/>
          </w:tcPr>
          <w:p w:rsidR="00FA72F4" w:rsidRPr="0085448A" w:rsidRDefault="00FA72F4" w:rsidP="0054236F">
            <w:pPr>
              <w:spacing w:before="60" w:afterLines="60" w:after="144"/>
              <w:rPr>
                <w:rFonts w:ascii="Times New Roman" w:hAnsi="Times New Roman"/>
                <w:b/>
                <w:i/>
                <w:sz w:val="20"/>
                <w:szCs w:val="20"/>
              </w:rPr>
            </w:pPr>
            <w:r w:rsidRPr="0085448A">
              <w:rPr>
                <w:rFonts w:ascii="Times New Roman" w:hAnsi="Times New Roman"/>
                <w:b/>
                <w:i/>
                <w:sz w:val="20"/>
                <w:szCs w:val="20"/>
              </w:rPr>
              <w:t>Training – Safety adviser – Security provisions</w:t>
            </w:r>
          </w:p>
        </w:tc>
        <w:tc>
          <w:tcPr>
            <w:tcW w:w="3680" w:type="dxa"/>
            <w:shd w:val="clear" w:color="auto" w:fill="D9D9D9" w:themeFill="background1" w:themeFillShade="D9"/>
          </w:tcPr>
          <w:p w:rsidR="00FA72F4" w:rsidRPr="0085448A" w:rsidRDefault="00FA72F4" w:rsidP="0054236F">
            <w:pPr>
              <w:spacing w:before="60" w:afterLines="60" w:after="144"/>
              <w:rPr>
                <w:rFonts w:ascii="Times New Roman" w:hAnsi="Times New Roman"/>
                <w:i/>
                <w:sz w:val="20"/>
                <w:szCs w:val="20"/>
              </w:rPr>
            </w:pP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5.1</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Specific training for the transport of waste?</w:t>
            </w:r>
          </w:p>
        </w:tc>
        <w:tc>
          <w:tcPr>
            <w:tcW w:w="3680" w:type="dxa"/>
          </w:tcPr>
          <w:p w:rsidR="00FA72F4" w:rsidRPr="0085448A" w:rsidRDefault="00FA72F4" w:rsidP="0054236F">
            <w:pPr>
              <w:spacing w:before="60" w:afterLines="60" w:after="144"/>
              <w:rPr>
                <w:rFonts w:ascii="Times New Roman" w:hAnsi="Times New Roman"/>
                <w:sz w:val="20"/>
                <w:szCs w:val="20"/>
              </w:rPr>
            </w:pPr>
            <w:r w:rsidRPr="00C7406A">
              <w:rPr>
                <w:rFonts w:ascii="Times New Roman" w:hAnsi="Times New Roman"/>
                <w:sz w:val="20"/>
                <w:szCs w:val="20"/>
              </w:rPr>
              <w:t xml:space="preserve">This issue is </w:t>
            </w:r>
            <w:r w:rsidRPr="00C7406A">
              <w:rPr>
                <w:rFonts w:ascii="Times New Roman" w:hAnsi="Times New Roman"/>
                <w:b/>
                <w:i/>
                <w:sz w:val="20"/>
                <w:szCs w:val="20"/>
              </w:rPr>
              <w:t>not</w:t>
            </w:r>
            <w:r w:rsidRPr="00C7406A">
              <w:rPr>
                <w:rFonts w:ascii="Times New Roman" w:hAnsi="Times New Roman"/>
                <w:sz w:val="20"/>
                <w:szCs w:val="20"/>
              </w:rPr>
              <w:t xml:space="preserve">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r w:rsidRPr="00C7406A">
              <w:rPr>
                <w:rFonts w:ascii="Times New Roman" w:hAnsi="Times New Roman"/>
                <w:sz w:val="20"/>
                <w:szCs w:val="20"/>
              </w:rPr>
              <w:br w:type="page"/>
            </w:r>
            <w:r w:rsidRPr="0085448A">
              <w:rPr>
                <w:rFonts w:ascii="Times New Roman" w:hAnsi="Times New Roman"/>
                <w:b/>
                <w:sz w:val="20"/>
                <w:szCs w:val="20"/>
              </w:rPr>
              <w:t>6</w:t>
            </w:r>
          </w:p>
        </w:tc>
        <w:tc>
          <w:tcPr>
            <w:tcW w:w="4805" w:type="dxa"/>
            <w:shd w:val="clear" w:color="auto" w:fill="D9D9D9" w:themeFill="background1" w:themeFillShade="D9"/>
          </w:tcPr>
          <w:p w:rsidR="00FA72F4" w:rsidRPr="0085448A" w:rsidRDefault="00FA72F4" w:rsidP="0054236F">
            <w:pPr>
              <w:spacing w:before="60" w:afterLines="60" w:after="144"/>
              <w:rPr>
                <w:rFonts w:ascii="Times New Roman" w:hAnsi="Times New Roman"/>
                <w:b/>
                <w:sz w:val="20"/>
                <w:szCs w:val="20"/>
              </w:rPr>
            </w:pPr>
            <w:r w:rsidRPr="0085448A">
              <w:rPr>
                <w:rFonts w:ascii="Times New Roman" w:hAnsi="Times New Roman"/>
                <w:b/>
                <w:sz w:val="20"/>
                <w:szCs w:val="20"/>
              </w:rPr>
              <w:t>Specific topic</w:t>
            </w:r>
          </w:p>
        </w:tc>
        <w:tc>
          <w:tcPr>
            <w:tcW w:w="3680" w:type="dxa"/>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6.1</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Carriage of polymerizing as waste</w:t>
            </w:r>
          </w:p>
        </w:tc>
        <w:tc>
          <w:tcPr>
            <w:tcW w:w="3680"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This issue is selected.</w:t>
            </w:r>
          </w:p>
        </w:tc>
      </w:tr>
      <w:tr w:rsidR="00FA72F4" w:rsidRPr="0085448A" w:rsidTr="007738BE">
        <w:trPr>
          <w:trHeight w:val="454"/>
        </w:trPr>
        <w:tc>
          <w:tcPr>
            <w:tcW w:w="0" w:type="auto"/>
            <w:shd w:val="clear" w:color="auto" w:fill="D9D9D9" w:themeFill="background1" w:themeFillShade="D9"/>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6.2</w:t>
            </w:r>
          </w:p>
        </w:tc>
        <w:tc>
          <w:tcPr>
            <w:tcW w:w="4805"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Presence of hazardous household waste in the (selective) collection of non-hazardous waste (e.g. empty packaging)</w:t>
            </w:r>
          </w:p>
        </w:tc>
        <w:tc>
          <w:tcPr>
            <w:tcW w:w="3680" w:type="dxa"/>
          </w:tcPr>
          <w:p w:rsidR="00FA72F4" w:rsidRPr="0085448A" w:rsidRDefault="00FA72F4" w:rsidP="0054236F">
            <w:pPr>
              <w:spacing w:before="60" w:afterLines="60" w:after="144"/>
              <w:rPr>
                <w:rFonts w:ascii="Times New Roman" w:hAnsi="Times New Roman"/>
                <w:sz w:val="20"/>
                <w:szCs w:val="20"/>
              </w:rPr>
            </w:pPr>
            <w:r w:rsidRPr="0085448A">
              <w:rPr>
                <w:rFonts w:ascii="Times New Roman" w:hAnsi="Times New Roman"/>
                <w:sz w:val="20"/>
                <w:szCs w:val="20"/>
              </w:rPr>
              <w:t>This issue is selected.</w:t>
            </w:r>
          </w:p>
        </w:tc>
      </w:tr>
    </w:tbl>
    <w:p w:rsidR="00FA72F4" w:rsidRPr="0054236F" w:rsidRDefault="00FA72F4" w:rsidP="0054236F">
      <w:pPr>
        <w:spacing w:before="240"/>
        <w:jc w:val="center"/>
        <w:rPr>
          <w:u w:val="single"/>
          <w:lang w:val="en-US"/>
        </w:rPr>
      </w:pPr>
      <w:r w:rsidRPr="007A69FA">
        <w:rPr>
          <w:lang w:val="en-US"/>
        </w:rPr>
        <w:tab/>
      </w:r>
      <w:r w:rsidR="0054236F">
        <w:rPr>
          <w:u w:val="single"/>
          <w:lang w:val="en-US"/>
        </w:rPr>
        <w:tab/>
      </w:r>
      <w:r w:rsidR="0054236F">
        <w:rPr>
          <w:u w:val="single"/>
          <w:lang w:val="en-US"/>
        </w:rPr>
        <w:tab/>
      </w:r>
      <w:r w:rsidR="0054236F">
        <w:rPr>
          <w:u w:val="single"/>
          <w:lang w:val="en-US"/>
        </w:rPr>
        <w:tab/>
      </w:r>
    </w:p>
    <w:sectPr w:rsidR="00FA72F4" w:rsidRPr="0054236F" w:rsidSect="00FA72F4">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72F4" w:rsidRDefault="00FA72F4"/>
  </w:endnote>
  <w:endnote w:type="continuationSeparator" w:id="0">
    <w:p w:rsidR="00FA72F4" w:rsidRDefault="00FA72F4"/>
  </w:endnote>
  <w:endnote w:type="continuationNotice" w:id="1">
    <w:p w:rsidR="00FA72F4" w:rsidRDefault="00FA72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2F4" w:rsidRPr="00FA72F4" w:rsidRDefault="00FA72F4" w:rsidP="00FA72F4">
    <w:pPr>
      <w:pStyle w:val="Footer"/>
      <w:tabs>
        <w:tab w:val="right" w:pos="9638"/>
      </w:tabs>
      <w:rPr>
        <w:sz w:val="18"/>
      </w:rPr>
    </w:pPr>
    <w:r w:rsidRPr="00FA72F4">
      <w:rPr>
        <w:b/>
        <w:sz w:val="18"/>
      </w:rPr>
      <w:fldChar w:fldCharType="begin"/>
    </w:r>
    <w:r w:rsidRPr="00FA72F4">
      <w:rPr>
        <w:b/>
        <w:sz w:val="18"/>
      </w:rPr>
      <w:instrText xml:space="preserve"> PAGE  \* MERGEFORMAT </w:instrText>
    </w:r>
    <w:r w:rsidRPr="00FA72F4">
      <w:rPr>
        <w:b/>
        <w:sz w:val="18"/>
      </w:rPr>
      <w:fldChar w:fldCharType="separate"/>
    </w:r>
    <w:r w:rsidRPr="00FA72F4">
      <w:rPr>
        <w:b/>
        <w:noProof/>
        <w:sz w:val="18"/>
      </w:rPr>
      <w:t>2</w:t>
    </w:r>
    <w:r w:rsidRPr="00FA72F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2F4" w:rsidRPr="00FA72F4" w:rsidRDefault="00FA72F4" w:rsidP="00FA72F4">
    <w:pPr>
      <w:pStyle w:val="Footer"/>
      <w:tabs>
        <w:tab w:val="right" w:pos="9638"/>
      </w:tabs>
      <w:rPr>
        <w:b/>
        <w:sz w:val="18"/>
      </w:rPr>
    </w:pPr>
    <w:r>
      <w:tab/>
    </w:r>
    <w:r w:rsidRPr="00FA72F4">
      <w:rPr>
        <w:b/>
        <w:sz w:val="18"/>
      </w:rPr>
      <w:fldChar w:fldCharType="begin"/>
    </w:r>
    <w:r w:rsidRPr="00FA72F4">
      <w:rPr>
        <w:b/>
        <w:sz w:val="18"/>
      </w:rPr>
      <w:instrText xml:space="preserve"> PAGE  \* MERGEFORMAT </w:instrText>
    </w:r>
    <w:r w:rsidRPr="00FA72F4">
      <w:rPr>
        <w:b/>
        <w:sz w:val="18"/>
      </w:rPr>
      <w:fldChar w:fldCharType="separate"/>
    </w:r>
    <w:r w:rsidRPr="00FA72F4">
      <w:rPr>
        <w:b/>
        <w:noProof/>
        <w:sz w:val="18"/>
      </w:rPr>
      <w:t>3</w:t>
    </w:r>
    <w:r w:rsidRPr="00FA72F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72F4" w:rsidRPr="000B175B" w:rsidRDefault="00FA72F4" w:rsidP="000B175B">
      <w:pPr>
        <w:tabs>
          <w:tab w:val="right" w:pos="2155"/>
        </w:tabs>
        <w:spacing w:after="80"/>
        <w:ind w:left="680"/>
        <w:rPr>
          <w:u w:val="single"/>
        </w:rPr>
      </w:pPr>
      <w:r>
        <w:rPr>
          <w:u w:val="single"/>
        </w:rPr>
        <w:tab/>
      </w:r>
    </w:p>
  </w:footnote>
  <w:footnote w:type="continuationSeparator" w:id="0">
    <w:p w:rsidR="00FA72F4" w:rsidRPr="00FC68B7" w:rsidRDefault="00FA72F4" w:rsidP="00FC68B7">
      <w:pPr>
        <w:tabs>
          <w:tab w:val="left" w:pos="2155"/>
        </w:tabs>
        <w:spacing w:after="80"/>
        <w:ind w:left="680"/>
        <w:rPr>
          <w:u w:val="single"/>
        </w:rPr>
      </w:pPr>
      <w:r>
        <w:rPr>
          <w:u w:val="single"/>
        </w:rPr>
        <w:tab/>
      </w:r>
    </w:p>
  </w:footnote>
  <w:footnote w:type="continuationNotice" w:id="1">
    <w:p w:rsidR="00FA72F4" w:rsidRDefault="00FA72F4"/>
  </w:footnote>
  <w:footnote w:id="2">
    <w:p w:rsidR="00FA72F4" w:rsidRDefault="00FA72F4" w:rsidP="00FA72F4">
      <w:pPr>
        <w:pStyle w:val="FootnoteText"/>
        <w:ind w:left="1418" w:right="1532" w:hanging="284"/>
        <w:jc w:val="both"/>
        <w:rPr>
          <w:sz w:val="20"/>
          <w:lang w:val="fr-CH"/>
        </w:rPr>
      </w:pPr>
      <w:r>
        <w:rPr>
          <w:rStyle w:val="FootnoteReference"/>
          <w:sz w:val="20"/>
        </w:rPr>
        <w:t>*</w:t>
      </w:r>
      <w:r>
        <w:rPr>
          <w:sz w:val="20"/>
        </w:rPr>
        <w:tab/>
      </w:r>
      <w:r>
        <w:t>In accordance with the programme of work of the Inland Transport Committee for 2018-2019, (ECE/TRANS/2018/21/Add.1, Cluster 9, (9.2)).</w:t>
      </w:r>
    </w:p>
  </w:footnote>
  <w:footnote w:id="3">
    <w:p w:rsidR="00FA72F4" w:rsidRDefault="00FA72F4" w:rsidP="00FA72F4">
      <w:pPr>
        <w:pStyle w:val="FootnoteText"/>
        <w:ind w:left="1418" w:right="1532" w:hanging="284"/>
        <w:jc w:val="both"/>
        <w:rPr>
          <w:sz w:val="20"/>
          <w:lang w:val="fr-CH"/>
        </w:rPr>
      </w:pPr>
      <w:r>
        <w:rPr>
          <w:rStyle w:val="FootnoteReference"/>
          <w:sz w:val="20"/>
        </w:rPr>
        <w:t>**</w:t>
      </w:r>
      <w:r>
        <w:rPr>
          <w:sz w:val="20"/>
        </w:rPr>
        <w:tab/>
      </w:r>
      <w:r>
        <w:t>Circulated by the Intergovernmental Organisation for International Carriage by Rail (OTIF) under the symbol OTIF/RID/RC/2019/34.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2F4" w:rsidRPr="00FA72F4" w:rsidRDefault="008C19BB">
    <w:pPr>
      <w:pStyle w:val="Header"/>
    </w:pPr>
    <w:r>
      <w:fldChar w:fldCharType="begin"/>
    </w:r>
    <w:r>
      <w:instrText xml:space="preserve"> TITLE  \* MERGEFORMAT </w:instrText>
    </w:r>
    <w:r>
      <w:fldChar w:fldCharType="separate"/>
    </w:r>
    <w:r w:rsidR="00FA72F4">
      <w:t>ECE/TRANS/WP.15/AC.1/2019/34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72F4" w:rsidRPr="00FA72F4" w:rsidRDefault="008C19BB" w:rsidP="00FA72F4">
    <w:pPr>
      <w:pStyle w:val="Header"/>
      <w:jc w:val="right"/>
    </w:pPr>
    <w:r>
      <w:fldChar w:fldCharType="begin"/>
    </w:r>
    <w:r>
      <w:instrText xml:space="preserve"> TITLE  \* MERGEFORMAT </w:instrText>
    </w:r>
    <w:r>
      <w:fldChar w:fldCharType="separate"/>
    </w:r>
    <w:r w:rsidR="00FA72F4">
      <w:t>ECE/TRANS/WP.15/AC.1/2019/34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528075E"/>
    <w:multiLevelType w:val="hybridMultilevel"/>
    <w:tmpl w:val="1D664256"/>
    <w:lvl w:ilvl="0" w:tplc="A4B08FBE">
      <w:start w:val="1"/>
      <w:numFmt w:val="decimal"/>
      <w:lvlText w:val="%1."/>
      <w:lvlJc w:val="left"/>
      <w:pPr>
        <w:ind w:left="1134" w:hanging="555"/>
      </w:pPr>
      <w:rPr>
        <w:rFonts w:hint="default"/>
      </w:rPr>
    </w:lvl>
    <w:lvl w:ilvl="1" w:tplc="080C0019">
      <w:start w:val="1"/>
      <w:numFmt w:val="lowerLetter"/>
      <w:lvlText w:val="%2."/>
      <w:lvlJc w:val="left"/>
      <w:pPr>
        <w:ind w:left="1659" w:hanging="360"/>
      </w:pPr>
    </w:lvl>
    <w:lvl w:ilvl="2" w:tplc="080C001B">
      <w:start w:val="1"/>
      <w:numFmt w:val="lowerRoman"/>
      <w:lvlText w:val="%3."/>
      <w:lvlJc w:val="right"/>
      <w:pPr>
        <w:ind w:left="2379" w:hanging="180"/>
      </w:pPr>
    </w:lvl>
    <w:lvl w:ilvl="3" w:tplc="080C000F" w:tentative="1">
      <w:start w:val="1"/>
      <w:numFmt w:val="decimal"/>
      <w:lvlText w:val="%4."/>
      <w:lvlJc w:val="left"/>
      <w:pPr>
        <w:ind w:left="3099" w:hanging="360"/>
      </w:pPr>
    </w:lvl>
    <w:lvl w:ilvl="4" w:tplc="080C0019" w:tentative="1">
      <w:start w:val="1"/>
      <w:numFmt w:val="lowerLetter"/>
      <w:lvlText w:val="%5."/>
      <w:lvlJc w:val="left"/>
      <w:pPr>
        <w:ind w:left="3819" w:hanging="360"/>
      </w:pPr>
    </w:lvl>
    <w:lvl w:ilvl="5" w:tplc="080C001B" w:tentative="1">
      <w:start w:val="1"/>
      <w:numFmt w:val="lowerRoman"/>
      <w:lvlText w:val="%6."/>
      <w:lvlJc w:val="right"/>
      <w:pPr>
        <w:ind w:left="4539" w:hanging="180"/>
      </w:pPr>
    </w:lvl>
    <w:lvl w:ilvl="6" w:tplc="080C000F" w:tentative="1">
      <w:start w:val="1"/>
      <w:numFmt w:val="decimal"/>
      <w:lvlText w:val="%7."/>
      <w:lvlJc w:val="left"/>
      <w:pPr>
        <w:ind w:left="5259" w:hanging="360"/>
      </w:pPr>
    </w:lvl>
    <w:lvl w:ilvl="7" w:tplc="080C0019" w:tentative="1">
      <w:start w:val="1"/>
      <w:numFmt w:val="lowerLetter"/>
      <w:lvlText w:val="%8."/>
      <w:lvlJc w:val="left"/>
      <w:pPr>
        <w:ind w:left="5979" w:hanging="360"/>
      </w:pPr>
    </w:lvl>
    <w:lvl w:ilvl="8" w:tplc="080C001B" w:tentative="1">
      <w:start w:val="1"/>
      <w:numFmt w:val="lowerRoman"/>
      <w:lvlText w:val="%9."/>
      <w:lvlJc w:val="right"/>
      <w:pPr>
        <w:ind w:left="6699" w:hanging="180"/>
      </w:pPr>
    </w:lvl>
  </w:abstractNum>
  <w:abstractNum w:abstractNumId="18" w15:restartNumberingAfterBreak="0">
    <w:nsid w:val="463B075B"/>
    <w:multiLevelType w:val="hybridMultilevel"/>
    <w:tmpl w:val="BE3C9CE6"/>
    <w:lvl w:ilvl="0" w:tplc="A4B08FBE">
      <w:start w:val="1"/>
      <w:numFmt w:val="decimal"/>
      <w:lvlText w:val="%1."/>
      <w:lvlJc w:val="left"/>
      <w:pPr>
        <w:ind w:left="1689" w:hanging="555"/>
      </w:pPr>
      <w:rPr>
        <w:rFonts w:hint="default"/>
      </w:rPr>
    </w:lvl>
    <w:lvl w:ilvl="1" w:tplc="080C0019">
      <w:start w:val="1"/>
      <w:numFmt w:val="lowerLetter"/>
      <w:lvlText w:val="%2."/>
      <w:lvlJc w:val="left"/>
      <w:pPr>
        <w:ind w:left="2214" w:hanging="360"/>
      </w:pPr>
    </w:lvl>
    <w:lvl w:ilvl="2" w:tplc="080C001B">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C7138"/>
    <w:multiLevelType w:val="hybridMultilevel"/>
    <w:tmpl w:val="F82E8E30"/>
    <w:lvl w:ilvl="0" w:tplc="A4B08FBE">
      <w:start w:val="1"/>
      <w:numFmt w:val="decimal"/>
      <w:lvlText w:val="%1."/>
      <w:lvlJc w:val="left"/>
      <w:pPr>
        <w:ind w:left="1689" w:hanging="555"/>
      </w:pPr>
      <w:rPr>
        <w:rFonts w:hint="default"/>
      </w:rPr>
    </w:lvl>
    <w:lvl w:ilvl="1" w:tplc="080C0019">
      <w:start w:val="1"/>
      <w:numFmt w:val="lowerLetter"/>
      <w:lvlText w:val="%2."/>
      <w:lvlJc w:val="left"/>
      <w:pPr>
        <w:ind w:left="2214" w:hanging="360"/>
      </w:pPr>
    </w:lvl>
    <w:lvl w:ilvl="2" w:tplc="080C001B" w:tentative="1">
      <w:start w:val="1"/>
      <w:numFmt w:val="lowerRoman"/>
      <w:lvlText w:val="%3."/>
      <w:lvlJc w:val="right"/>
      <w:pPr>
        <w:ind w:left="2934" w:hanging="180"/>
      </w:pPr>
    </w:lvl>
    <w:lvl w:ilvl="3" w:tplc="080C000F" w:tentative="1">
      <w:start w:val="1"/>
      <w:numFmt w:val="decimal"/>
      <w:lvlText w:val="%4."/>
      <w:lvlJc w:val="left"/>
      <w:pPr>
        <w:ind w:left="3654" w:hanging="360"/>
      </w:pPr>
    </w:lvl>
    <w:lvl w:ilvl="4" w:tplc="080C0019" w:tentative="1">
      <w:start w:val="1"/>
      <w:numFmt w:val="lowerLetter"/>
      <w:lvlText w:val="%5."/>
      <w:lvlJc w:val="left"/>
      <w:pPr>
        <w:ind w:left="4374" w:hanging="360"/>
      </w:pPr>
    </w:lvl>
    <w:lvl w:ilvl="5" w:tplc="080C001B" w:tentative="1">
      <w:start w:val="1"/>
      <w:numFmt w:val="lowerRoman"/>
      <w:lvlText w:val="%6."/>
      <w:lvlJc w:val="right"/>
      <w:pPr>
        <w:ind w:left="5094" w:hanging="180"/>
      </w:pPr>
    </w:lvl>
    <w:lvl w:ilvl="6" w:tplc="080C000F" w:tentative="1">
      <w:start w:val="1"/>
      <w:numFmt w:val="decimal"/>
      <w:lvlText w:val="%7."/>
      <w:lvlJc w:val="left"/>
      <w:pPr>
        <w:ind w:left="5814" w:hanging="360"/>
      </w:pPr>
    </w:lvl>
    <w:lvl w:ilvl="7" w:tplc="080C0019" w:tentative="1">
      <w:start w:val="1"/>
      <w:numFmt w:val="lowerLetter"/>
      <w:lvlText w:val="%8."/>
      <w:lvlJc w:val="left"/>
      <w:pPr>
        <w:ind w:left="6534" w:hanging="360"/>
      </w:pPr>
    </w:lvl>
    <w:lvl w:ilvl="8" w:tplc="080C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9"/>
  </w:num>
  <w:num w:numId="18">
    <w:abstractNumId w:val="20"/>
  </w:num>
  <w:num w:numId="19">
    <w:abstractNumId w:val="11"/>
  </w:num>
  <w:num w:numId="20">
    <w:abstractNumId w:val="11"/>
  </w:num>
  <w:num w:numId="21">
    <w:abstractNumId w:val="21"/>
  </w:num>
  <w:num w:numId="22">
    <w:abstractNumId w:val="18"/>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2F4"/>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424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31FC"/>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14ABC"/>
    <w:rsid w:val="00533616"/>
    <w:rsid w:val="00535ABA"/>
    <w:rsid w:val="0053768B"/>
    <w:rsid w:val="005420F2"/>
    <w:rsid w:val="0054236F"/>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447FD"/>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738BE"/>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C19BB"/>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24FE1"/>
    <w:rsid w:val="00B30179"/>
    <w:rsid w:val="00B33FC7"/>
    <w:rsid w:val="00B37B15"/>
    <w:rsid w:val="00B45C02"/>
    <w:rsid w:val="00B70B63"/>
    <w:rsid w:val="00B72A1E"/>
    <w:rsid w:val="00B81E12"/>
    <w:rsid w:val="00BA339B"/>
    <w:rsid w:val="00BB23CC"/>
    <w:rsid w:val="00BC09A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2041"/>
    <w:rsid w:val="00D978C6"/>
    <w:rsid w:val="00DA0956"/>
    <w:rsid w:val="00DA357F"/>
    <w:rsid w:val="00DA3E12"/>
    <w:rsid w:val="00DC18AD"/>
    <w:rsid w:val="00DF490A"/>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A72F4"/>
    <w:rsid w:val="00FC03CD"/>
    <w:rsid w:val="00FC0646"/>
    <w:rsid w:val="00FC68B7"/>
    <w:rsid w:val="00FD4924"/>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7A8D6C"/>
  <w15:docId w15:val="{19A5C2B0-31C6-4A3A-821D-429985F3B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1GChar">
    <w:name w:val="_ H_1_G Char"/>
    <w:link w:val="H1G"/>
    <w:qFormat/>
    <w:rsid w:val="00FA72F4"/>
    <w:rPr>
      <w:b/>
      <w:sz w:val="24"/>
      <w:lang w:val="en-GB"/>
    </w:rPr>
  </w:style>
  <w:style w:type="character" w:customStyle="1" w:styleId="HChGChar">
    <w:name w:val="_ H _Ch_G Char"/>
    <w:link w:val="HChG"/>
    <w:qFormat/>
    <w:rsid w:val="00FA72F4"/>
    <w:rPr>
      <w:b/>
      <w:sz w:val="28"/>
      <w:lang w:val="en-GB"/>
    </w:rPr>
  </w:style>
  <w:style w:type="paragraph" w:styleId="ListParagraph">
    <w:name w:val="List Paragraph"/>
    <w:basedOn w:val="Normal"/>
    <w:qFormat/>
    <w:rsid w:val="00FA72F4"/>
    <w:pPr>
      <w:suppressAutoHyphens w:val="0"/>
      <w:spacing w:after="200" w:line="276" w:lineRule="auto"/>
      <w:ind w:left="720"/>
      <w:contextualSpacing/>
    </w:pPr>
    <w:rPr>
      <w:rFonts w:ascii="Calibri" w:hAnsi="Calibri"/>
      <w:sz w:val="22"/>
      <w:szCs w:val="22"/>
      <w:lang w:val="nl-NL" w:eastAsia="zh-CN"/>
    </w:rPr>
  </w:style>
  <w:style w:type="table" w:customStyle="1" w:styleId="TableGrid1">
    <w:name w:val="Table Grid1"/>
    <w:basedOn w:val="TableNormal"/>
    <w:next w:val="TableGrid"/>
    <w:uiPriority w:val="39"/>
    <w:rsid w:val="00FA72F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aliases w:val="5_G Char,5_GR Char"/>
    <w:basedOn w:val="DefaultParagraphFont"/>
    <w:link w:val="FootnoteText"/>
    <w:locked/>
    <w:rsid w:val="00FA72F4"/>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789684">
      <w:bodyDiv w:val="1"/>
      <w:marLeft w:val="0"/>
      <w:marRight w:val="0"/>
      <w:marTop w:val="0"/>
      <w:marBottom w:val="0"/>
      <w:divBdr>
        <w:top w:val="none" w:sz="0" w:space="0" w:color="auto"/>
        <w:left w:val="none" w:sz="0" w:space="0" w:color="auto"/>
        <w:bottom w:val="none" w:sz="0" w:space="0" w:color="auto"/>
        <w:right w:val="none" w:sz="0" w:space="0" w:color="auto"/>
      </w:divBdr>
    </w:div>
    <w:div w:id="162419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B2098-60CF-43A2-BEA0-56EDE74BB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1</TotalTime>
  <Pages>7</Pages>
  <Words>2715</Words>
  <Characters>15479</Characters>
  <Application>Microsoft Office Word</Application>
  <DocSecurity>0</DocSecurity>
  <Lines>128</Lines>
  <Paragraphs>36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ECE/TRANS/WP.15/AC.1/2019/34</vt:lpstr>
      <vt:lpstr/>
    </vt:vector>
  </TitlesOfParts>
  <Company>CSD</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ECE/TRANS/WP.15/AC.1/2019/34</dc:title>
  <dc:creator>Christine Barrio-Champeau</dc:creator>
  <cp:lastModifiedBy>Christine Barrio-Champeau</cp:lastModifiedBy>
  <cp:revision>3</cp:revision>
  <cp:lastPrinted>2009-02-18T09:36:00Z</cp:lastPrinted>
  <dcterms:created xsi:type="dcterms:W3CDTF">2019-06-25T12:50:00Z</dcterms:created>
  <dcterms:modified xsi:type="dcterms:W3CDTF">2019-06-25T12:51:00Z</dcterms:modified>
</cp:coreProperties>
</file>