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63CD4" w:rsidRPr="00255826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963CD4" w:rsidRDefault="00963CD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63CD4" w:rsidRDefault="00255826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63CD4" w:rsidRDefault="00255826" w:rsidP="000D07E3">
            <w:pPr>
              <w:jc w:val="right"/>
              <w:rPr>
                <w:lang w:val="en-US"/>
              </w:rPr>
            </w:pPr>
            <w:r>
              <w:rPr>
                <w:sz w:val="40"/>
                <w:lang w:val="en-US"/>
              </w:rPr>
              <w:t>ECE</w:t>
            </w:r>
            <w:r>
              <w:rPr>
                <w:lang w:val="en-US"/>
              </w:rPr>
              <w:t>/TRANS/WP.15/AC.1/2019/</w:t>
            </w:r>
            <w:r w:rsidR="00A55624">
              <w:rPr>
                <w:lang w:val="en-US"/>
              </w:rPr>
              <w:t>29</w:t>
            </w:r>
          </w:p>
        </w:tc>
      </w:tr>
      <w:tr w:rsidR="00963CD4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63CD4" w:rsidRDefault="00255826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63CD4" w:rsidRDefault="00255826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63CD4" w:rsidRDefault="00DC3F04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  <w:r>
              <w:br/>
            </w:r>
            <w:r w:rsidR="00E14B51">
              <w:t>19</w:t>
            </w:r>
            <w:bookmarkStart w:id="0" w:name="_GoBack"/>
            <w:bookmarkEnd w:id="0"/>
            <w:r w:rsidR="00A55624">
              <w:t xml:space="preserve"> June</w:t>
            </w:r>
            <w:r w:rsidR="00255826">
              <w:t>201</w:t>
            </w:r>
            <w:r w:rsidR="000D07E3">
              <w:t>9</w:t>
            </w:r>
          </w:p>
          <w:p w:rsidR="00963CD4" w:rsidRDefault="00963CD4">
            <w:pPr>
              <w:spacing w:line="240" w:lineRule="exact"/>
            </w:pPr>
          </w:p>
          <w:p w:rsidR="00963CD4" w:rsidRDefault="00255826">
            <w:pPr>
              <w:spacing w:line="240" w:lineRule="exact"/>
            </w:pPr>
            <w:r>
              <w:t>Original: français</w:t>
            </w:r>
          </w:p>
        </w:tc>
      </w:tr>
    </w:tbl>
    <w:p w:rsidR="00963CD4" w:rsidRDefault="00255826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963CD4" w:rsidRDefault="0025582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963CD4" w:rsidRDefault="00255826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des transports de marchandises dangereuses</w:t>
      </w:r>
    </w:p>
    <w:p w:rsidR="00963CD4" w:rsidRDefault="00255826">
      <w:pPr>
        <w:spacing w:before="120"/>
        <w:rPr>
          <w:b/>
        </w:rPr>
      </w:pPr>
      <w:r>
        <w:rPr>
          <w:b/>
        </w:rPr>
        <w:t>Réunion commune de la Commission d’experts du RID et</w:t>
      </w:r>
      <w:r>
        <w:rPr>
          <w:b/>
        </w:rPr>
        <w:br/>
        <w:t>du Groupe de travail des transports de marchandises dangereuses</w:t>
      </w:r>
    </w:p>
    <w:p w:rsidR="00963CD4" w:rsidRDefault="000D07E3">
      <w:r>
        <w:t>Genève</w:t>
      </w:r>
      <w:r w:rsidR="00255826">
        <w:t>, 1</w:t>
      </w:r>
      <w:r>
        <w:t>7</w:t>
      </w:r>
      <w:r w:rsidR="00255826">
        <w:t>-2</w:t>
      </w:r>
      <w:r>
        <w:t>7</w:t>
      </w:r>
      <w:r w:rsidR="00255826">
        <w:t xml:space="preserve"> </w:t>
      </w:r>
      <w:r>
        <w:t>septembre</w:t>
      </w:r>
      <w:r w:rsidR="00255826">
        <w:t xml:space="preserve"> 2019</w:t>
      </w:r>
    </w:p>
    <w:p w:rsidR="00963CD4" w:rsidRDefault="00255826">
      <w:r>
        <w:t>Point 5 b) de l’ordre du jour provisoire</w:t>
      </w:r>
    </w:p>
    <w:p w:rsidR="00963CD4" w:rsidRDefault="00255826">
      <w:pPr>
        <w:rPr>
          <w:b/>
        </w:rPr>
      </w:pPr>
      <w:bookmarkStart w:id="1" w:name="bookmark_16"/>
      <w:r>
        <w:rPr>
          <w:b/>
        </w:rPr>
        <w:t xml:space="preserve">Propositions diverses d’amendements au RID/ADR/ADN : </w:t>
      </w:r>
      <w:r>
        <w:rPr>
          <w:b/>
        </w:rPr>
        <w:br/>
        <w:t>nouvelles propositions</w:t>
      </w:r>
      <w:bookmarkEnd w:id="1"/>
    </w:p>
    <w:p w:rsidR="00963CD4" w:rsidRDefault="00255826">
      <w:pPr>
        <w:pStyle w:val="HChG"/>
      </w:pPr>
      <w:r>
        <w:tab/>
      </w:r>
      <w:r>
        <w:tab/>
      </w:r>
      <w:r w:rsidR="000D07E3">
        <w:t>Evaluation séparée des robinets et autres accessoires démontables ayant une fonction directe de sécurité sur les récipients à pression « UN »</w:t>
      </w:r>
    </w:p>
    <w:p w:rsidR="00963CD4" w:rsidRPr="00FE26A4" w:rsidRDefault="00255826">
      <w:pPr>
        <w:pStyle w:val="H1G"/>
        <w:rPr>
          <w:rFonts w:eastAsia="Arial"/>
          <w:b w:val="0"/>
          <w:bCs/>
          <w:vertAlign w:val="superscript"/>
        </w:rPr>
      </w:pPr>
      <w:r>
        <w:rPr>
          <w:rFonts w:eastAsia="Arial"/>
          <w:lang w:val="fr-FR"/>
        </w:rPr>
        <w:tab/>
      </w:r>
      <w:r>
        <w:rPr>
          <w:rFonts w:eastAsia="Arial"/>
          <w:lang w:val="fr-FR"/>
        </w:rPr>
        <w:tab/>
        <w:t xml:space="preserve">Communication du Gouvernement de la </w:t>
      </w:r>
      <w:r w:rsidR="000D07E3">
        <w:rPr>
          <w:rFonts w:eastAsia="Arial"/>
          <w:lang w:val="fr-FR"/>
        </w:rPr>
        <w:t>France</w:t>
      </w:r>
      <w:r w:rsidR="00A55624" w:rsidRPr="00FA5D3A">
        <w:rPr>
          <w:rStyle w:val="FootnoteReference"/>
          <w:sz w:val="20"/>
        </w:rPr>
        <w:footnoteReference w:customMarkFollows="1" w:id="2"/>
        <w:t>*</w:t>
      </w:r>
      <w:r w:rsidR="00A55624" w:rsidRPr="00FA5D3A">
        <w:rPr>
          <w:b w:val="0"/>
          <w:position w:val="6"/>
          <w:sz w:val="20"/>
        </w:rPr>
        <w:t>,</w:t>
      </w:r>
      <w:r w:rsidR="00A55624" w:rsidRPr="00FA5D3A">
        <w:rPr>
          <w:b w:val="0"/>
          <w:sz w:val="20"/>
        </w:rPr>
        <w:t xml:space="preserve"> </w:t>
      </w:r>
      <w:r w:rsidR="00A55624" w:rsidRPr="00FA5D3A">
        <w:rPr>
          <w:rStyle w:val="FootnoteReference"/>
          <w:sz w:val="2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963CD4" w:rsidTr="00C31CE5">
        <w:trPr>
          <w:jc w:val="center"/>
        </w:trPr>
        <w:tc>
          <w:tcPr>
            <w:tcW w:w="9629" w:type="dxa"/>
            <w:shd w:val="clear" w:color="auto" w:fill="auto"/>
          </w:tcPr>
          <w:p w:rsidR="00963CD4" w:rsidRDefault="00255826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963CD4" w:rsidTr="00C31CE5">
        <w:trPr>
          <w:jc w:val="center"/>
        </w:trPr>
        <w:tc>
          <w:tcPr>
            <w:tcW w:w="9629" w:type="dxa"/>
            <w:shd w:val="clear" w:color="auto" w:fill="auto"/>
          </w:tcPr>
          <w:p w:rsidR="00963CD4" w:rsidRDefault="00255826" w:rsidP="001C0118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</w:rPr>
              <w:t>Résumé analytique:</w:t>
            </w:r>
            <w:r>
              <w:rPr>
                <w:b/>
              </w:rPr>
              <w:tab/>
            </w:r>
            <w:r>
              <w:t xml:space="preserve">Cette proposition </w:t>
            </w:r>
            <w:r w:rsidR="001C0118">
              <w:t xml:space="preserve">vise à harmoniser les procédures d’évaluation de la conformité des robinets et autres accessoires démontables ayant une fonction directe de sécurité des récipients à pression </w:t>
            </w:r>
            <w:r w:rsidR="0060008C">
              <w:t>“</w:t>
            </w:r>
            <w:r w:rsidR="001C0118">
              <w:t>UN</w:t>
            </w:r>
            <w:r w:rsidR="0060008C">
              <w:t>”</w:t>
            </w:r>
            <w:r w:rsidR="001C0118">
              <w:t xml:space="preserve"> et</w:t>
            </w:r>
            <w:r w:rsidR="00F97FFB">
              <w:t xml:space="preserve"> des récipients à pression</w:t>
            </w:r>
            <w:r w:rsidR="001C0118">
              <w:t xml:space="preserve"> </w:t>
            </w:r>
            <w:r w:rsidR="0060008C">
              <w:t>“</w:t>
            </w:r>
            <w:r w:rsidR="001C0118">
              <w:t>non UN</w:t>
            </w:r>
            <w:r w:rsidR="0060008C">
              <w:t>”</w:t>
            </w:r>
            <w:r>
              <w:t>.</w:t>
            </w:r>
          </w:p>
        </w:tc>
      </w:tr>
      <w:tr w:rsidR="00963CD4" w:rsidTr="00C31CE5">
        <w:trPr>
          <w:jc w:val="center"/>
        </w:trPr>
        <w:tc>
          <w:tcPr>
            <w:tcW w:w="9629" w:type="dxa"/>
            <w:shd w:val="clear" w:color="auto" w:fill="auto"/>
          </w:tcPr>
          <w:p w:rsidR="00963CD4" w:rsidRDefault="00255826" w:rsidP="000D07E3">
            <w:pPr>
              <w:pStyle w:val="SingleTxtG"/>
              <w:tabs>
                <w:tab w:val="left" w:pos="3686"/>
              </w:tabs>
              <w:ind w:left="3686" w:hanging="2552"/>
            </w:pPr>
            <w:r>
              <w:rPr>
                <w:b/>
              </w:rPr>
              <w:t xml:space="preserve">Mesures à </w:t>
            </w:r>
            <w:proofErr w:type="gramStart"/>
            <w:r>
              <w:rPr>
                <w:b/>
              </w:rPr>
              <w:t>prendre:</w:t>
            </w:r>
            <w:proofErr w:type="gramEnd"/>
            <w:r>
              <w:rPr>
                <w:b/>
              </w:rPr>
              <w:tab/>
            </w:r>
            <w:r>
              <w:t xml:space="preserve">Modifier le </w:t>
            </w:r>
            <w:r w:rsidR="008F12A2">
              <w:t>6.2.2.11</w:t>
            </w:r>
            <w:r>
              <w:t>.</w:t>
            </w:r>
          </w:p>
          <w:p w:rsidR="000D07E3" w:rsidRPr="000D07E3" w:rsidRDefault="000D07E3" w:rsidP="008D4941">
            <w:pPr>
              <w:pStyle w:val="SingleTxtG"/>
              <w:tabs>
                <w:tab w:val="left" w:pos="3686"/>
              </w:tabs>
              <w:spacing w:after="0"/>
              <w:ind w:left="3686" w:hanging="2552"/>
            </w:pPr>
            <w:r>
              <w:rPr>
                <w:b/>
              </w:rPr>
              <w:t xml:space="preserve">Documents de </w:t>
            </w:r>
            <w:proofErr w:type="gramStart"/>
            <w:r>
              <w:rPr>
                <w:b/>
              </w:rPr>
              <w:t>référence:</w:t>
            </w:r>
            <w:proofErr w:type="gramEnd"/>
            <w:r>
              <w:rPr>
                <w:b/>
              </w:rPr>
              <w:tab/>
            </w:r>
            <w:r w:rsidRPr="000D07E3">
              <w:t>INF.13 de la session de septembre 2018.</w:t>
            </w:r>
          </w:p>
          <w:p w:rsidR="000D07E3" w:rsidRDefault="000D07E3" w:rsidP="008D4941">
            <w:pPr>
              <w:pStyle w:val="SingleTxtG"/>
              <w:tabs>
                <w:tab w:val="left" w:pos="3686"/>
              </w:tabs>
              <w:ind w:left="3686"/>
            </w:pPr>
            <w:r w:rsidRPr="000D07E3">
              <w:t>ECE/TRANS/WP.15/AC.1/152</w:t>
            </w:r>
            <w:r>
              <w:t xml:space="preserve">, </w:t>
            </w:r>
            <w:r w:rsidR="002148A4">
              <w:t>par.</w:t>
            </w:r>
            <w:r>
              <w:t xml:space="preserve"> 39</w:t>
            </w:r>
            <w:r>
              <w:rPr>
                <w:b/>
              </w:rPr>
              <w:t xml:space="preserve"> </w:t>
            </w:r>
          </w:p>
        </w:tc>
      </w:tr>
      <w:tr w:rsidR="00963CD4" w:rsidTr="00C31CE5">
        <w:trPr>
          <w:jc w:val="center"/>
        </w:trPr>
        <w:tc>
          <w:tcPr>
            <w:tcW w:w="9629" w:type="dxa"/>
            <w:shd w:val="clear" w:color="auto" w:fill="auto"/>
          </w:tcPr>
          <w:p w:rsidR="00963CD4" w:rsidRDefault="00963CD4" w:rsidP="000D07E3">
            <w:pPr>
              <w:pStyle w:val="SingleTxtG"/>
              <w:tabs>
                <w:tab w:val="left" w:pos="3260"/>
              </w:tabs>
            </w:pPr>
          </w:p>
        </w:tc>
      </w:tr>
    </w:tbl>
    <w:p w:rsidR="00963CD4" w:rsidRDefault="00255826">
      <w:pPr>
        <w:pStyle w:val="HChG"/>
        <w:ind w:firstLine="0"/>
      </w:pPr>
      <w:r>
        <w:tab/>
        <w:t>Introduction</w:t>
      </w:r>
    </w:p>
    <w:p w:rsidR="000D07E3" w:rsidRDefault="00255826" w:rsidP="000D07E3">
      <w:pPr>
        <w:pStyle w:val="SingleTxtG"/>
      </w:pPr>
      <w:r>
        <w:t>1.</w:t>
      </w:r>
      <w:r>
        <w:tab/>
      </w:r>
      <w:r w:rsidR="000D07E3">
        <w:t>Le 6.2.3.6.1</w:t>
      </w:r>
      <w:r w:rsidR="008B055D">
        <w:t xml:space="preserve"> du</w:t>
      </w:r>
      <w:r w:rsidR="000D07E3">
        <w:t xml:space="preserve"> </w:t>
      </w:r>
      <w:r w:rsidR="008B055D">
        <w:t xml:space="preserve">RID/ADR </w:t>
      </w:r>
      <w:r w:rsidR="000D07E3">
        <w:t xml:space="preserve">applicable aux récipients à pression </w:t>
      </w:r>
      <w:r w:rsidR="0060008C">
        <w:t>“</w:t>
      </w:r>
      <w:r w:rsidR="000D07E3">
        <w:t>non UN</w:t>
      </w:r>
      <w:r w:rsidR="0060008C">
        <w:t>”</w:t>
      </w:r>
      <w:r w:rsidR="000D07E3">
        <w:t xml:space="preserve"> indique </w:t>
      </w:r>
      <w:proofErr w:type="gramStart"/>
      <w:r w:rsidR="000D07E3">
        <w:t>que:</w:t>
      </w:r>
      <w:proofErr w:type="gramEnd"/>
    </w:p>
    <w:p w:rsidR="000D07E3" w:rsidRDefault="008B055D" w:rsidP="000D07E3">
      <w:pPr>
        <w:pStyle w:val="SingleTxtG"/>
      </w:pPr>
      <w:r>
        <w:lastRenderedPageBreak/>
        <w:t>« </w:t>
      </w:r>
      <w:r w:rsidR="000D07E3">
        <w:t xml:space="preserve">Pour les récipients à pression rechargeables, l'évaluation de la conformité des robinets et autres accessoires démontables ayant une fonction directe de sécurité peut être effectuée séparément </w:t>
      </w:r>
      <w:r>
        <w:t xml:space="preserve">de celle </w:t>
      </w:r>
      <w:r w:rsidR="000D07E3">
        <w:t>des récipients</w:t>
      </w:r>
      <w:r>
        <w:t xml:space="preserve"> à pression</w:t>
      </w:r>
      <w:r w:rsidR="0060008C">
        <w:t>.</w:t>
      </w:r>
      <w:r>
        <w:t> »</w:t>
      </w:r>
    </w:p>
    <w:p w:rsidR="000D07E3" w:rsidRDefault="000D07E3" w:rsidP="000D07E3">
      <w:pPr>
        <w:pStyle w:val="SingleTxtG"/>
      </w:pPr>
      <w:r>
        <w:t>2.</w:t>
      </w:r>
      <w:r w:rsidR="008B055D">
        <w:tab/>
      </w:r>
      <w:r>
        <w:t xml:space="preserve">Le 6.2.2.11 ne contient aucune disposition de ce type traitant de procédures équivalentes d'évaluation de la conformité des récipients à pression </w:t>
      </w:r>
      <w:r w:rsidR="0060008C">
        <w:t>“</w:t>
      </w:r>
      <w:r>
        <w:t>UN</w:t>
      </w:r>
      <w:r w:rsidR="0060008C">
        <w:t>”</w:t>
      </w:r>
      <w:r>
        <w:t>.</w:t>
      </w:r>
    </w:p>
    <w:p w:rsidR="006802E6" w:rsidRPr="006802E6" w:rsidRDefault="006802E6" w:rsidP="006802E6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Theme="minorHAnsi"/>
          <w:lang w:val="fr-FR"/>
        </w:rPr>
      </w:pPr>
      <w:r w:rsidRPr="006802E6">
        <w:rPr>
          <w:rFonts w:eastAsiaTheme="minorHAnsi"/>
          <w:lang w:val="fr-FR"/>
        </w:rPr>
        <w:t>3.</w:t>
      </w:r>
      <w:r w:rsidRPr="006802E6">
        <w:rPr>
          <w:rFonts w:eastAsiaTheme="minorHAnsi"/>
          <w:lang w:val="fr-FR"/>
        </w:rPr>
        <w:tab/>
      </w:r>
      <w:r w:rsidR="008D4941">
        <w:rPr>
          <w:rFonts w:eastAsiaTheme="minorHAnsi"/>
          <w:lang w:val="fr-FR"/>
        </w:rPr>
        <w:t xml:space="preserve">Lors de sa session de septembre 2018, sur la base du document informel </w:t>
      </w:r>
      <w:r w:rsidR="008D4941" w:rsidRPr="006802E6">
        <w:rPr>
          <w:rFonts w:eastAsiaTheme="minorHAnsi"/>
          <w:lang w:val="fr-FR"/>
        </w:rPr>
        <w:t>INF.13</w:t>
      </w:r>
      <w:r w:rsidR="008D4941">
        <w:rPr>
          <w:rFonts w:eastAsiaTheme="minorHAnsi"/>
          <w:lang w:val="fr-FR"/>
        </w:rPr>
        <w:t>,</w:t>
      </w:r>
      <w:r w:rsidR="008D4941" w:rsidRPr="006802E6">
        <w:rPr>
          <w:rFonts w:eastAsiaTheme="minorHAnsi"/>
          <w:lang w:val="fr-FR"/>
        </w:rPr>
        <w:t xml:space="preserve"> </w:t>
      </w:r>
      <w:r w:rsidR="008D4941">
        <w:rPr>
          <w:rFonts w:eastAsiaTheme="minorHAnsi"/>
          <w:lang w:val="fr-FR"/>
        </w:rPr>
        <w:t>l</w:t>
      </w:r>
      <w:r w:rsidRPr="006802E6">
        <w:rPr>
          <w:rFonts w:eastAsiaTheme="minorHAnsi"/>
          <w:lang w:val="fr-FR"/>
        </w:rPr>
        <w:t xml:space="preserve">a Réunion commune </w:t>
      </w:r>
      <w:r w:rsidR="008D4941">
        <w:rPr>
          <w:rFonts w:eastAsiaTheme="minorHAnsi"/>
          <w:lang w:val="fr-FR"/>
        </w:rPr>
        <w:t>« </w:t>
      </w:r>
      <w:r w:rsidRPr="006802E6">
        <w:rPr>
          <w:rFonts w:eastAsiaTheme="minorHAnsi"/>
          <w:lang w:val="fr-FR"/>
        </w:rPr>
        <w:t xml:space="preserve">a convenu que les dispositions du 6.2.3.6.1 applicables aux récipients à pression </w:t>
      </w:r>
      <w:r w:rsidR="0060008C">
        <w:rPr>
          <w:rFonts w:eastAsiaTheme="minorHAnsi"/>
          <w:lang w:val="fr-FR"/>
        </w:rPr>
        <w:t>“</w:t>
      </w:r>
      <w:r w:rsidRPr="006802E6">
        <w:rPr>
          <w:rFonts w:eastAsiaTheme="minorHAnsi"/>
          <w:lang w:val="fr-FR"/>
        </w:rPr>
        <w:t>non UN</w:t>
      </w:r>
      <w:r w:rsidR="0060008C">
        <w:rPr>
          <w:rFonts w:eastAsiaTheme="minorHAnsi"/>
          <w:lang w:val="fr-FR"/>
        </w:rPr>
        <w:t>”</w:t>
      </w:r>
      <w:r w:rsidRPr="006802E6">
        <w:rPr>
          <w:rFonts w:eastAsiaTheme="minorHAnsi"/>
          <w:lang w:val="fr-FR"/>
        </w:rPr>
        <w:t xml:space="preserve"> en ce qui concerne l’évaluation de la conformité des robinets et autres accessoires démontables ayant une fonction de sécurité directe </w:t>
      </w:r>
      <w:r w:rsidR="008D4941">
        <w:rPr>
          <w:rFonts w:eastAsiaTheme="minorHAnsi"/>
          <w:lang w:val="fr-FR"/>
        </w:rPr>
        <w:t xml:space="preserve">de sécurité </w:t>
      </w:r>
      <w:r w:rsidRPr="006802E6">
        <w:rPr>
          <w:rFonts w:eastAsiaTheme="minorHAnsi"/>
          <w:lang w:val="fr-FR"/>
        </w:rPr>
        <w:t>étaient également pertinentes p</w:t>
      </w:r>
      <w:r w:rsidR="0060008C">
        <w:rPr>
          <w:rFonts w:eastAsiaTheme="minorHAnsi"/>
          <w:lang w:val="fr-FR"/>
        </w:rPr>
        <w:t>our les récipients à pression “</w:t>
      </w:r>
      <w:r w:rsidRPr="006802E6">
        <w:rPr>
          <w:rFonts w:eastAsiaTheme="minorHAnsi"/>
          <w:lang w:val="fr-FR"/>
        </w:rPr>
        <w:t>UN</w:t>
      </w:r>
      <w:r w:rsidR="0060008C">
        <w:rPr>
          <w:rFonts w:eastAsiaTheme="minorHAnsi"/>
          <w:lang w:val="fr-FR"/>
        </w:rPr>
        <w:t>”</w:t>
      </w:r>
      <w:r w:rsidRPr="006802E6">
        <w:rPr>
          <w:rFonts w:eastAsiaTheme="minorHAnsi"/>
          <w:lang w:val="fr-FR"/>
        </w:rPr>
        <w:t xml:space="preserve"> et donc que le 6.2.2.11 devait être modifié en conséquence.</w:t>
      </w:r>
      <w:r w:rsidR="008D4941">
        <w:rPr>
          <w:rFonts w:eastAsiaTheme="minorHAnsi"/>
          <w:lang w:val="fr-FR"/>
        </w:rPr>
        <w:t> »</w:t>
      </w:r>
      <w:r w:rsidRPr="006802E6">
        <w:rPr>
          <w:rFonts w:eastAsiaTheme="minorHAnsi"/>
          <w:lang w:val="fr-FR"/>
        </w:rPr>
        <w:t xml:space="preserve"> </w:t>
      </w:r>
    </w:p>
    <w:p w:rsidR="00963CD4" w:rsidRDefault="00416B9F" w:rsidP="00416B9F">
      <w:pPr>
        <w:pStyle w:val="SingleTxtG"/>
      </w:pPr>
      <w:r>
        <w:t>4</w:t>
      </w:r>
      <w:r w:rsidR="000D07E3">
        <w:t>.</w:t>
      </w:r>
      <w:r w:rsidR="008D4941">
        <w:tab/>
        <w:t>Afin d'harmoniser les procédures d'évaluation de la conformité</w:t>
      </w:r>
      <w:r w:rsidR="000D07E3">
        <w:t xml:space="preserve"> </w:t>
      </w:r>
      <w:r w:rsidR="008D4941">
        <w:t>d</w:t>
      </w:r>
      <w:r w:rsidR="000D07E3">
        <w:t xml:space="preserve">es vannes et autres accessoires démontables ayant une fonction directe de sécurité des récipients à pression </w:t>
      </w:r>
      <w:r w:rsidR="0060008C">
        <w:t>“</w:t>
      </w:r>
      <w:r w:rsidR="000D07E3">
        <w:t>UN</w:t>
      </w:r>
      <w:r w:rsidR="0060008C">
        <w:t>”</w:t>
      </w:r>
      <w:r w:rsidR="000D07E3">
        <w:t xml:space="preserve"> et des récipients à pression </w:t>
      </w:r>
      <w:r w:rsidR="0060008C">
        <w:t>“</w:t>
      </w:r>
      <w:r w:rsidR="000D07E3">
        <w:t>non UN</w:t>
      </w:r>
      <w:r w:rsidR="0060008C">
        <w:t>”</w:t>
      </w:r>
      <w:r w:rsidR="008D4941">
        <w:t xml:space="preserve">, nous proposons d’ajouter au </w:t>
      </w:r>
      <w:r>
        <w:t>6.2.2.11</w:t>
      </w:r>
      <w:r w:rsidR="000D07E3">
        <w:t xml:space="preserve"> une phrase similaire à celle du 6.2.3.6.1 </w:t>
      </w:r>
      <w:r>
        <w:t>comme suit.</w:t>
      </w:r>
    </w:p>
    <w:p w:rsidR="00963CD4" w:rsidRDefault="000D07E3" w:rsidP="00C31CE5">
      <w:pPr>
        <w:pStyle w:val="H1G"/>
      </w:pPr>
      <w:r>
        <w:tab/>
      </w:r>
      <w:r>
        <w:tab/>
        <w:t>Proposition</w:t>
      </w:r>
    </w:p>
    <w:p w:rsidR="00416B9F" w:rsidRDefault="00416B9F">
      <w:pPr>
        <w:pStyle w:val="SingleTxtG"/>
      </w:pPr>
      <w:r>
        <w:t>5</w:t>
      </w:r>
      <w:r w:rsidR="00255826">
        <w:t>.</w:t>
      </w:r>
      <w:r w:rsidR="00255826">
        <w:tab/>
      </w:r>
      <w:r>
        <w:t>Au 6.2.2.11, ajouter la phrase suivante</w:t>
      </w:r>
      <w:r w:rsidR="0060008C">
        <w:t xml:space="preserve"> après le tableau</w:t>
      </w:r>
      <w:r>
        <w:t> :</w:t>
      </w:r>
    </w:p>
    <w:p w:rsidR="001C0118" w:rsidRDefault="001C0118" w:rsidP="001C0118">
      <w:pPr>
        <w:pStyle w:val="SingleTxtG"/>
      </w:pPr>
      <w:r>
        <w:t>« Pour les récipients à pression rechargeables, l'évaluation de la conformité des robinets et autres accessoires démontables ayant une fonction directe de sécurité peut être effectuée séparément de celle des récipients à pression. »</w:t>
      </w:r>
    </w:p>
    <w:p w:rsidR="008054B1" w:rsidRPr="004C0486" w:rsidRDefault="008054B1" w:rsidP="008054B1">
      <w:pPr>
        <w:pStyle w:val="H1G"/>
        <w:rPr>
          <w:sz w:val="28"/>
          <w:szCs w:val="28"/>
        </w:rPr>
      </w:pPr>
      <w:r w:rsidRPr="004C0486">
        <w:rPr>
          <w:sz w:val="28"/>
          <w:szCs w:val="28"/>
        </w:rPr>
        <w:tab/>
      </w:r>
      <w:r w:rsidRPr="004C0486">
        <w:rPr>
          <w:sz w:val="28"/>
          <w:szCs w:val="28"/>
        </w:rPr>
        <w:tab/>
        <w:t>Justification</w:t>
      </w:r>
    </w:p>
    <w:p w:rsidR="008054B1" w:rsidRPr="004C0486" w:rsidRDefault="002148A4" w:rsidP="008054B1">
      <w:pPr>
        <w:pStyle w:val="SingleTxtG"/>
      </w:pPr>
      <w:r>
        <w:t>6.</w:t>
      </w:r>
      <w:r>
        <w:tab/>
      </w:r>
      <w:r w:rsidR="008054B1">
        <w:t>Cet ajout clarifie la situation et harmonise les procédures d’évaluation de la conformité des équipements des récipients à pression.</w:t>
      </w:r>
    </w:p>
    <w:p w:rsidR="00C31CE5" w:rsidRPr="00C31CE5" w:rsidRDefault="00C31CE5" w:rsidP="00C31CE5">
      <w:pPr>
        <w:pStyle w:val="SingleTxtG"/>
        <w:spacing w:before="240" w:after="0"/>
        <w:jc w:val="center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CE5" w:rsidRPr="00C31CE5" w:rsidSect="00A55624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C5" w:rsidRDefault="00E80CC5"/>
  </w:endnote>
  <w:endnote w:type="continuationSeparator" w:id="0">
    <w:p w:rsidR="00E80CC5" w:rsidRDefault="00E80CC5"/>
  </w:endnote>
  <w:endnote w:type="continuationNotice" w:id="1">
    <w:p w:rsidR="00E80CC5" w:rsidRDefault="00E80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CD4" w:rsidRDefault="00255826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F97FFB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CD4" w:rsidRDefault="00255826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0D07E3"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C5" w:rsidRDefault="00E80CC5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80CC5" w:rsidRDefault="00E80CC5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80CC5" w:rsidRDefault="00E80CC5"/>
  </w:footnote>
  <w:footnote w:id="2">
    <w:p w:rsidR="00A55624" w:rsidRPr="00FA5D3A" w:rsidRDefault="00A55624" w:rsidP="00A55624">
      <w:pPr>
        <w:pStyle w:val="FootnoteText"/>
      </w:pPr>
      <w:r>
        <w:rPr>
          <w:rStyle w:val="FootnoteReference"/>
        </w:rPr>
        <w:tab/>
      </w:r>
      <w:r w:rsidRPr="00FA5D3A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 w:rsidRPr="00711AE1">
        <w:t xml:space="preserve">Conformément au programme de travail du Comité des transports intérieurs pour la période </w:t>
      </w:r>
      <w:r w:rsidRPr="00135CAC">
        <w:rPr>
          <w:szCs w:val="18"/>
        </w:rPr>
        <w:t>2</w:t>
      </w:r>
      <w:r w:rsidRPr="00135CAC">
        <w:t>018</w:t>
      </w:r>
      <w:r>
        <w:noBreakHyphen/>
      </w:r>
      <w:r w:rsidRPr="00711AE1">
        <w:t xml:space="preserve">2019, (ECE/TRANS/2018/21/Add.1, </w:t>
      </w:r>
      <w:r>
        <w:t>module</w:t>
      </w:r>
      <w:r w:rsidRPr="00711AE1">
        <w:t xml:space="preserve"> 9,</w:t>
      </w:r>
      <w:r>
        <w:t xml:space="preserve"> 9.2))</w:t>
      </w:r>
    </w:p>
  </w:footnote>
  <w:footnote w:id="3">
    <w:p w:rsidR="00A55624" w:rsidRPr="00FA5D3A" w:rsidRDefault="00A55624" w:rsidP="00A55624">
      <w:pPr>
        <w:pStyle w:val="FootnoteText"/>
      </w:pPr>
      <w:r>
        <w:rPr>
          <w:rStyle w:val="FootnoteReference"/>
        </w:rPr>
        <w:tab/>
      </w:r>
      <w:r w:rsidRPr="00FA5D3A">
        <w:rPr>
          <w:rStyle w:val="FootnoteReference"/>
          <w:sz w:val="20"/>
        </w:rPr>
        <w:t>**</w:t>
      </w:r>
      <w:r>
        <w:rPr>
          <w:rStyle w:val="FootnoteReference"/>
          <w:sz w:val="20"/>
        </w:rPr>
        <w:tab/>
      </w:r>
      <w:r w:rsidRPr="00F05DFD">
        <w:t xml:space="preserve">Diffusée par </w:t>
      </w:r>
      <w:r>
        <w:t xml:space="preserve">l’Organisation intergouvernementale pour les transports internationaux ferroviaires sous la cote </w:t>
      </w:r>
      <w:r w:rsidRPr="00F05DFD">
        <w:t>OTIF/RID/RC/201</w:t>
      </w:r>
      <w:r w:rsidR="00CE5310">
        <w:t>9</w:t>
      </w:r>
      <w:r w:rsidRPr="00F05DFD">
        <w:t>/</w:t>
      </w:r>
      <w:r>
        <w:t>29</w:t>
      </w:r>
      <w:r w:rsidRPr="00F05DF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CD4" w:rsidRDefault="00D86190">
    <w:pPr>
      <w:pStyle w:val="Header"/>
    </w:pPr>
    <w:r>
      <w:t>ECE/TRANS/WP.15/AC.1/2019/</w:t>
    </w:r>
    <w:r w:rsidR="00A55624"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CD4" w:rsidRDefault="00C31CE5">
    <w:pPr>
      <w:pStyle w:val="Header"/>
      <w:jc w:val="right"/>
    </w:pPr>
    <w:r>
      <w:t>ECE/TRANS/WP.15/AC.1/2019</w:t>
    </w:r>
    <w:r w:rsidR="00255826">
      <w:t>/</w:t>
    </w:r>
    <w:r>
      <w:t>1</w:t>
    </w:r>
    <w:r w:rsidR="00D8619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E69E7"/>
    <w:multiLevelType w:val="hybridMultilevel"/>
    <w:tmpl w:val="2F28A252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" w15:restartNumberingAfterBreak="0">
    <w:nsid w:val="1AB54FEE"/>
    <w:multiLevelType w:val="hybridMultilevel"/>
    <w:tmpl w:val="2D929E3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BC60ECF"/>
    <w:multiLevelType w:val="hybridMultilevel"/>
    <w:tmpl w:val="A1886658"/>
    <w:lvl w:ilvl="0" w:tplc="0409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3B113379"/>
    <w:multiLevelType w:val="hybridMultilevel"/>
    <w:tmpl w:val="7488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40E50"/>
    <w:multiLevelType w:val="hybridMultilevel"/>
    <w:tmpl w:val="9C0ACA72"/>
    <w:lvl w:ilvl="0" w:tplc="0D50022E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AC35B49"/>
    <w:multiLevelType w:val="hybridMultilevel"/>
    <w:tmpl w:val="F7AC1D3C"/>
    <w:lvl w:ilvl="0" w:tplc="04C2C94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6D47"/>
    <w:multiLevelType w:val="hybridMultilevel"/>
    <w:tmpl w:val="E6168740"/>
    <w:lvl w:ilvl="0" w:tplc="36A4983C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2FA4BD4"/>
    <w:multiLevelType w:val="hybridMultilevel"/>
    <w:tmpl w:val="A80419C8"/>
    <w:lvl w:ilvl="0" w:tplc="5D585758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747C7B9D"/>
    <w:multiLevelType w:val="hybridMultilevel"/>
    <w:tmpl w:val="30CEAA36"/>
    <w:lvl w:ilvl="0" w:tplc="2AFECE70">
      <w:start w:val="1"/>
      <w:numFmt w:val="bullet"/>
      <w:lvlText w:val=""/>
      <w:lvlJc w:val="left"/>
      <w:pPr>
        <w:tabs>
          <w:tab w:val="num" w:pos="1486"/>
        </w:tabs>
        <w:ind w:left="1486" w:hanging="172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2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D4"/>
    <w:rsid w:val="000D07E3"/>
    <w:rsid w:val="001C0118"/>
    <w:rsid w:val="002148A4"/>
    <w:rsid w:val="00241D24"/>
    <w:rsid w:val="00255826"/>
    <w:rsid w:val="00382A02"/>
    <w:rsid w:val="004168EE"/>
    <w:rsid w:val="00416B9F"/>
    <w:rsid w:val="00472865"/>
    <w:rsid w:val="005B1264"/>
    <w:rsid w:val="0060008C"/>
    <w:rsid w:val="006802E6"/>
    <w:rsid w:val="008054B1"/>
    <w:rsid w:val="008B055D"/>
    <w:rsid w:val="008D4941"/>
    <w:rsid w:val="008F12A2"/>
    <w:rsid w:val="00963CD4"/>
    <w:rsid w:val="00A55624"/>
    <w:rsid w:val="00BC4D57"/>
    <w:rsid w:val="00C31CE5"/>
    <w:rsid w:val="00CE5310"/>
    <w:rsid w:val="00D86190"/>
    <w:rsid w:val="00DC3F04"/>
    <w:rsid w:val="00E14B51"/>
    <w:rsid w:val="00E80CC5"/>
    <w:rsid w:val="00EA78D8"/>
    <w:rsid w:val="00F97FFB"/>
    <w:rsid w:val="00FC5DE0"/>
    <w:rsid w:val="00FD102D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F32DAE7"/>
  <w15:docId w15:val="{37F26212-9B01-4169-A8DF-21D0C6F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qFormat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Pr>
      <w:lang w:val="fr-CH" w:eastAsia="en-US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Pr>
      <w:lang w:val="fr-CH" w:eastAsia="en-US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fr-CH"/>
    </w:rPr>
  </w:style>
  <w:style w:type="character" w:customStyle="1" w:styleId="FootnoteTextChar">
    <w:name w:val="Footnote Text Char"/>
    <w:aliases w:val="5_G Char"/>
    <w:link w:val="FootnoteText"/>
    <w:rPr>
      <w:sz w:val="18"/>
      <w:lang w:val="fr-CH" w:eastAsia="en-US"/>
    </w:rPr>
  </w:style>
  <w:style w:type="paragraph" w:customStyle="1" w:styleId="ParNoG">
    <w:name w:val="_ParNo_G"/>
    <w:basedOn w:val="SingleTxtG"/>
    <w:link w:val="ParNoGCar"/>
    <w:pPr>
      <w:numPr>
        <w:numId w:val="14"/>
      </w:numPr>
    </w:pPr>
  </w:style>
  <w:style w:type="character" w:customStyle="1" w:styleId="ParNoGCar">
    <w:name w:val="_ParNo_G Car"/>
    <w:link w:val="ParNoG"/>
    <w:rPr>
      <w:lang w:val="fr-CH" w:eastAsia="en-US"/>
    </w:rPr>
  </w:style>
  <w:style w:type="character" w:customStyle="1" w:styleId="HChGChar">
    <w:name w:val="_ H _Ch_G Char"/>
    <w:link w:val="HChG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2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S666 Commentaires OFT"/>
    <f:field ref="objsubject" par="" edit="true" text=""/>
    <f:field ref="objcreatedby" par="" text="Blanchard Bakx, Valérie (BAV - blv)"/>
    <f:field ref="objcreatedat" par="" text="21.12.2015 15:11:08"/>
    <f:field ref="objchangedby" par="" text="Bonnet, Colin (BAV - boc)"/>
    <f:field ref="objmodifiedat" par="" text="22.12.2015 17:44:50"/>
    <f:field ref="doc_FSCFOLIO_1_1001_FieldDocumentNumber" par="" text=""/>
    <f:field ref="doc_FSCFOLIO_1_1001_FieldSubject" par="" edit="true" text=""/>
    <f:field ref="FSCFOLIO_1_1001_FieldCurrentUser" par="" text="Valérie Blanchard Bakx"/>
    <f:field ref="CCAPRECONFIG_15_1001_Objektname" par="" edit="true" text="DS666 Commentaires OFT"/>
    <f:field ref="CHPRECONFIG_1_1001_Objektname" par="" edit="true" text="DS666 Commentaires OF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Anrede" text="Formule d'appel"/>
    <f:field ref="CHPRECONFIG_1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CAPRECONFIG_15_1001_Ort" text="Localité"/>
    <f:field ref="CHPRECONFIG_1_1001_Ort" text="Localité"/>
    <f:field ref="BAVCFG_15_1700_Nachname_AP" text="Nachname_AP"/>
    <f:field ref="CHPRECONFIG_1_1001_Nachname" text="Nom"/>
    <f:field ref="CCAPRECONFIG_15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HPRECONFIG_1_1001_Vorname" text="Prénom"/>
    <f:field ref="CCAPRECONFIG_15_1001_Vorname" text="Prénom"/>
    <f:field ref="CCAPRECONFIG_15_1001_Rechtsform" text="Rechtsform"/>
    <f:field ref="CCAPRECONFIG_15_1001_Abschriftsbemerkung" text="Remarque de l'expéditeur"/>
    <f:field ref="CCAPRECONFIG_15_1001_Strasse" text="Rue"/>
    <f:field ref="CHPRECONFIG_1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HPRECONFIG_1_1001_Titel" text="Titre"/>
    <f:field ref="CCAPRECONFIG_15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DD0FEF-6CCB-460D-9E44-136B4A70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ECE/TRANS/WP.15/AC.1/2010/40</vt:lpstr>
      <vt:lpstr>ECE/TRANS/WP.15/AC.1/2010/40</vt:lpstr>
    </vt:vector>
  </TitlesOfParts>
  <Company>CSD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ECE/TRANS/WP.15/AC.1/2010/40</dc:title>
  <dc:subject>final</dc:subject>
  <dc:creator>ROBERT</dc:creator>
  <cp:lastModifiedBy>Christine Barrio-Champeau</cp:lastModifiedBy>
  <cp:revision>7</cp:revision>
  <cp:lastPrinted>2019-06-17T12:35:00Z</cp:lastPrinted>
  <dcterms:created xsi:type="dcterms:W3CDTF">2019-06-17T12:31:00Z</dcterms:created>
  <dcterms:modified xsi:type="dcterms:W3CDTF">2019-06-19T10:11:00Z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blv</vt:lpwstr>
  </property>
  <property fmtid="{D5CDD505-2E9C-101B-9397-08002B2CF9AE}" pid="55" name="FSC#UVEKCFG@15.1700:CategoryReference">
    <vt:lpwstr>BAV-510.42</vt:lpwstr>
  </property>
  <property fmtid="{D5CDD505-2E9C-101B-9397-08002B2CF9AE}" pid="56" name="FSC#UVEKCFG@15.1700:cooAddress">
    <vt:lpwstr>COO.2125.100.2.8222107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DS666 Commentaires OFT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COOELAK@1.1001:Subject">
    <vt:lpwstr/>
  </property>
  <property fmtid="{D5CDD505-2E9C-101B-9397-08002B2CF9AE}" pid="74" name="FSC#COOELAK@1.1001:FileReference">
    <vt:lpwstr>BAV-510.42-00002</vt:lpwstr>
  </property>
  <property fmtid="{D5CDD505-2E9C-101B-9397-08002B2CF9AE}" pid="75" name="FSC#COOELAK@1.1001:FileRefYear">
    <vt:lpwstr>2014</vt:lpwstr>
  </property>
  <property fmtid="{D5CDD505-2E9C-101B-9397-08002B2CF9AE}" pid="76" name="FSC#COOELAK@1.1001:FileRefOrdinal">
    <vt:lpwstr>2</vt:lpwstr>
  </property>
  <property fmtid="{D5CDD505-2E9C-101B-9397-08002B2CF9AE}" pid="77" name="FSC#COOELAK@1.1001:FileRefOU">
    <vt:lpwstr>reg_SI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Blanchard Bakx Valérie</vt:lpwstr>
  </property>
  <property fmtid="{D5CDD505-2E9C-101B-9397-08002B2CF9AE}" pid="80" name="FSC#COOELAK@1.1001:OwnerExtension">
    <vt:lpwstr>+41 58 465 72 72</vt:lpwstr>
  </property>
  <property fmtid="{D5CDD505-2E9C-101B-9397-08002B2CF9AE}" pid="81" name="FSC#COOELAK@1.1001:OwnerFaxExtension">
    <vt:lpwstr>+41 58 464 12 48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Umwelt (BAV)</vt:lpwstr>
  </property>
  <property fmtid="{D5CDD505-2E9C-101B-9397-08002B2CF9AE}" pid="87" name="FSC#COOELAK@1.1001:CreatedAt">
    <vt:lpwstr>21.12.2015</vt:lpwstr>
  </property>
  <property fmtid="{D5CDD505-2E9C-101B-9397-08002B2CF9AE}" pid="88" name="FSC#COOELAK@1.1001:OU">
    <vt:lpwstr>Umwelt (BAV)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*COO.2125.100.2.8222107*</vt:lpwstr>
  </property>
  <property fmtid="{D5CDD505-2E9C-101B-9397-08002B2CF9AE}" pid="91" name="FSC#COOELAK@1.1001:RefBarCode">
    <vt:lpwstr>*COO.2125.100.2.8222108*</vt:lpwstr>
  </property>
  <property fmtid="{D5CDD505-2E9C-101B-9397-08002B2CF9AE}" pid="92" name="FSC#COOELAK@1.1001:FileRefBarCode">
    <vt:lpwstr>*BAV-510.42-00002*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Bonnet Colin</vt:lpwstr>
  </property>
  <property fmtid="{D5CDD505-2E9C-101B-9397-08002B2CF9AE}" pid="97" name="FSC#COOELAK@1.1001:ProcessResponsiblePhone">
    <vt:lpwstr>+41 58 463 89 96</vt:lpwstr>
  </property>
  <property fmtid="{D5CDD505-2E9C-101B-9397-08002B2CF9AE}" pid="98" name="FSC#COOELAK@1.1001:ProcessResponsibleMail">
    <vt:lpwstr>colin.bonnet@bav.admin.ch</vt:lpwstr>
  </property>
  <property fmtid="{D5CDD505-2E9C-101B-9397-08002B2CF9AE}" pid="99" name="FSC#COOELAK@1.1001:ProcessResponsibleFax">
    <vt:lpwstr>+41 58 464 12 48</vt:lpwstr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BAV-510.42</vt:lpwstr>
  </property>
  <property fmtid="{D5CDD505-2E9C-101B-9397-08002B2CF9AE}" pid="106" name="FSC#COOELAK@1.1001:CurrentUserRolePos">
    <vt:lpwstr>Collaborateur, -trice spécialisé(e)</vt:lpwstr>
  </property>
  <property fmtid="{D5CDD505-2E9C-101B-9397-08002B2CF9AE}" pid="107" name="FSC#COOELAK@1.1001:CurrentUserEmail">
    <vt:lpwstr>valerie.blanchard@bav.admin.ch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>DS666f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>BAV-510.42-00002/00001/00009</vt:lpwstr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CAPRECONFIG@15.1001:AddrAnrede">
    <vt:lpwstr/>
  </property>
  <property fmtid="{D5CDD505-2E9C-101B-9397-08002B2CF9AE}" pid="137" name="FSC#CCAPRECONFIG@15.1001:AddrTitel">
    <vt:lpwstr/>
  </property>
  <property fmtid="{D5CDD505-2E9C-101B-9397-08002B2CF9AE}" pid="138" name="FSC#CCAPRECONFIG@15.1001:AddrNachgestellter_Titel">
    <vt:lpwstr/>
  </property>
  <property fmtid="{D5CDD505-2E9C-101B-9397-08002B2CF9AE}" pid="139" name="FSC#CCAPRECONFIG@15.1001:AddrVorname">
    <vt:lpwstr/>
  </property>
  <property fmtid="{D5CDD505-2E9C-101B-9397-08002B2CF9AE}" pid="140" name="FSC#CCAPRECONFIG@15.1001:AddrNachname">
    <vt:lpwstr/>
  </property>
  <property fmtid="{D5CDD505-2E9C-101B-9397-08002B2CF9AE}" pid="141" name="FSC#CCAPRECONFIG@15.1001:AddrzH">
    <vt:lpwstr/>
  </property>
  <property fmtid="{D5CDD505-2E9C-101B-9397-08002B2CF9AE}" pid="142" name="FSC#CCAPRECONFIG@15.1001:AddrGeschlecht">
    <vt:lpwstr/>
  </property>
  <property fmtid="{D5CDD505-2E9C-101B-9397-08002B2CF9AE}" pid="143" name="FSC#CCAPRECONFIG@15.1001:AddrStrasse">
    <vt:lpwstr/>
  </property>
  <property fmtid="{D5CDD505-2E9C-101B-9397-08002B2CF9AE}" pid="144" name="FSC#CCAPRECONFIG@15.1001:AddrHausnummer">
    <vt:lpwstr/>
  </property>
  <property fmtid="{D5CDD505-2E9C-101B-9397-08002B2CF9AE}" pid="145" name="FSC#CCAPRECONFIG@15.1001:AddrStiege">
    <vt:lpwstr/>
  </property>
  <property fmtid="{D5CDD505-2E9C-101B-9397-08002B2CF9AE}" pid="146" name="FSC#CCAPRECONFIG@15.1001:AddrTuer">
    <vt:lpwstr/>
  </property>
  <property fmtid="{D5CDD505-2E9C-101B-9397-08002B2CF9AE}" pid="147" name="FSC#CCAPRECONFIG@15.1001:AddrPostfach">
    <vt:lpwstr/>
  </property>
  <property fmtid="{D5CDD505-2E9C-101B-9397-08002B2CF9AE}" pid="148" name="FSC#CCAPRECONFIG@15.1001:AddrPostleitzahl">
    <vt:lpwstr/>
  </property>
  <property fmtid="{D5CDD505-2E9C-101B-9397-08002B2CF9AE}" pid="149" name="FSC#CCAPRECONFIG@15.1001:AddrOrt">
    <vt:lpwstr/>
  </property>
  <property fmtid="{D5CDD505-2E9C-101B-9397-08002B2CF9AE}" pid="150" name="FSC#CCAPRECONFIG@15.1001:AddrLand">
    <vt:lpwstr/>
  </property>
  <property fmtid="{D5CDD505-2E9C-101B-9397-08002B2CF9AE}" pid="151" name="FSC#CCAPRECONFIG@15.1001:AddrEmail">
    <vt:lpwstr/>
  </property>
  <property fmtid="{D5CDD505-2E9C-101B-9397-08002B2CF9AE}" pid="152" name="FSC#CCAPRECONFIG@15.1001:AddrAdresse">
    <vt:lpwstr/>
  </property>
  <property fmtid="{D5CDD505-2E9C-101B-9397-08002B2CF9AE}" pid="153" name="FSC#CCAPRECONFIG@15.1001:AddrFax">
    <vt:lpwstr/>
  </property>
  <property fmtid="{D5CDD505-2E9C-101B-9397-08002B2CF9AE}" pid="154" name="FSC#CCAPRECONFIG@15.1001:AddrOrganisationsname">
    <vt:lpwstr/>
  </property>
  <property fmtid="{D5CDD505-2E9C-101B-9397-08002B2CF9AE}" pid="155" name="FSC#CCAPRECONFIG@15.1001:AddrOrganisationskurzname">
    <vt:lpwstr/>
  </property>
  <property fmtid="{D5CDD505-2E9C-101B-9397-08002B2CF9AE}" pid="156" name="FSC#CCAPRECONFIG@15.1001:AddrAbschriftsbemerkung">
    <vt:lpwstr/>
  </property>
  <property fmtid="{D5CDD505-2E9C-101B-9397-08002B2CF9AE}" pid="157" name="FSC#CCAPRECONFIG@15.1001:AddrName_Zeile_2">
    <vt:lpwstr/>
  </property>
  <property fmtid="{D5CDD505-2E9C-101B-9397-08002B2CF9AE}" pid="158" name="FSC#CCAPRECONFIG@15.1001:AddrName_Zeile_3">
    <vt:lpwstr/>
  </property>
  <property fmtid="{D5CDD505-2E9C-101B-9397-08002B2CF9AE}" pid="159" name="FSC#CCAPRECONFIG@15.1001:AddrPostalischeAdresse">
    <vt:lpwstr/>
  </property>
  <property fmtid="{D5CDD505-2E9C-101B-9397-08002B2CF9AE}" pid="160" name="FSC#COOSYSTEM@1.1:Container">
    <vt:lpwstr>COO.2125.100.2.8222107</vt:lpwstr>
  </property>
  <property fmtid="{D5CDD505-2E9C-101B-9397-08002B2CF9AE}" pid="161" name="FSC#FSCFOLIO@1.1001:docpropproject">
    <vt:lpwstr/>
  </property>
</Properties>
</file>