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FA4E2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FA4E27" w:rsidP="00FA4E27">
            <w:pPr>
              <w:jc w:val="right"/>
            </w:pPr>
            <w:r w:rsidRPr="00FA4E27">
              <w:rPr>
                <w:sz w:val="40"/>
              </w:rPr>
              <w:t>ECE</w:t>
            </w:r>
            <w:r>
              <w:t>/TRANS/WP.15/AC.1/2019/25</w:t>
            </w:r>
          </w:p>
        </w:tc>
      </w:tr>
      <w:tr w:rsidR="002D5AAC" w:rsidRPr="002E3F48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FA4E27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FA4E27" w:rsidRDefault="00FA4E27" w:rsidP="00FA4E2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19 June 2019</w:t>
            </w:r>
          </w:p>
          <w:p w:rsidR="00FA4E27" w:rsidRDefault="00FA4E27" w:rsidP="00FA4E2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FA4E27" w:rsidRPr="008D53B6" w:rsidRDefault="00FA4E27" w:rsidP="00FA4E2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FA4E27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FA4E27" w:rsidRPr="00FA4E27" w:rsidRDefault="00FA4E27" w:rsidP="00FA4E27">
      <w:pPr>
        <w:spacing w:before="120"/>
        <w:rPr>
          <w:sz w:val="28"/>
          <w:szCs w:val="28"/>
        </w:rPr>
      </w:pPr>
      <w:r w:rsidRPr="00FA4E27">
        <w:rPr>
          <w:sz w:val="28"/>
          <w:szCs w:val="28"/>
        </w:rPr>
        <w:t>Комитет по внутреннему транспорту</w:t>
      </w:r>
    </w:p>
    <w:p w:rsidR="00FA4E27" w:rsidRPr="00FA4E27" w:rsidRDefault="00FA4E27" w:rsidP="00FA4E27">
      <w:pPr>
        <w:spacing w:before="120" w:after="120"/>
        <w:rPr>
          <w:b/>
          <w:sz w:val="24"/>
          <w:szCs w:val="24"/>
        </w:rPr>
      </w:pPr>
      <w:r w:rsidRPr="00FA4E27">
        <w:rPr>
          <w:b/>
          <w:bCs/>
          <w:sz w:val="24"/>
          <w:szCs w:val="24"/>
        </w:rPr>
        <w:t>Рабочая группа по перевозкам опасных грузов</w:t>
      </w:r>
    </w:p>
    <w:p w:rsidR="00FA4E27" w:rsidRPr="009F182A" w:rsidRDefault="00FA4E27" w:rsidP="00FA4E27">
      <w:pPr>
        <w:rPr>
          <w:b/>
        </w:rPr>
      </w:pPr>
      <w:r w:rsidRPr="009F182A">
        <w:rPr>
          <w:b/>
          <w:bCs/>
        </w:rPr>
        <w:t>Совместное со</w:t>
      </w:r>
      <w:r>
        <w:rPr>
          <w:b/>
          <w:bCs/>
        </w:rPr>
        <w:t>вещание Комиссии экспертов МПОГ</w:t>
      </w:r>
      <w:r>
        <w:rPr>
          <w:b/>
          <w:bCs/>
        </w:rPr>
        <w:br/>
      </w:r>
      <w:r w:rsidRPr="009F182A">
        <w:rPr>
          <w:b/>
          <w:bCs/>
        </w:rPr>
        <w:t>и</w:t>
      </w:r>
      <w:r w:rsidRPr="00FA4E27">
        <w:rPr>
          <w:b/>
        </w:rPr>
        <w:t xml:space="preserve"> </w:t>
      </w:r>
      <w:r w:rsidRPr="009F182A">
        <w:rPr>
          <w:b/>
          <w:bCs/>
        </w:rPr>
        <w:t>Рабочей группы по перевозкам опасных грузов</w:t>
      </w:r>
    </w:p>
    <w:p w:rsidR="00FA4E27" w:rsidRPr="009F182A" w:rsidRDefault="00FA4E27" w:rsidP="00FA4E27">
      <w:r>
        <w:t>Женева, 17–</w:t>
      </w:r>
      <w:r w:rsidRPr="009F182A">
        <w:t>27 сентября 2019 года</w:t>
      </w:r>
    </w:p>
    <w:p w:rsidR="00FA4E27" w:rsidRPr="009F182A" w:rsidRDefault="00FA4E27" w:rsidP="00FA4E27">
      <w:r w:rsidRPr="009F182A">
        <w:t>Пункт 2 предварительной повестки дня</w:t>
      </w:r>
    </w:p>
    <w:p w:rsidR="00FA4E27" w:rsidRPr="009F182A" w:rsidRDefault="00FA4E27" w:rsidP="00FA4E27">
      <w:pPr>
        <w:rPr>
          <w:b/>
        </w:rPr>
      </w:pPr>
      <w:r w:rsidRPr="009F182A">
        <w:rPr>
          <w:b/>
          <w:bCs/>
        </w:rPr>
        <w:t>Цистерны</w:t>
      </w:r>
    </w:p>
    <w:p w:rsidR="00FA4E27" w:rsidRPr="00FA4E27" w:rsidRDefault="00FA4E27" w:rsidP="00FA4E27">
      <w:pPr>
        <w:pStyle w:val="HChG"/>
      </w:pPr>
      <w:r w:rsidRPr="00FA4E27">
        <w:tab/>
      </w:r>
      <w:r w:rsidRPr="00FA4E27">
        <w:tab/>
      </w:r>
      <w:r w:rsidRPr="00FA4E27">
        <w:tab/>
        <w:t xml:space="preserve">Цистерны: толкование применимых </w:t>
      </w:r>
      <w:r>
        <w:t>требований к </w:t>
      </w:r>
      <w:r w:rsidRPr="00FA4E27">
        <w:t xml:space="preserve">конструкции открывающихся днищ вакуумных цистерн для отходов (ВЦО) </w:t>
      </w:r>
    </w:p>
    <w:p w:rsidR="00FA4E27" w:rsidRDefault="00FA4E27" w:rsidP="00FA4E27">
      <w:pPr>
        <w:pStyle w:val="H1G"/>
        <w:rPr>
          <w:b w:val="0"/>
        </w:rPr>
      </w:pPr>
      <w:r w:rsidRPr="009F182A">
        <w:tab/>
      </w:r>
      <w:r w:rsidRPr="009F182A">
        <w:tab/>
        <w:t>Передано правительством Соединенного Королевства</w:t>
      </w:r>
      <w:r w:rsidRPr="00FA4E27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  <w:r w:rsidRPr="00FA4E27">
        <w:rPr>
          <w:b w:val="0"/>
          <w:sz w:val="20"/>
        </w:rPr>
        <w:t xml:space="preserve"> </w:t>
      </w:r>
      <w:r w:rsidRPr="00FA4E27">
        <w:rPr>
          <w:rStyle w:val="FootnoteReference"/>
          <w:b w:val="0"/>
          <w:sz w:val="20"/>
          <w:vertAlign w:val="baseline"/>
        </w:rPr>
        <w:footnoteReference w:customMarkFollows="1" w:id="2"/>
        <w:t>**</w:t>
      </w:r>
      <w:r w:rsidRPr="00FA4E27">
        <w:rPr>
          <w:b w:val="0"/>
        </w:rPr>
        <w:t xml:space="preserve"> </w:t>
      </w:r>
    </w:p>
    <w:tbl>
      <w:tblPr>
        <w:tblStyle w:val="TableGrid"/>
        <w:tblW w:w="0" w:type="auto"/>
        <w:jc w:val="center"/>
        <w:tblLook w:val="05E0" w:firstRow="1" w:lastRow="1" w:firstColumn="1" w:lastColumn="1" w:noHBand="0" w:noVBand="1"/>
      </w:tblPr>
      <w:tblGrid>
        <w:gridCol w:w="9628"/>
      </w:tblGrid>
      <w:tr w:rsidR="00FA4E27" w:rsidRPr="00FA4E27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:rsidR="00FA4E27" w:rsidRPr="00FA4E27" w:rsidRDefault="00FA4E27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FA4E27">
              <w:rPr>
                <w:rFonts w:cs="Times New Roman"/>
              </w:rPr>
              <w:tab/>
            </w:r>
            <w:r w:rsidRPr="00FA4E27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FA4E27" w:rsidRPr="00FA4E2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FA4E27" w:rsidRPr="00FA4E27" w:rsidRDefault="00FA4E27" w:rsidP="00A17A10">
            <w:pPr>
              <w:pStyle w:val="SingleTxtG"/>
              <w:tabs>
                <w:tab w:val="left" w:pos="3673"/>
              </w:tabs>
              <w:ind w:left="3673" w:hanging="2539"/>
            </w:pPr>
            <w:r w:rsidRPr="00A17A10">
              <w:rPr>
                <w:b/>
              </w:rPr>
              <w:t>Существо предложения:</w:t>
            </w:r>
            <w:r w:rsidRPr="00FA4E27">
              <w:tab/>
              <w:t>В настоящем документе делегатам представляется информация о руководящих указаниях, которые Соединенное Королевство намерено дать своим инспекционным органам и изготовителям в отношении соблюдения требований пункта 6.10.3.5 ДОПОГ.</w:t>
            </w:r>
          </w:p>
        </w:tc>
      </w:tr>
      <w:tr w:rsidR="00FA4E27" w:rsidRPr="00FA4E2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FA4E27" w:rsidRPr="00FA4E27" w:rsidRDefault="00FA4E27" w:rsidP="00A17A10">
            <w:pPr>
              <w:pStyle w:val="SingleTxtG"/>
              <w:tabs>
                <w:tab w:val="left" w:pos="3673"/>
              </w:tabs>
              <w:ind w:left="3673" w:hanging="2539"/>
            </w:pPr>
            <w:r w:rsidRPr="00FA4E27">
              <w:rPr>
                <w:b/>
                <w:bCs/>
              </w:rPr>
              <w:t>Предлагаемое решение:</w:t>
            </w:r>
            <w:r w:rsidRPr="00FA4E27">
              <w:tab/>
              <w:t>Соединенное Королевство приветствовало бы обмен мнениями по поводу предложенного Соединенным Королевством толкования пункта 6.10.3.5 e) ДОПОГ.</w:t>
            </w:r>
          </w:p>
        </w:tc>
      </w:tr>
      <w:tr w:rsidR="00FA4E27" w:rsidRPr="00FA4E2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FA4E27" w:rsidRPr="00FA4E27" w:rsidRDefault="00FA4E27" w:rsidP="00A17A10">
            <w:pPr>
              <w:pStyle w:val="SingleTxtG"/>
              <w:tabs>
                <w:tab w:val="left" w:pos="3673"/>
              </w:tabs>
              <w:ind w:left="3673" w:hanging="2539"/>
            </w:pPr>
            <w:r w:rsidRPr="00FA4E27">
              <w:rPr>
                <w:b/>
                <w:bCs/>
              </w:rPr>
              <w:t>Справочные документы:</w:t>
            </w:r>
            <w:r w:rsidRPr="00FA4E27">
              <w:tab/>
              <w:t>Неофициальные документы INF.30 и INF.39 (пункт 2) мартовской сессии 2019 года.</w:t>
            </w:r>
          </w:p>
        </w:tc>
      </w:tr>
      <w:tr w:rsidR="00FA4E27" w:rsidRPr="00FA4E27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:rsidR="00FA4E27" w:rsidRPr="00FA4E27" w:rsidRDefault="00FA4E27" w:rsidP="00850215">
            <w:pPr>
              <w:rPr>
                <w:rFonts w:cs="Times New Roman"/>
              </w:rPr>
            </w:pPr>
          </w:p>
        </w:tc>
      </w:tr>
    </w:tbl>
    <w:p w:rsidR="00A17A10" w:rsidRDefault="00A17A10" w:rsidP="00FA4E27">
      <w:pPr>
        <w:rPr>
          <w:lang w:eastAsia="ru-RU"/>
        </w:rPr>
      </w:pPr>
    </w:p>
    <w:p w:rsidR="00A17A10" w:rsidRDefault="00A17A10">
      <w:pPr>
        <w:suppressAutoHyphens w:val="0"/>
        <w:spacing w:line="240" w:lineRule="auto"/>
        <w:rPr>
          <w:lang w:eastAsia="ru-RU"/>
        </w:rPr>
      </w:pPr>
      <w:r>
        <w:rPr>
          <w:lang w:eastAsia="ru-RU"/>
        </w:rPr>
        <w:br w:type="page"/>
      </w:r>
    </w:p>
    <w:p w:rsidR="00FA4E27" w:rsidRPr="009F182A" w:rsidRDefault="00FA4E27" w:rsidP="00FA4E27">
      <w:pPr>
        <w:pStyle w:val="HChG"/>
      </w:pPr>
      <w:r w:rsidRPr="009F182A">
        <w:lastRenderedPageBreak/>
        <w:tab/>
      </w:r>
      <w:r w:rsidRPr="009F182A">
        <w:tab/>
      </w:r>
      <w:r w:rsidRPr="009F182A">
        <w:rPr>
          <w:bCs/>
        </w:rPr>
        <w:t>Введение</w:t>
      </w:r>
    </w:p>
    <w:p w:rsidR="00FA4E27" w:rsidRPr="009F182A" w:rsidRDefault="00FA4E27" w:rsidP="00FA4E27">
      <w:pPr>
        <w:spacing w:after="120"/>
        <w:ind w:left="1134" w:right="1134"/>
        <w:jc w:val="both"/>
      </w:pPr>
      <w:r w:rsidRPr="009F182A">
        <w:t>1.</w:t>
      </w:r>
      <w:r w:rsidRPr="009F182A">
        <w:tab/>
        <w:t xml:space="preserve">После того как инспекционные органы Соединенного Королевства выразили обеспокоенность по поводу различных толкований требований к конструкции вакуумных цистерн для отходов (ВЦО), содержащихся в главе 6.10 ДОПОГ, Соединенное Королевство внимательно изучило требования к конструкции этих транспортных средств. </w:t>
      </w:r>
    </w:p>
    <w:p w:rsidR="00FA4E27" w:rsidRPr="009F182A" w:rsidRDefault="00FA4E27" w:rsidP="00FA4E27">
      <w:pPr>
        <w:spacing w:after="120"/>
        <w:ind w:left="1134" w:right="1134"/>
        <w:jc w:val="both"/>
      </w:pPr>
      <w:r w:rsidRPr="009F182A">
        <w:t>2.</w:t>
      </w:r>
      <w:r w:rsidRPr="009F182A">
        <w:tab/>
      </w:r>
      <w:r>
        <w:t>На основе этого</w:t>
      </w:r>
      <w:r w:rsidRPr="009F182A">
        <w:t xml:space="preserve"> Соединенное Королевство разрабатывает руководство, призванное помочь инспекционным органам и пр</w:t>
      </w:r>
      <w:r w:rsidR="00BC16DD">
        <w:t>оизводителям в толковании главы </w:t>
      </w:r>
      <w:r w:rsidRPr="009F182A">
        <w:t>6.10 ДОПОГ</w:t>
      </w:r>
      <w:r w:rsidR="00BC16DD">
        <w:t>. Вместе с тем</w:t>
      </w:r>
      <w:r>
        <w:t xml:space="preserve"> применительно к разработке т</w:t>
      </w:r>
      <w:r w:rsidRPr="009F182A">
        <w:t>а</w:t>
      </w:r>
      <w:r>
        <w:t>ко</w:t>
      </w:r>
      <w:r w:rsidRPr="009F182A">
        <w:t>го руководства Соединенное Королевство было бы признательно другим странам-членам, если бы они сообщили о своем мнении по поводу того, соответствует ли предложенное Соединенным Королевством толкование некоторых аспектов главы 6.10 их понимани</w:t>
      </w:r>
      <w:r>
        <w:t>ю</w:t>
      </w:r>
      <w:r w:rsidRPr="009F182A">
        <w:t xml:space="preserve"> и применени</w:t>
      </w:r>
      <w:r>
        <w:t>ю</w:t>
      </w:r>
      <w:r w:rsidRPr="009F182A">
        <w:t xml:space="preserve"> этих требований.</w:t>
      </w:r>
    </w:p>
    <w:p w:rsidR="00FA4E27" w:rsidRPr="009F182A" w:rsidRDefault="00FA4E27" w:rsidP="00FA4E27">
      <w:pPr>
        <w:spacing w:after="120"/>
        <w:ind w:left="1134" w:right="1134"/>
        <w:jc w:val="both"/>
      </w:pPr>
      <w:r w:rsidRPr="009F182A">
        <w:t>3.</w:t>
      </w:r>
      <w:r w:rsidRPr="009F182A">
        <w:tab/>
        <w:t>В отношении пункта 6.10.3.5 e) ДОПОГ (защита открывающегося днища, предотвращающая его открывание под воздействием нагрузок, возникающих при опрокидывании) мы хотим указать, что намерены включить руковод</w:t>
      </w:r>
      <w:r>
        <w:t xml:space="preserve">ящие указания </w:t>
      </w:r>
      <w:r w:rsidRPr="009F182A">
        <w:t>по толкованию этого пункта и привести примеры запорных устройств, которые, как считается, отвечают требованиям указанного раздела. В руководстве, разумеется, будет также признано, что приемлемыми могут быть и другие конструкции, если они предлагают эквивалентный (т.</w:t>
      </w:r>
      <w:r w:rsidR="00BC16DD">
        <w:t xml:space="preserve"> </w:t>
      </w:r>
      <w:r w:rsidRPr="009F182A">
        <w:t>е. такой же или более высокий) уровень безопасности, при этом инспекционные органы должны будут выносить инженерное заключение в каждом конкретном случае о том, подходит ли такая альтернативная конструкция.</w:t>
      </w:r>
    </w:p>
    <w:p w:rsidR="00FA4E27" w:rsidRPr="009F182A" w:rsidRDefault="00FA4E27" w:rsidP="00FA4E27">
      <w:pPr>
        <w:pStyle w:val="HChG"/>
      </w:pPr>
      <w:r w:rsidRPr="009F182A">
        <w:tab/>
      </w:r>
      <w:r w:rsidRPr="009F182A">
        <w:tab/>
      </w:r>
      <w:r w:rsidR="00A17A10">
        <w:rPr>
          <w:bCs/>
        </w:rPr>
        <w:t>Требования к «открывающимся днищам»</w:t>
      </w:r>
    </w:p>
    <w:p w:rsidR="00FA4E27" w:rsidRPr="009F182A" w:rsidRDefault="00FA4E27" w:rsidP="00FA4E27">
      <w:pPr>
        <w:spacing w:after="120"/>
        <w:ind w:left="1134" w:right="621"/>
        <w:jc w:val="both"/>
        <w:rPr>
          <w:bCs/>
        </w:rPr>
      </w:pPr>
      <w:r w:rsidRPr="009F182A">
        <w:t>4.</w:t>
      </w:r>
      <w:r w:rsidRPr="009F182A">
        <w:tab/>
        <w:t>Пункт 6.10.3.5 ДОПОГ гласит:</w:t>
      </w:r>
    </w:p>
    <w:p w:rsidR="00FA4E27" w:rsidRPr="009F182A" w:rsidRDefault="00A17A10" w:rsidP="00FA4E27">
      <w:pPr>
        <w:spacing w:after="120"/>
        <w:ind w:left="1985" w:right="1134" w:hanging="851"/>
        <w:jc w:val="both"/>
        <w:rPr>
          <w:bCs/>
        </w:rPr>
      </w:pPr>
      <w:r>
        <w:t>«</w:t>
      </w:r>
      <w:r w:rsidR="00FA4E27" w:rsidRPr="009F182A">
        <w:t>6.10.3.5</w:t>
      </w:r>
      <w:r w:rsidR="00FA4E27" w:rsidRPr="009F182A">
        <w:tab/>
        <w:t>Цистерны могут иметь открывающиеся днища. Открывающиеся днища должны удовлетворять следующим требованиям:</w:t>
      </w:r>
    </w:p>
    <w:p w:rsidR="00FA4E27" w:rsidRPr="009F182A" w:rsidRDefault="00FA4E27" w:rsidP="00FA4E27">
      <w:pPr>
        <w:spacing w:after="120"/>
        <w:ind w:left="2410" w:right="1134" w:hanging="425"/>
        <w:jc w:val="both"/>
        <w:rPr>
          <w:bCs/>
        </w:rPr>
      </w:pPr>
      <w:r w:rsidRPr="009F182A">
        <w:t>a)</w:t>
      </w:r>
      <w:r w:rsidRPr="009F182A">
        <w:tab/>
        <w:t>конструкция днищ должна обеспечивать их герметическое закрывание;</w:t>
      </w:r>
    </w:p>
    <w:p w:rsidR="00FA4E27" w:rsidRPr="009F182A" w:rsidRDefault="00FA4E27" w:rsidP="00FA4E27">
      <w:pPr>
        <w:spacing w:after="120"/>
        <w:ind w:left="2410" w:right="1134" w:hanging="425"/>
        <w:jc w:val="both"/>
        <w:rPr>
          <w:bCs/>
        </w:rPr>
      </w:pPr>
      <w:r w:rsidRPr="009F182A">
        <w:t>b)</w:t>
      </w:r>
      <w:r w:rsidRPr="009F182A">
        <w:tab/>
        <w:t>должна быть исключена возможность их случайного открывания;</w:t>
      </w:r>
    </w:p>
    <w:p w:rsidR="00FA4E27" w:rsidRPr="009F182A" w:rsidRDefault="00FA4E27" w:rsidP="00FA4E27">
      <w:pPr>
        <w:spacing w:after="120"/>
        <w:ind w:left="2410" w:right="1134" w:hanging="425"/>
        <w:jc w:val="both"/>
        <w:rPr>
          <w:bCs/>
        </w:rPr>
      </w:pPr>
      <w:r w:rsidRPr="009F182A">
        <w:t>с)</w:t>
      </w:r>
      <w:r w:rsidRPr="009F182A">
        <w:tab/>
        <w:t xml:space="preserve">если механизм открывания имеет электрический привод, то в случае аварийного прекращения подачи электроэнергии днище должно оставаться надежно закрытым; </w:t>
      </w:r>
    </w:p>
    <w:p w:rsidR="00FA4E27" w:rsidRPr="009F182A" w:rsidRDefault="00FA4E27" w:rsidP="00FA4E27">
      <w:pPr>
        <w:spacing w:after="120"/>
        <w:ind w:left="2410" w:right="1134" w:hanging="425"/>
        <w:jc w:val="both"/>
        <w:rPr>
          <w:bCs/>
        </w:rPr>
      </w:pPr>
      <w:r w:rsidRPr="009F182A">
        <w:t>d)</w:t>
      </w:r>
      <w:r w:rsidRPr="009F182A">
        <w:tab/>
        <w:t>должно быть установлено предохранительное или блокирующее устройство, препятствующее открыванию днища в случае сохранения в цистерне остаточного давления. Это требование не применяется к открывающимся днищам с электрическим приводом, если их функционирование надежно контролируется. В этом случае устройства управления должны функционировать в режиме автоматического слежения и находиться в таком месте, чтобы оператор имел возможность постоянно следить за движением днища и не подвергался опасности во время его открывания и закрывания; и</w:t>
      </w:r>
    </w:p>
    <w:p w:rsidR="00FA4E27" w:rsidRPr="009F182A" w:rsidRDefault="00FA4E27" w:rsidP="00FA4E27">
      <w:pPr>
        <w:spacing w:after="120"/>
        <w:ind w:left="2410" w:right="1134" w:hanging="425"/>
        <w:jc w:val="both"/>
        <w:rPr>
          <w:bCs/>
        </w:rPr>
      </w:pPr>
      <w:r w:rsidRPr="009F182A">
        <w:t>e)</w:t>
      </w:r>
      <w:r w:rsidRPr="009F182A">
        <w:tab/>
        <w:t>должна быть предусмотрена защита открывающегося днища, предотвращающая его открывание под воздействием нагрузок, возникающих при опрокидывании транспортного средства, контейнера-цистерн</w:t>
      </w:r>
      <w:r w:rsidR="00A17A10">
        <w:t>ы или съемного кузова-цистерны.»</w:t>
      </w:r>
      <w:r>
        <w:t>.</w:t>
      </w:r>
    </w:p>
    <w:p w:rsidR="00FA4E27" w:rsidRPr="009F182A" w:rsidRDefault="00FA4E27" w:rsidP="00A17A10">
      <w:pPr>
        <w:pStyle w:val="HChG"/>
        <w:pageBreakBefore/>
      </w:pPr>
      <w:bookmarkStart w:id="0" w:name="_GoBack"/>
      <w:bookmarkEnd w:id="0"/>
      <w:r w:rsidRPr="009F182A">
        <w:lastRenderedPageBreak/>
        <w:tab/>
      </w:r>
      <w:r w:rsidRPr="009F182A">
        <w:tab/>
      </w:r>
      <w:r w:rsidRPr="009F182A">
        <w:rPr>
          <w:bCs/>
        </w:rPr>
        <w:t>Толкование</w:t>
      </w:r>
    </w:p>
    <w:p w:rsidR="00FA4E27" w:rsidRPr="009F182A" w:rsidRDefault="00FA4E27" w:rsidP="00FA4E27">
      <w:pPr>
        <w:spacing w:after="120"/>
        <w:ind w:left="1134" w:right="1134"/>
        <w:jc w:val="both"/>
        <w:rPr>
          <w:bCs/>
        </w:rPr>
      </w:pPr>
      <w:r w:rsidRPr="009F182A">
        <w:t>5.</w:t>
      </w:r>
      <w:r w:rsidRPr="009F182A">
        <w:tab/>
        <w:t>Представляется очевидным, что пункт 6.10.3.5 е) требует выполнения двух требований: i) открывающееся днище должно быть защищено и ii) должны быть приняты меры, предотвращающие его открывание под воздействием нагрузок</w:t>
      </w:r>
      <w:r w:rsidR="00A17A10">
        <w:t xml:space="preserve"> [в </w:t>
      </w:r>
      <w:r w:rsidRPr="009F182A">
        <w:t>случае опрокидывания].</w:t>
      </w:r>
    </w:p>
    <w:p w:rsidR="00FA4E27" w:rsidRPr="009F182A" w:rsidRDefault="00FA4E27" w:rsidP="00FA4E27">
      <w:pPr>
        <w:spacing w:after="120"/>
        <w:ind w:left="1134" w:right="1134"/>
        <w:jc w:val="both"/>
        <w:rPr>
          <w:bCs/>
        </w:rPr>
      </w:pPr>
      <w:r w:rsidRPr="009F182A">
        <w:t>6.</w:t>
      </w:r>
      <w:r w:rsidRPr="009F182A">
        <w:tab/>
        <w:t>Мы исходим из того, что для выполнения обоих этих требований i) днище должно быть защищено от опрокидывания и ii) любое запорное устройство днища должно быть сконструировано таким образом, чтобы оно было защищено от открывания под воздействием нагрузок, возникающих при опрокидывании.</w:t>
      </w:r>
      <w:r>
        <w:t xml:space="preserve"> </w:t>
      </w:r>
    </w:p>
    <w:p w:rsidR="00FA4E27" w:rsidRPr="009F182A" w:rsidRDefault="00FA4E27" w:rsidP="00FA4E27">
      <w:pPr>
        <w:spacing w:after="120"/>
        <w:ind w:left="1134" w:right="1134"/>
        <w:jc w:val="both"/>
        <w:rPr>
          <w:bCs/>
        </w:rPr>
      </w:pPr>
      <w:r w:rsidRPr="009F182A">
        <w:t>7.</w:t>
      </w:r>
      <w:r w:rsidRPr="009F182A">
        <w:tab/>
        <w:t xml:space="preserve">Что касается типов запорных устройств, устанавливаемых на днища ВЦО, то, насколько мы понимаем, обычно используются три конструкции: </w:t>
      </w:r>
    </w:p>
    <w:p w:rsidR="00FA4E27" w:rsidRPr="009F182A" w:rsidRDefault="00FA4E27" w:rsidP="00FA4E27">
      <w:pPr>
        <w:spacing w:after="120"/>
        <w:ind w:left="1134" w:right="1134"/>
        <w:jc w:val="both"/>
        <w:rPr>
          <w:bCs/>
        </w:rPr>
      </w:pPr>
      <w:r w:rsidRPr="009F182A">
        <w:tab/>
      </w:r>
      <w:r w:rsidRPr="009F182A">
        <w:tab/>
        <w:t>a)</w:t>
      </w:r>
      <w:r w:rsidRPr="009F182A">
        <w:tab/>
        <w:t xml:space="preserve">запоры днищ, приводимые в действие ручными маховичками: </w:t>
      </w:r>
    </w:p>
    <w:p w:rsidR="00FA4E27" w:rsidRPr="009F182A" w:rsidRDefault="00FA4E27" w:rsidP="00FA4E27">
      <w:pPr>
        <w:spacing w:after="120"/>
        <w:ind w:left="2268" w:right="1134"/>
        <w:jc w:val="both"/>
        <w:rPr>
          <w:bCs/>
        </w:rPr>
      </w:pPr>
      <w:r w:rsidRPr="009F182A">
        <w:tab/>
        <w:t>Такие запоры надежно защищены от повреждения при опрокидывании благодаря прочным кронштейнам, устанавливаемым на цистерне и днище. В случае опрокидывания ручные маховички, согласно конструкции, должны обломиться и оставить гайку, фиксирующую днище на месте, тем самым предотвращая его открывание под воздействием нагрузок.</w:t>
      </w:r>
    </w:p>
    <w:p w:rsidR="00FA4E27" w:rsidRDefault="00FA4E27" w:rsidP="00FA4E27">
      <w:pPr>
        <w:spacing w:after="120"/>
        <w:ind w:left="2268" w:right="1134"/>
        <w:jc w:val="both"/>
        <w:rPr>
          <w:bCs/>
        </w:rPr>
      </w:pPr>
      <w:r w:rsidRPr="009F182A">
        <w:tab/>
        <w:t xml:space="preserve">Следует отметить, что в соответствии с предписаниями пункта 6.10.3.5 d) ДОПОГ приводимая ниже схема запирания должна включать блокирующее устройство, препятствующее открыванию днища в случае сохранения в цистерне остаточного давления. </w:t>
      </w:r>
    </w:p>
    <w:p w:rsidR="00FA4E27" w:rsidRPr="009F182A" w:rsidRDefault="00FA4E27" w:rsidP="00FA4E27">
      <w:pPr>
        <w:spacing w:after="120"/>
        <w:ind w:left="1134" w:right="621" w:firstLine="1418"/>
        <w:jc w:val="both"/>
        <w:rPr>
          <w:bCs/>
        </w:rPr>
      </w:pPr>
      <w:r w:rsidRPr="009F182A">
        <w:rPr>
          <w:noProof/>
          <w:lang w:val="en-US"/>
        </w:rPr>
        <w:drawing>
          <wp:inline distT="0" distB="0" distL="0" distR="0" wp14:anchorId="7D3BC117" wp14:editId="786B7B66">
            <wp:extent cx="2120900" cy="2825750"/>
            <wp:effectExtent l="19050" t="19050" r="12700" b="12700"/>
            <wp:docPr id="8" name="Picture 26" descr="DSCF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0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57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</w:p>
    <w:p w:rsidR="00FA4E27" w:rsidRPr="009F182A" w:rsidRDefault="00FA4E27" w:rsidP="00FA4E27">
      <w:pPr>
        <w:spacing w:after="120"/>
        <w:ind w:left="1134" w:right="621"/>
        <w:jc w:val="both"/>
        <w:rPr>
          <w:bCs/>
        </w:rPr>
      </w:pPr>
      <w:r w:rsidRPr="009F182A">
        <w:tab/>
      </w:r>
      <w:r w:rsidRPr="009F182A">
        <w:tab/>
        <w:t>b)</w:t>
      </w:r>
      <w:r w:rsidRPr="009F182A">
        <w:tab/>
        <w:t>гидравлические запоры днищ клинового типа:</w:t>
      </w:r>
    </w:p>
    <w:p w:rsidR="00FA4E27" w:rsidRDefault="002E3F48" w:rsidP="00FA4E27">
      <w:pPr>
        <w:spacing w:after="120"/>
        <w:ind w:left="2268" w:right="1134"/>
        <w:jc w:val="both"/>
        <w:rPr>
          <w:bCs/>
        </w:rPr>
      </w:pPr>
      <w:r>
        <w:t>Э</w:t>
      </w:r>
      <w:r w:rsidR="00FA4E27" w:rsidRPr="009F182A">
        <w:t xml:space="preserve">тот тип запора является полностью автоматическим и управляется гидравлическим линейным приводом. Клин на конце плунжера направляется через щелевые кронштейны на днище и на оконечности цистерны, и </w:t>
      </w:r>
      <w:r w:rsidR="00FA4E27">
        <w:t xml:space="preserve">он </w:t>
      </w:r>
      <w:r w:rsidR="00FA4E27" w:rsidRPr="009F182A">
        <w:t xml:space="preserve">плотно прижимает днище к уплотнительной поверхности. Гидравлическое масло блокируется в плунжерах, предотвращая их открытие. Такие плунжерные устройства расположены вокруг кольца днища скорее всего для того, чтобы можно было с достаточной степенью уверенности рассчитывать на недопущение их повреждения, </w:t>
      </w:r>
      <w:r w:rsidR="00FA4E27">
        <w:t xml:space="preserve">которое бы снижало </w:t>
      </w:r>
      <w:r w:rsidR="00FA4E27" w:rsidRPr="009F182A">
        <w:t>их эффективность в случае опрокидывания и привод</w:t>
      </w:r>
      <w:r w:rsidR="00FA4E27">
        <w:t xml:space="preserve">ило </w:t>
      </w:r>
      <w:r w:rsidR="00FA4E27" w:rsidRPr="009F182A">
        <w:t xml:space="preserve">к открыванию днища под воздействием нагрузок. </w:t>
      </w:r>
    </w:p>
    <w:p w:rsidR="00FA4E27" w:rsidRDefault="00FA4E27" w:rsidP="00FA4E27">
      <w:pPr>
        <w:spacing w:after="120"/>
        <w:ind w:left="1134" w:right="621" w:firstLine="1134"/>
        <w:jc w:val="both"/>
        <w:rPr>
          <w:bCs/>
        </w:rPr>
      </w:pPr>
      <w:r w:rsidRPr="009F182A">
        <w:rPr>
          <w:noProof/>
          <w:lang w:val="en-US"/>
        </w:rPr>
        <w:lastRenderedPageBreak/>
        <w:drawing>
          <wp:inline distT="0" distB="0" distL="0" distR="0" wp14:anchorId="4E69F58F" wp14:editId="51FE5261">
            <wp:extent cx="2857500" cy="3079750"/>
            <wp:effectExtent l="19050" t="19050" r="19050" b="25400"/>
            <wp:docPr id="15" name="Picture 25" descr="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797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4E27" w:rsidRPr="009F182A" w:rsidRDefault="00FA4E27" w:rsidP="00FA4E27">
      <w:pPr>
        <w:spacing w:after="120"/>
        <w:ind w:left="1134" w:right="621"/>
        <w:jc w:val="both"/>
        <w:rPr>
          <w:bCs/>
        </w:rPr>
      </w:pPr>
      <w:r w:rsidRPr="009F182A">
        <w:tab/>
      </w:r>
      <w:r w:rsidRPr="009F182A">
        <w:tab/>
        <w:t>с)</w:t>
      </w:r>
      <w:r w:rsidRPr="009F182A">
        <w:tab/>
        <w:t>гидравлические запоры днищ центрального типа:</w:t>
      </w:r>
    </w:p>
    <w:p w:rsidR="00FA4E27" w:rsidRDefault="00FA4E27" w:rsidP="00FA4E27">
      <w:pPr>
        <w:spacing w:after="120"/>
        <w:ind w:left="2268" w:right="1134"/>
        <w:jc w:val="both"/>
        <w:rPr>
          <w:bCs/>
        </w:rPr>
      </w:pPr>
      <w:r w:rsidRPr="009F182A">
        <w:tab/>
      </w:r>
      <w:r w:rsidR="002E3F48">
        <w:t>Э</w:t>
      </w:r>
      <w:r w:rsidRPr="009F182A">
        <w:t xml:space="preserve">тот тип запора является полностью автоматическим и управляется гидравлическим линейным приводом. Крюковой запор соединяется с гидравлическим плунжером с помощью ряда тяг. Когда плунжер выдвигается, крюковой запор поворачивается на втулке и прижимает днище. </w:t>
      </w:r>
    </w:p>
    <w:p w:rsidR="00FA4E27" w:rsidRDefault="00FA4E27" w:rsidP="00FA4E27">
      <w:pPr>
        <w:spacing w:after="120"/>
        <w:ind w:left="1134" w:right="621" w:firstLine="426"/>
        <w:jc w:val="both"/>
        <w:rPr>
          <w:bCs/>
        </w:rPr>
      </w:pPr>
      <w:r w:rsidRPr="009F182A">
        <w:rPr>
          <w:noProof/>
          <w:lang w:val="en-US"/>
        </w:rPr>
        <w:drawing>
          <wp:inline distT="0" distB="0" distL="0" distR="0" wp14:anchorId="24AB2E81" wp14:editId="5623C77B">
            <wp:extent cx="3619500" cy="1346200"/>
            <wp:effectExtent l="19050" t="19050" r="19050" b="25400"/>
            <wp:docPr id="16" name="Picture 24" descr="Over Centre Clamp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ver Centre Clamps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" r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46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4E27" w:rsidRPr="009F182A" w:rsidRDefault="00FA4E27" w:rsidP="00FA4E27">
      <w:pPr>
        <w:spacing w:after="120"/>
        <w:ind w:left="1134" w:right="1134"/>
        <w:jc w:val="both"/>
        <w:rPr>
          <w:bCs/>
        </w:rPr>
      </w:pPr>
      <w:r w:rsidRPr="009F182A">
        <w:t>8.</w:t>
      </w:r>
      <w:r w:rsidRPr="009F182A">
        <w:tab/>
        <w:t xml:space="preserve">Что касается требования пункта 6.10.3.5 е) в отношении положений, препятствующих открыванию днища под воздействием нагрузок в случае опрокидывания, то, по нашему мнению, это будет обеспечиваться с помощью устройств </w:t>
      </w:r>
      <w:r>
        <w:t>из</w:t>
      </w:r>
      <w:r w:rsidRPr="009F182A">
        <w:t xml:space="preserve"> пример</w:t>
      </w:r>
      <w:r>
        <w:t>ов</w:t>
      </w:r>
      <w:r w:rsidRPr="009F182A">
        <w:t xml:space="preserve"> а) и b), но не </w:t>
      </w:r>
      <w:r>
        <w:t>из</w:t>
      </w:r>
      <w:r w:rsidRPr="009F182A">
        <w:t xml:space="preserve"> пример</w:t>
      </w:r>
      <w:r>
        <w:t>а</w:t>
      </w:r>
      <w:r w:rsidRPr="009F182A">
        <w:t xml:space="preserve"> с). Механизмы запора днищ, приведенные в примере с), как представляется, уязвимы для воздействия тангенциальных сил в случае опрокидывания и могут быть подвержены повреждениям, которые способны создать нагрузки для запоров и, следовательно, привести к открытию днища. В силу этого, мы считаем, что механизмы </w:t>
      </w:r>
      <w:r>
        <w:t>из</w:t>
      </w:r>
      <w:r w:rsidRPr="009F182A">
        <w:t xml:space="preserve"> пример</w:t>
      </w:r>
      <w:r>
        <w:t>а</w:t>
      </w:r>
      <w:r w:rsidRPr="009F182A">
        <w:t xml:space="preserve"> с), как представляется, не отвечают требованиям пункта 6.10.3.5 е). </w:t>
      </w:r>
    </w:p>
    <w:p w:rsidR="00FA4E27" w:rsidRDefault="00BC16DD" w:rsidP="00FA4E27">
      <w:pPr>
        <w:spacing w:after="120"/>
        <w:ind w:left="1134" w:right="1134"/>
        <w:jc w:val="both"/>
        <w:rPr>
          <w:bCs/>
        </w:rPr>
      </w:pPr>
      <w:r>
        <w:t>9.</w:t>
      </w:r>
      <w:r>
        <w:tab/>
        <w:t>Вместе с тем</w:t>
      </w:r>
      <w:r w:rsidR="00FA4E27" w:rsidRPr="009F182A">
        <w:t xml:space="preserve"> в случае защиты запорного механизма из примера с), как показано на рисунке ниже, требования пункта 6.10.3.5 е) в отношении любого механизма запирания днища, по нашему мнению, должны быть разработаны таким образом, чтобы он был защищен от открывания под воздействием нагрузок, возникающих при опрокидывании. </w:t>
      </w:r>
    </w:p>
    <w:p w:rsidR="00FA4E27" w:rsidRDefault="00FA4E27" w:rsidP="00FA4E27">
      <w:pPr>
        <w:spacing w:after="120"/>
        <w:ind w:left="1134" w:right="621" w:firstLine="1560"/>
        <w:jc w:val="both"/>
        <w:rPr>
          <w:bCs/>
        </w:rPr>
      </w:pPr>
      <w:r w:rsidRPr="009F182A">
        <w:rPr>
          <w:noProof/>
          <w:lang w:val="en-US"/>
        </w:rPr>
        <w:lastRenderedPageBreak/>
        <w:drawing>
          <wp:inline distT="0" distB="0" distL="0" distR="0" wp14:anchorId="35A89180" wp14:editId="1EE2B0D8">
            <wp:extent cx="2378033" cy="1606550"/>
            <wp:effectExtent l="19050" t="19050" r="22860" b="12700"/>
            <wp:docPr id="4" name="Picture 3" descr="C:\Users\dadams\AppData\Local\Microsoft\Windows\INetCache\Content.Word\190604 - IMG2 - rear door clamps - Cros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ams\AppData\Local\Microsoft\Windows\INetCache\Content.Word\190604 - IMG2 - rear door clamps - Cross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4" t="15697" r="53150" b="67795"/>
                    <a:stretch/>
                  </pic:blipFill>
                  <pic:spPr bwMode="auto">
                    <a:xfrm>
                      <a:off x="0" y="0"/>
                      <a:ext cx="2394613" cy="16177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E27" w:rsidRPr="009F182A" w:rsidRDefault="00FA4E27" w:rsidP="00FA4E27">
      <w:pPr>
        <w:spacing w:after="120"/>
        <w:ind w:left="1134" w:right="1134"/>
        <w:jc w:val="both"/>
        <w:rPr>
          <w:bCs/>
        </w:rPr>
      </w:pPr>
      <w:r w:rsidRPr="009F182A">
        <w:t>10.</w:t>
      </w:r>
      <w:r w:rsidRPr="009F182A">
        <w:tab/>
        <w:t xml:space="preserve">Что касается содержащегося в пункте 6.10.3.5 е) положения о защите открывающегося днища, то, по нашему мнению, все три приведенных выше примера, как представляется, отвечают этому требованию, поскольку защита днища является неотъемлемой частью конструкции задней части цистерны. </w:t>
      </w:r>
    </w:p>
    <w:p w:rsidR="00FA4E27" w:rsidRPr="009F182A" w:rsidRDefault="00FA4E27" w:rsidP="00FA4E27">
      <w:pPr>
        <w:pStyle w:val="HChG"/>
      </w:pPr>
      <w:r w:rsidRPr="009F182A">
        <w:tab/>
      </w:r>
      <w:r w:rsidRPr="009F182A">
        <w:tab/>
      </w:r>
      <w:r w:rsidRPr="009F182A">
        <w:rPr>
          <w:bCs/>
        </w:rPr>
        <w:t>Заключение</w:t>
      </w:r>
    </w:p>
    <w:p w:rsidR="00FA4E27" w:rsidRPr="009F182A" w:rsidRDefault="00FA4E27" w:rsidP="00FA4E27">
      <w:pPr>
        <w:spacing w:after="120"/>
        <w:ind w:left="1134" w:right="1134"/>
        <w:jc w:val="both"/>
      </w:pPr>
      <w:r w:rsidRPr="009F182A">
        <w:t>11.</w:t>
      </w:r>
      <w:r w:rsidRPr="009F182A">
        <w:tab/>
        <w:t>Для обеспечения последовательного подхода</w:t>
      </w:r>
      <w:r w:rsidR="00BC16DD">
        <w:t xml:space="preserve"> к толкованию требований пункта </w:t>
      </w:r>
      <w:r w:rsidRPr="009F182A">
        <w:t>6.10.3.5 e) мы бы приветствовали обмен мнениями с другими странами-членами по поводу того, соответствует ли предложенное Соединенным Королевством толкование данного раздела их пониманию</w:t>
      </w:r>
      <w:r>
        <w:t xml:space="preserve"> </w:t>
      </w:r>
      <w:r w:rsidRPr="009F182A">
        <w:t>т</w:t>
      </w:r>
      <w:r>
        <w:t>ак</w:t>
      </w:r>
      <w:r w:rsidRPr="009F182A">
        <w:t>их требований.</w:t>
      </w:r>
    </w:p>
    <w:p w:rsidR="00E12C5F" w:rsidRPr="00A17A10" w:rsidRDefault="00A17A10" w:rsidP="00A17A10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A17A10" w:rsidSect="00FA4E27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65E" w:rsidRPr="00A312BC" w:rsidRDefault="004C665E" w:rsidP="00A312BC"/>
  </w:endnote>
  <w:endnote w:type="continuationSeparator" w:id="0">
    <w:p w:rsidR="004C665E" w:rsidRPr="00A312BC" w:rsidRDefault="004C665E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E27" w:rsidRPr="00FA4E27" w:rsidRDefault="00FA4E27">
    <w:pPr>
      <w:pStyle w:val="Footer"/>
    </w:pPr>
    <w:r w:rsidRPr="00FA4E27">
      <w:rPr>
        <w:b/>
        <w:sz w:val="18"/>
      </w:rPr>
      <w:fldChar w:fldCharType="begin"/>
    </w:r>
    <w:r w:rsidRPr="00FA4E27">
      <w:rPr>
        <w:b/>
        <w:sz w:val="18"/>
      </w:rPr>
      <w:instrText xml:space="preserve"> PAGE  \* MERGEFORMAT </w:instrText>
    </w:r>
    <w:r w:rsidRPr="00FA4E27">
      <w:rPr>
        <w:b/>
        <w:sz w:val="18"/>
      </w:rPr>
      <w:fldChar w:fldCharType="separate"/>
    </w:r>
    <w:r w:rsidR="00BC5FA9">
      <w:rPr>
        <w:b/>
        <w:noProof/>
        <w:sz w:val="18"/>
      </w:rPr>
      <w:t>2</w:t>
    </w:r>
    <w:r w:rsidRPr="00FA4E27">
      <w:rPr>
        <w:b/>
        <w:sz w:val="18"/>
      </w:rPr>
      <w:fldChar w:fldCharType="end"/>
    </w:r>
    <w:r>
      <w:rPr>
        <w:b/>
        <w:sz w:val="18"/>
      </w:rPr>
      <w:tab/>
    </w:r>
    <w:r>
      <w:t>GE.19-10079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E27" w:rsidRPr="00FA4E27" w:rsidRDefault="00FA4E27" w:rsidP="00FA4E27">
    <w:pPr>
      <w:pStyle w:val="Footer"/>
      <w:tabs>
        <w:tab w:val="clear" w:pos="9639"/>
        <w:tab w:val="right" w:pos="9638"/>
      </w:tabs>
      <w:rPr>
        <w:b/>
        <w:sz w:val="18"/>
      </w:rPr>
    </w:pPr>
    <w:r>
      <w:t>GE.19-10079</w:t>
    </w:r>
    <w:r>
      <w:tab/>
    </w:r>
    <w:r w:rsidRPr="00FA4E27">
      <w:rPr>
        <w:b/>
        <w:sz w:val="18"/>
      </w:rPr>
      <w:fldChar w:fldCharType="begin"/>
    </w:r>
    <w:r w:rsidRPr="00FA4E27">
      <w:rPr>
        <w:b/>
        <w:sz w:val="18"/>
      </w:rPr>
      <w:instrText xml:space="preserve"> PAGE  \* MERGEFORMAT </w:instrText>
    </w:r>
    <w:r w:rsidRPr="00FA4E27">
      <w:rPr>
        <w:b/>
        <w:sz w:val="18"/>
      </w:rPr>
      <w:fldChar w:fldCharType="separate"/>
    </w:r>
    <w:r w:rsidR="00BC5FA9">
      <w:rPr>
        <w:b/>
        <w:noProof/>
        <w:sz w:val="18"/>
      </w:rPr>
      <w:t>5</w:t>
    </w:r>
    <w:r w:rsidRPr="00FA4E2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FA4E27" w:rsidRDefault="00FA4E27" w:rsidP="00FA4E27">
    <w:pPr>
      <w:spacing w:before="120" w:line="240" w:lineRule="auto"/>
    </w:pPr>
    <w:r>
      <w:t>GE.</w:t>
    </w:r>
    <w:r w:rsidR="00DF71B9">
      <w:rPr>
        <w:b/>
        <w:noProof/>
        <w:lang w:val="en-US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19-10079  (R)  020719  030719</w:t>
    </w:r>
    <w:r>
      <w:br/>
    </w:r>
    <w:r w:rsidRPr="00FA4E27">
      <w:rPr>
        <w:rFonts w:ascii="C39T30Lfz" w:hAnsi="C39T30Lfz"/>
        <w:kern w:val="14"/>
        <w:sz w:val="56"/>
      </w:rPr>
      <w:t></w:t>
    </w:r>
    <w:r w:rsidRPr="00FA4E27">
      <w:rPr>
        <w:rFonts w:ascii="C39T30Lfz" w:hAnsi="C39T30Lfz"/>
        <w:kern w:val="14"/>
        <w:sz w:val="56"/>
      </w:rPr>
      <w:t></w:t>
    </w:r>
    <w:r w:rsidRPr="00FA4E27">
      <w:rPr>
        <w:rFonts w:ascii="C39T30Lfz" w:hAnsi="C39T30Lfz"/>
        <w:kern w:val="14"/>
        <w:sz w:val="56"/>
      </w:rPr>
      <w:t></w:t>
    </w:r>
    <w:r w:rsidRPr="00FA4E27">
      <w:rPr>
        <w:rFonts w:ascii="C39T30Lfz" w:hAnsi="C39T30Lfz"/>
        <w:kern w:val="14"/>
        <w:sz w:val="56"/>
      </w:rPr>
      <w:t></w:t>
    </w:r>
    <w:r w:rsidRPr="00FA4E27">
      <w:rPr>
        <w:rFonts w:ascii="C39T30Lfz" w:hAnsi="C39T30Lfz"/>
        <w:kern w:val="14"/>
        <w:sz w:val="56"/>
      </w:rPr>
      <w:t></w:t>
    </w:r>
    <w:r w:rsidRPr="00FA4E27">
      <w:rPr>
        <w:rFonts w:ascii="C39T30Lfz" w:hAnsi="C39T30Lfz"/>
        <w:kern w:val="14"/>
        <w:sz w:val="56"/>
      </w:rPr>
      <w:t></w:t>
    </w:r>
    <w:r w:rsidRPr="00FA4E27">
      <w:rPr>
        <w:rFonts w:ascii="C39T30Lfz" w:hAnsi="C39T30Lfz"/>
        <w:kern w:val="14"/>
        <w:sz w:val="56"/>
      </w:rPr>
      <w:t></w:t>
    </w:r>
    <w:r w:rsidRPr="00FA4E27">
      <w:rPr>
        <w:rFonts w:ascii="C39T30Lfz" w:hAnsi="C39T30Lfz"/>
        <w:kern w:val="14"/>
        <w:sz w:val="56"/>
      </w:rPr>
      <w:t></w:t>
    </w:r>
    <w:r w:rsidRPr="00FA4E27">
      <w:rPr>
        <w:rFonts w:ascii="C39T30Lfz" w:hAnsi="C39T30Lfz"/>
        <w:kern w:val="14"/>
        <w:sz w:val="56"/>
      </w:rPr>
      <w:t></w: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1/2019/25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19/25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65E" w:rsidRPr="001075E9" w:rsidRDefault="004C665E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4C665E" w:rsidRDefault="004C665E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FA4E27" w:rsidRPr="00FA4E27" w:rsidRDefault="00FA4E27">
      <w:pPr>
        <w:pStyle w:val="FootnoteText"/>
        <w:rPr>
          <w:sz w:val="20"/>
        </w:rPr>
      </w:pPr>
      <w:r>
        <w:tab/>
      </w:r>
      <w:r w:rsidRPr="00FA4E27">
        <w:rPr>
          <w:rStyle w:val="FootnoteReference"/>
          <w:sz w:val="20"/>
          <w:vertAlign w:val="baseline"/>
        </w:rPr>
        <w:t>*</w:t>
      </w:r>
      <w:r w:rsidRPr="00FA4E27">
        <w:rPr>
          <w:rStyle w:val="FootnoteReference"/>
          <w:vertAlign w:val="baseline"/>
        </w:rPr>
        <w:tab/>
      </w:r>
      <w:r w:rsidRPr="00FA4E27">
        <w:t>В соответствии с программой работы Комитета по внутреннему транспорту на 2018–2019 годы (ECE/TRANS/2018/21/Add.1, направление деятельности 9 (9.2)).</w:t>
      </w:r>
    </w:p>
  </w:footnote>
  <w:footnote w:id="2">
    <w:p w:rsidR="00FA4E27" w:rsidRPr="00FA4E27" w:rsidRDefault="00FA4E27">
      <w:pPr>
        <w:pStyle w:val="FootnoteText"/>
        <w:rPr>
          <w:sz w:val="20"/>
        </w:rPr>
      </w:pPr>
      <w:r>
        <w:tab/>
      </w:r>
      <w:r w:rsidRPr="00FA4E27">
        <w:rPr>
          <w:rStyle w:val="FootnoteReference"/>
          <w:sz w:val="20"/>
          <w:vertAlign w:val="baseline"/>
        </w:rPr>
        <w:t>**</w:t>
      </w:r>
      <w:r w:rsidRPr="00FA4E27">
        <w:rPr>
          <w:rStyle w:val="FootnoteReference"/>
          <w:vertAlign w:val="baseline"/>
        </w:rPr>
        <w:tab/>
      </w:r>
      <w:r w:rsidRPr="00FA4E27">
        <w:t>Распространено Межправительственной организацией по международным железнодорожным перевозкам (ОТИФ) под условным обозначением OTIF/RID/RC/2019/25.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E27" w:rsidRPr="00FA4E27" w:rsidRDefault="00BC5FA9">
    <w:pPr>
      <w:pStyle w:val="Header"/>
    </w:pPr>
    <w:fldSimple w:instr=" TITLE  \* MERGEFORMAT ">
      <w:r>
        <w:t>ECE/TRANS/WP.15/AC.1/2019/25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E27" w:rsidRPr="00FA4E27" w:rsidRDefault="00BC5FA9" w:rsidP="00FA4E27">
    <w:pPr>
      <w:pStyle w:val="Header"/>
      <w:jc w:val="right"/>
    </w:pPr>
    <w:fldSimple w:instr=" TITLE  \* MERGEFORMAT ">
      <w:r>
        <w:t>ECE/TRANS/WP.15/AC.1/2019/25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0D3624"/>
    <w:multiLevelType w:val="hybridMultilevel"/>
    <w:tmpl w:val="260A8F4A"/>
    <w:lvl w:ilvl="0" w:tplc="A63E039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16"/>
  </w:num>
  <w:num w:numId="20">
    <w:abstractNumId w:val="13"/>
  </w:num>
  <w:num w:numId="21">
    <w:abstractNumId w:val="15"/>
  </w:num>
  <w:num w:numId="2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65E"/>
    <w:rsid w:val="00033EE1"/>
    <w:rsid w:val="00042B72"/>
    <w:rsid w:val="000558BD"/>
    <w:rsid w:val="00097A2C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5517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3F48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71C8E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C665E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17A10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6DD"/>
    <w:rsid w:val="00BC18B2"/>
    <w:rsid w:val="00BC5FA9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B5E3E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84527"/>
    <w:rsid w:val="00F94155"/>
    <w:rsid w:val="00F9783F"/>
    <w:rsid w:val="00FA4E27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AD2BFC4-97C7-440D-B448-3D48CE8F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,Footnote Reference/,4_GR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FA4E27"/>
    <w:rPr>
      <w:b/>
      <w:sz w:val="28"/>
      <w:lang w:val="ru-RU" w:eastAsia="ru-RU"/>
    </w:rPr>
  </w:style>
  <w:style w:type="character" w:customStyle="1" w:styleId="SingleTxtGChar">
    <w:name w:val="_ Single Txt_G Char"/>
    <w:link w:val="SingleTxtG"/>
    <w:rsid w:val="00FA4E27"/>
    <w:rPr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1200</Words>
  <Characters>6530</Characters>
  <Application>Microsoft Office Word</Application>
  <DocSecurity>0</DocSecurity>
  <Lines>133</Lines>
  <Paragraphs>56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ECE/TRANS/WP.15/AC.1/2019/25</vt:lpstr>
      <vt:lpstr>ECE/TRANS/WP.15/AC.1/2019/25</vt:lpstr>
      <vt:lpstr>A/</vt:lpstr>
    </vt:vector>
  </TitlesOfParts>
  <Company>DCM</Company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ECE/TRANS/WP.15/AC.1/2019/25</dc:title>
  <dc:subject/>
  <dc:creator>Uliana ANTIPOVA</dc:creator>
  <cp:keywords/>
  <cp:lastModifiedBy>Christine Barrio-Champeau</cp:lastModifiedBy>
  <cp:revision>2</cp:revision>
  <cp:lastPrinted>2019-07-03T07:13:00Z</cp:lastPrinted>
  <dcterms:created xsi:type="dcterms:W3CDTF">2019-08-05T14:24:00Z</dcterms:created>
  <dcterms:modified xsi:type="dcterms:W3CDTF">2019-08-05T14:24:00Z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