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B44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B4485" w:rsidP="004B4485">
            <w:pPr>
              <w:jc w:val="right"/>
            </w:pPr>
            <w:r w:rsidRPr="004B4485">
              <w:rPr>
                <w:sz w:val="40"/>
              </w:rPr>
              <w:t>ECE</w:t>
            </w:r>
            <w:r>
              <w:t>/TRANS/WP.15/AC.1/2019/21</w:t>
            </w:r>
          </w:p>
        </w:tc>
      </w:tr>
      <w:tr w:rsidR="002D5AAC" w:rsidRPr="005108D9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B448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4B4485" w:rsidRDefault="004B4485" w:rsidP="004B448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January 2019</w:t>
            </w:r>
          </w:p>
          <w:p w:rsidR="004B4485" w:rsidRDefault="004B4485" w:rsidP="004B448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B4485" w:rsidRPr="008D53B6" w:rsidRDefault="004B4485" w:rsidP="004B448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4B4485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B4485" w:rsidRPr="004B4485" w:rsidRDefault="004B4485" w:rsidP="004B4485">
      <w:pPr>
        <w:spacing w:before="120"/>
        <w:rPr>
          <w:sz w:val="28"/>
          <w:szCs w:val="28"/>
        </w:rPr>
      </w:pPr>
      <w:r w:rsidRPr="004B4485">
        <w:rPr>
          <w:sz w:val="28"/>
          <w:szCs w:val="28"/>
        </w:rPr>
        <w:t>Комитет по внутреннему транспорту</w:t>
      </w:r>
    </w:p>
    <w:p w:rsidR="004B4485" w:rsidRPr="004B4485" w:rsidRDefault="004B4485" w:rsidP="004B4485">
      <w:pPr>
        <w:spacing w:before="120"/>
        <w:rPr>
          <w:b/>
          <w:sz w:val="24"/>
          <w:szCs w:val="24"/>
        </w:rPr>
      </w:pPr>
      <w:r w:rsidRPr="004B4485">
        <w:rPr>
          <w:b/>
          <w:bCs/>
          <w:sz w:val="24"/>
          <w:szCs w:val="24"/>
        </w:rPr>
        <w:t>Рабочая группа по перевозкам опасных грузов</w:t>
      </w:r>
    </w:p>
    <w:p w:rsidR="004B4485" w:rsidRPr="004B4485" w:rsidRDefault="004B4485" w:rsidP="004B4485">
      <w:pPr>
        <w:spacing w:before="120"/>
        <w:rPr>
          <w:b/>
        </w:rPr>
      </w:pPr>
      <w:r w:rsidRPr="004B4485">
        <w:rPr>
          <w:b/>
        </w:rPr>
        <w:t xml:space="preserve">Совместное совещание Комиссии экспертов МПОГ </w:t>
      </w:r>
      <w:r>
        <w:rPr>
          <w:b/>
        </w:rPr>
        <w:br/>
      </w:r>
      <w:r w:rsidRPr="004B4485">
        <w:rPr>
          <w:b/>
        </w:rPr>
        <w:t>и Рабочей группы по перевозкам опасных грузов</w:t>
      </w:r>
    </w:p>
    <w:p w:rsidR="004B4485" w:rsidRPr="00E17DD6" w:rsidRDefault="004B4485" w:rsidP="004B4485">
      <w:r>
        <w:t>Берн, 18–</w:t>
      </w:r>
      <w:r w:rsidRPr="00E17DD6">
        <w:t>22 марта 2019 года</w:t>
      </w:r>
    </w:p>
    <w:p w:rsidR="004B4485" w:rsidRPr="00E17DD6" w:rsidRDefault="004B4485" w:rsidP="004B4485">
      <w:r w:rsidRPr="00E17DD6">
        <w:t>Пункт 6 предварительной повестки дня</w:t>
      </w:r>
    </w:p>
    <w:p w:rsidR="00E12C5F" w:rsidRDefault="004B4485" w:rsidP="004B4485">
      <w:r w:rsidRPr="00E17DD6">
        <w:rPr>
          <w:b/>
          <w:bCs/>
        </w:rPr>
        <w:t>Доклады неофициальных рабочих групп</w:t>
      </w:r>
    </w:p>
    <w:p w:rsidR="00021E72" w:rsidRPr="00021E72" w:rsidRDefault="00021E72" w:rsidP="00021E72">
      <w:pPr>
        <w:pStyle w:val="HChG"/>
      </w:pPr>
      <w:r>
        <w:tab/>
      </w:r>
      <w:r>
        <w:tab/>
      </w:r>
      <w:r w:rsidRPr="00021E72">
        <w:t>Неофициальная рабочая группа по т</w:t>
      </w:r>
      <w:r>
        <w:t>елематике: совещание в Вене (12–</w:t>
      </w:r>
      <w:r w:rsidRPr="00021E72">
        <w:t>14 ноября 2018 года)</w:t>
      </w:r>
    </w:p>
    <w:p w:rsidR="004B4485" w:rsidRPr="00021E72" w:rsidRDefault="00021E72" w:rsidP="00021E72">
      <w:pPr>
        <w:pStyle w:val="H1G"/>
      </w:pPr>
      <w:r w:rsidRPr="00021E72">
        <w:tab/>
      </w:r>
      <w:r w:rsidRPr="00021E72">
        <w:tab/>
        <w:t>Передано правительством Франции от имени неофициальной рабочей группы по телематике</w:t>
      </w:r>
      <w:r w:rsidRPr="00021E72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021E72">
        <w:rPr>
          <w:b w:val="0"/>
          <w:sz w:val="20"/>
        </w:rPr>
        <w:t xml:space="preserve"> </w:t>
      </w:r>
      <w:r w:rsidRPr="00021E72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021E72" w:rsidRPr="00021E72" w:rsidTr="00021E72">
        <w:trPr>
          <w:jc w:val="center"/>
        </w:trPr>
        <w:tc>
          <w:tcPr>
            <w:tcW w:w="9628" w:type="dxa"/>
            <w:tcBorders>
              <w:bottom w:val="nil"/>
            </w:tcBorders>
          </w:tcPr>
          <w:p w:rsidR="00021E72" w:rsidRPr="00021E72" w:rsidRDefault="00021E72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021E72">
              <w:rPr>
                <w:rFonts w:cs="Times New Roman"/>
              </w:rPr>
              <w:tab/>
            </w:r>
            <w:r w:rsidRPr="00021E72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021E72" w:rsidRPr="00021E72" w:rsidTr="00021E72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021E72" w:rsidRPr="00021E72" w:rsidRDefault="00021E72" w:rsidP="00AC4EBB">
            <w:pPr>
              <w:pStyle w:val="SingleTxtG"/>
              <w:ind w:left="3686" w:hanging="2552"/>
            </w:pPr>
            <w:r w:rsidRPr="00021E72">
              <w:rPr>
                <w:b/>
              </w:rPr>
              <w:t>Существо предложения:</w:t>
            </w:r>
            <w:r w:rsidRPr="00021E72">
              <w:tab/>
              <w:t>Информировать Совместное совещание о проводимой работе, касающейся «телематики»</w:t>
            </w:r>
          </w:p>
        </w:tc>
      </w:tr>
      <w:tr w:rsidR="00021E72" w:rsidRPr="00021E72" w:rsidTr="00021E72">
        <w:trPr>
          <w:jc w:val="center"/>
        </w:trPr>
        <w:tc>
          <w:tcPr>
            <w:tcW w:w="9628" w:type="dxa"/>
            <w:tcBorders>
              <w:top w:val="nil"/>
            </w:tcBorders>
          </w:tcPr>
          <w:p w:rsidR="00021E72" w:rsidRPr="00021E72" w:rsidRDefault="00021E72" w:rsidP="00850215">
            <w:pPr>
              <w:rPr>
                <w:rFonts w:cs="Times New Roman"/>
              </w:rPr>
            </w:pPr>
          </w:p>
        </w:tc>
      </w:tr>
    </w:tbl>
    <w:p w:rsidR="00021E72" w:rsidRPr="00E17DD6" w:rsidRDefault="00021E72" w:rsidP="00021E72">
      <w:pPr>
        <w:pStyle w:val="HChG"/>
        <w:rPr>
          <w:color w:val="000000"/>
        </w:rPr>
      </w:pPr>
      <w:r>
        <w:rPr>
          <w:bCs/>
        </w:rPr>
        <w:tab/>
      </w:r>
      <w:r>
        <w:rPr>
          <w:bCs/>
        </w:rPr>
        <w:tab/>
      </w:r>
      <w:r w:rsidRPr="00E17DD6">
        <w:rPr>
          <w:bCs/>
        </w:rPr>
        <w:t>Введение</w:t>
      </w:r>
    </w:p>
    <w:p w:rsidR="00021E72" w:rsidRPr="00E17DD6" w:rsidRDefault="00021E72" w:rsidP="00021E72">
      <w:pPr>
        <w:pStyle w:val="SingleTxtG"/>
        <w:rPr>
          <w:color w:val="000000"/>
        </w:rPr>
      </w:pPr>
      <w:r w:rsidRPr="00E17DD6">
        <w:t>1.</w:t>
      </w:r>
      <w:r w:rsidRPr="00E17DD6">
        <w:tab/>
        <w:t xml:space="preserve">Как указано в пункте 46 доклада последней сессии Совместного совещания (ECE/TRANS/WP.15/AC.1/152) неофициальная рабочая группа провела совещание </w:t>
      </w:r>
      <w:r>
        <w:br/>
      </w:r>
      <w:r w:rsidRPr="00E17DD6">
        <w:t>12–14 ноября 2018 года в Вене.</w:t>
      </w:r>
    </w:p>
    <w:p w:rsidR="00021E72" w:rsidRPr="00E17DD6" w:rsidRDefault="00021E72" w:rsidP="00021E72">
      <w:pPr>
        <w:pStyle w:val="SingleTxtG"/>
      </w:pPr>
      <w:r w:rsidRPr="00E17DD6">
        <w:t>2.</w:t>
      </w:r>
      <w:r w:rsidRPr="00E17DD6">
        <w:tab/>
        <w:t xml:space="preserve">Неофициальная рабочая группа приняла к сведению сообщение Франции о процедурах и языках, используемых для описания веб-услуг (см. неофициальный документ INF.3).  </w:t>
      </w:r>
    </w:p>
    <w:p w:rsidR="00021E72" w:rsidRPr="00E17DD6" w:rsidRDefault="00021E72" w:rsidP="00021E72">
      <w:pPr>
        <w:pStyle w:val="SingleTxtG"/>
        <w:rPr>
          <w:color w:val="000000"/>
        </w:rPr>
      </w:pPr>
      <w:r w:rsidRPr="00E17DD6">
        <w:t>3.</w:t>
      </w:r>
      <w:r w:rsidRPr="00E17DD6">
        <w:tab/>
        <w:t xml:space="preserve">Европейский союз представил обзорную информацию о предложении относительно регламента Европейского парламента и Совета по электронной информации о грузовых перевозках (eFTI; см. неофициальный документ INF.4). Было отмечено, что сотрудничество с Форумом по цифровым технологиям в области перевозок и логистики (ФЦПЛ) окажется весьма ценным. Представитель </w:t>
      </w:r>
      <w:r w:rsidRPr="00E17DD6">
        <w:lastRenderedPageBreak/>
        <w:t xml:space="preserve">Европейского союза проинформировал неофициальную рабочую группу о составленной Европейским железнодорожным агентством (ЕЖДА) таблице для сопоставления различных подходов в плане использования электронных транспортных документов. </w:t>
      </w:r>
    </w:p>
    <w:p w:rsidR="00021E72" w:rsidRPr="00E17DD6" w:rsidRDefault="00021E72" w:rsidP="00021E72">
      <w:pPr>
        <w:pStyle w:val="SingleTxtG"/>
        <w:rPr>
          <w:color w:val="000000"/>
        </w:rPr>
      </w:pPr>
      <w:r w:rsidRPr="00E17DD6">
        <w:t>4.</w:t>
      </w:r>
      <w:r w:rsidRPr="00E17DD6">
        <w:tab/>
        <w:t>Прежде всего следует отметить, что предпочтение было отдано руководящим положениям, а не меморандуму о взаимопонимании (МОВ), поскольку подписание МОВ может приводить к возникновению в отдельных странах некоторых юридических сложностей. Кроме того, государства обладают большей свободой действий при осуществлении именно руководящих положений.</w:t>
      </w:r>
    </w:p>
    <w:p w:rsidR="00021E72" w:rsidRPr="00E17DD6" w:rsidRDefault="00021E72" w:rsidP="00021E72">
      <w:pPr>
        <w:pStyle w:val="SingleTxtG"/>
        <w:rPr>
          <w:color w:val="000000"/>
        </w:rPr>
      </w:pPr>
      <w:r w:rsidRPr="00E17DD6">
        <w:t>5.</w:t>
      </w:r>
      <w:r w:rsidRPr="00E17DD6">
        <w:tab/>
        <w:t>Неофициальная рабочая группа подготовила Руководящие положения, изложенные в прилагаемом предложении, и внесла изменения в различные части первоначального проекта МОВ. В рамках этой деятельности неофициальная рабочая группа решила, что конкретные технические вопросы будут обсу</w:t>
      </w:r>
      <w:r>
        <w:t>ж</w:t>
      </w:r>
      <w:r w:rsidRPr="00E17DD6">
        <w:t>даться технической рабочей группой, в которую войдут все выявленные кандидаты – доверенные стороны (ДС1). Было решено, что они проведут свою вс</w:t>
      </w:r>
      <w:r>
        <w:t>тречу в Экс-ан-Провансе 11 и 12 </w:t>
      </w:r>
      <w:r w:rsidRPr="00E17DD6">
        <w:t>декабря 2018 года.</w:t>
      </w:r>
    </w:p>
    <w:p w:rsidR="00021E72" w:rsidRPr="00E17DD6" w:rsidRDefault="00021E72" w:rsidP="00021E72">
      <w:pPr>
        <w:pStyle w:val="SingleTxtG"/>
        <w:rPr>
          <w:color w:val="000000"/>
        </w:rPr>
      </w:pPr>
      <w:r w:rsidRPr="00E17DD6">
        <w:t>6.</w:t>
      </w:r>
      <w:r w:rsidRPr="00E17DD6">
        <w:tab/>
        <w:t>В частности, было отмечено, что техническая рабочая группа должна будет выяснить два технических момента:</w:t>
      </w:r>
    </w:p>
    <w:p w:rsidR="00021E72" w:rsidRPr="00E17DD6" w:rsidRDefault="00021E72" w:rsidP="00021E72">
      <w:pPr>
        <w:pStyle w:val="Bullet1G"/>
        <w:rPr>
          <w:color w:val="000000"/>
        </w:rPr>
      </w:pPr>
      <w:r w:rsidRPr="00E17DD6">
        <w:t>Необходимо ли использовать номер VIN для идентификации транспортных средств в связи с eCall или же достаточно использовать регистрационный номер, поскольку между этими двумя номерами существует однозначная связь?</w:t>
      </w:r>
    </w:p>
    <w:p w:rsidR="00021E72" w:rsidRPr="00E17DD6" w:rsidRDefault="00021E72" w:rsidP="00021E72">
      <w:pPr>
        <w:pStyle w:val="Bullet1G"/>
        <w:rPr>
          <w:color w:val="000000"/>
        </w:rPr>
      </w:pPr>
      <w:r w:rsidRPr="00E17DD6">
        <w:t>Наличие дополнительных условий для использования цифровой подписи при направлении сообщений доверенными сторонами ДС2 в адрес ДС1.</w:t>
      </w:r>
    </w:p>
    <w:p w:rsidR="00021E72" w:rsidRPr="00E17DD6" w:rsidRDefault="00021E72" w:rsidP="00021E72">
      <w:pPr>
        <w:pStyle w:val="SingleTxtG"/>
        <w:rPr>
          <w:color w:val="000000"/>
        </w:rPr>
      </w:pPr>
      <w:r w:rsidRPr="00E17DD6">
        <w:t>7.</w:t>
      </w:r>
      <w:r w:rsidRPr="00E17DD6">
        <w:tab/>
        <w:t>Неофициальная рабочая группа кратко рассмотрела вопросы, касающиеся государств, которые желают использовать настоящие Руководящие положения в будущем. Это следует дополнительно обсудить в ходе ежегодной конференции, как определено в пунктах 7–9 раздела 2 Руководящих положений.</w:t>
      </w:r>
    </w:p>
    <w:p w:rsidR="00021E72" w:rsidRPr="00E17DD6" w:rsidRDefault="00021E72" w:rsidP="00021E72">
      <w:pPr>
        <w:pStyle w:val="SingleTxtG"/>
        <w:rPr>
          <w:color w:val="000000"/>
        </w:rPr>
      </w:pPr>
      <w:r w:rsidRPr="00E17DD6">
        <w:t>8.</w:t>
      </w:r>
      <w:r w:rsidRPr="00E17DD6">
        <w:tab/>
        <w:t>С точки зрения логики принимать соответствующие решения должны исключительно пользователи. Вместе с тем данный процесс открыт для других Договаривающихся сторон/государств-членов в плане предоставления информации и замечаний по решениям. Тем сторонам, которые не являются пользователями, предлагается присоединиться к их числу.</w:t>
      </w:r>
    </w:p>
    <w:p w:rsidR="00021E72" w:rsidRPr="00E17DD6" w:rsidRDefault="00021E72" w:rsidP="00021E72">
      <w:pPr>
        <w:pStyle w:val="SingleTxtG"/>
        <w:rPr>
          <w:color w:val="000000"/>
        </w:rPr>
      </w:pPr>
      <w:r w:rsidRPr="00E17DD6">
        <w:t>9.</w:t>
      </w:r>
      <w:r w:rsidRPr="00E17DD6">
        <w:tab/>
        <w:t>Рабочая группа отметила, что было бы весьма полезно, чтобы ЕЭК ООН и ОТИФ разместили список Договаривающихся сторон, использующих настоящие Руководящие положения, интерфейсы ДС1 и сам текст Руководящих положений на своих веб-сайтах. В зависимости от возможностей задействования этих веб-сайтов, например раздела, посвященного информации по странам, настоящие Руководящие положения могут быть соответствующим образом видоизменены.</w:t>
      </w:r>
    </w:p>
    <w:p w:rsidR="00021E72" w:rsidRPr="00E17DD6" w:rsidRDefault="00021E72" w:rsidP="00021E72">
      <w:pPr>
        <w:pStyle w:val="SingleTxtG"/>
        <w:rPr>
          <w:color w:val="000000"/>
        </w:rPr>
      </w:pPr>
      <w:r>
        <w:t>10.</w:t>
      </w:r>
      <w:r>
        <w:tab/>
      </w:r>
      <w:r w:rsidRPr="00E17DD6">
        <w:t xml:space="preserve">Некоторые </w:t>
      </w:r>
      <w:r w:rsidRPr="00E17DD6">
        <w:rPr>
          <w:b/>
          <w:bCs/>
          <w:u w:val="single"/>
        </w:rPr>
        <w:t>КОММЕНТАРИИ</w:t>
      </w:r>
      <w:r w:rsidRPr="00AC4EBB">
        <w:rPr>
          <w:b/>
          <w:bCs/>
        </w:rPr>
        <w:t xml:space="preserve"> </w:t>
      </w:r>
      <w:r w:rsidRPr="00E17DD6">
        <w:t xml:space="preserve">и другие моменты, которые требуют разъяснения и которые не являются частью самих Руководящих положений, выделены в предложении </w:t>
      </w:r>
      <w:r w:rsidRPr="00E17DD6">
        <w:rPr>
          <w:b/>
          <w:bCs/>
          <w:u w:val="single"/>
        </w:rPr>
        <w:t>жирным шрифтом с подчеркиванием</w:t>
      </w:r>
      <w:r w:rsidRPr="00E17DD6">
        <w:t>.</w:t>
      </w:r>
    </w:p>
    <w:p w:rsidR="00021E72" w:rsidRDefault="00021E72">
      <w:pPr>
        <w:suppressAutoHyphens w:val="0"/>
        <w:spacing w:line="240" w:lineRule="auto"/>
        <w:rPr>
          <w:rFonts w:eastAsia="Times New Roman" w:cs="Times New Roman"/>
          <w:b/>
          <w:sz w:val="28"/>
          <w:szCs w:val="20"/>
          <w:lang w:eastAsia="ru-RU"/>
        </w:rPr>
      </w:pPr>
      <w:r>
        <w:br w:type="page"/>
      </w:r>
    </w:p>
    <w:p w:rsidR="00021E72" w:rsidRPr="00E17DD6" w:rsidRDefault="00021E72" w:rsidP="00021E72">
      <w:pPr>
        <w:pStyle w:val="HChG"/>
      </w:pPr>
      <w:r w:rsidRPr="00E17DD6">
        <w:lastRenderedPageBreak/>
        <w:tab/>
      </w:r>
      <w:r w:rsidRPr="00E17DD6">
        <w:tab/>
      </w:r>
      <w:r w:rsidRPr="00E17DD6">
        <w:rPr>
          <w:bCs/>
        </w:rPr>
        <w:t>Предложение</w:t>
      </w:r>
    </w:p>
    <w:p w:rsidR="00021E72" w:rsidRPr="00E17DD6" w:rsidRDefault="00021E72" w:rsidP="00021E72">
      <w:pPr>
        <w:pStyle w:val="H1G"/>
      </w:pPr>
      <w:r w:rsidRPr="00E17DD6">
        <w:tab/>
      </w:r>
      <w:r w:rsidRPr="00E17DD6">
        <w:tab/>
      </w:r>
      <w:r w:rsidRPr="00AC4EBB">
        <w:rPr>
          <w:b w:val="0"/>
          <w:bCs/>
          <w:sz w:val="20"/>
        </w:rPr>
        <w:t>«</w:t>
      </w:r>
      <w:r w:rsidRPr="00E17DD6">
        <w:rPr>
          <w:bCs/>
        </w:rPr>
        <w:t>Руководящие положения, касающиеся применения пункта 5.4.0.2 МПОГ/ДОПОГ/ВОПОГ</w:t>
      </w:r>
    </w:p>
    <w:p w:rsidR="00021E72" w:rsidRPr="00E17DD6" w:rsidRDefault="00021E72" w:rsidP="00021E72">
      <w:pPr>
        <w:pStyle w:val="H23G"/>
      </w:pPr>
      <w:r w:rsidRPr="00E17DD6">
        <w:tab/>
      </w:r>
      <w:r w:rsidRPr="00E17DD6">
        <w:tab/>
      </w:r>
      <w:r w:rsidRPr="00E17DD6">
        <w:rPr>
          <w:bCs/>
        </w:rPr>
        <w:t>Введение</w:t>
      </w:r>
      <w:r w:rsidRPr="00E17DD6">
        <w:t xml:space="preserve"> </w:t>
      </w:r>
    </w:p>
    <w:p w:rsidR="00021E72" w:rsidRPr="00E17DD6" w:rsidRDefault="00021E72" w:rsidP="00021E72">
      <w:pPr>
        <w:pStyle w:val="SingleTxtG"/>
        <w:rPr>
          <w:color w:val="000000"/>
        </w:rPr>
      </w:pPr>
      <w:r w:rsidRPr="00E17DD6">
        <w:t>1.</w:t>
      </w:r>
      <w:r w:rsidRPr="00E17DD6">
        <w:tab/>
        <w:t>Цель настоящих Руководящих положений заключается в поддержке разработки согласованной системы для использования электронного транспортного документа при перевозке опасных грузов, что позволило бы достичь общего понимания в отношении пункта 5.4.0.2 и выполнить условия, изложенные в разделе 5.4.1 МПОГ/ДОПОГ/ВОПОГ.</w:t>
      </w:r>
    </w:p>
    <w:p w:rsidR="00021E72" w:rsidRPr="00E17DD6" w:rsidRDefault="00021E72" w:rsidP="00021E72">
      <w:pPr>
        <w:pStyle w:val="SingleTxtG"/>
        <w:rPr>
          <w:color w:val="000000"/>
        </w:rPr>
      </w:pPr>
      <w:r w:rsidRPr="00E17DD6">
        <w:t>2.</w:t>
      </w:r>
      <w:r w:rsidRPr="00E17DD6">
        <w:tab/>
        <w:t>Пользователи Руководящих положений принимают решение о том, что они будут применять изложенные в настоящем документе модель и системную архитектуру (приложение и техническая документация).</w:t>
      </w:r>
    </w:p>
    <w:p w:rsidR="00021E72" w:rsidRPr="00E17DD6" w:rsidRDefault="00021E72" w:rsidP="00021E72">
      <w:pPr>
        <w:pStyle w:val="SingleTxtG"/>
        <w:rPr>
          <w:color w:val="000000"/>
        </w:rPr>
      </w:pPr>
      <w:r w:rsidRPr="00E17DD6">
        <w:t>3.</w:t>
      </w:r>
      <w:r w:rsidRPr="00E17DD6">
        <w:tab/>
        <w:t>Пользователями настоящих Руководящих положений являются Договаривающиеся стороны ДОПОГ и/или ВОПОГ и/или государства</w:t>
      </w:r>
      <w:r w:rsidR="00AC4EBB">
        <w:t xml:space="preserve"> – </w:t>
      </w:r>
      <w:r w:rsidRPr="00E17DD6">
        <w:t>члены МПОГ. В настоящих Руководящих положениях они будут упоминаться как «пользователи». Они перечислены в приложении B.</w:t>
      </w:r>
    </w:p>
    <w:p w:rsidR="00021E72" w:rsidRPr="00E17DD6" w:rsidRDefault="00021E72" w:rsidP="00021E72">
      <w:pPr>
        <w:pStyle w:val="SingleTxtG"/>
        <w:rPr>
          <w:b/>
          <w:bCs/>
          <w:color w:val="000000"/>
          <w:u w:val="single"/>
        </w:rPr>
      </w:pPr>
      <w:r w:rsidRPr="00E17DD6">
        <w:rPr>
          <w:b/>
          <w:bCs/>
        </w:rPr>
        <w:t>[</w:t>
      </w:r>
      <w:r w:rsidRPr="0005131C">
        <w:rPr>
          <w:b/>
          <w:bCs/>
          <w:u w:val="single"/>
        </w:rPr>
        <w:t>КОММЕНТАРИЙ: Другой вариант (в зависимости от возможностей, предоставленных ЕЭК ООН и ОТИФ</w:t>
      </w:r>
      <w:r w:rsidRPr="00E17DD6">
        <w:rPr>
          <w:b/>
          <w:bCs/>
        </w:rPr>
        <w:t>):]</w:t>
      </w:r>
      <w:r w:rsidRPr="00E17DD6">
        <w:t xml:space="preserve"> </w:t>
      </w:r>
    </w:p>
    <w:p w:rsidR="00021E72" w:rsidRPr="00E17DD6" w:rsidRDefault="00AC4EBB" w:rsidP="00021E72">
      <w:pPr>
        <w:pStyle w:val="SingleTxtG"/>
        <w:rPr>
          <w:color w:val="000000"/>
        </w:rPr>
      </w:pPr>
      <w:r>
        <w:tab/>
      </w:r>
      <w:r>
        <w:tab/>
      </w:r>
      <w:r w:rsidR="00021E72" w:rsidRPr="00E17DD6">
        <w:t>Пользователи настоящих Руководящих положений будут информировать ЕЭК ООН и/или секретариат ОТИФ.</w:t>
      </w:r>
    </w:p>
    <w:p w:rsidR="00021E72" w:rsidRPr="00E17DD6" w:rsidRDefault="00021E72" w:rsidP="00021E72">
      <w:pPr>
        <w:pStyle w:val="SingleTxtG"/>
        <w:tabs>
          <w:tab w:val="left" w:pos="1701"/>
        </w:tabs>
        <w:spacing w:before="240"/>
        <w:rPr>
          <w:color w:val="000000"/>
        </w:rPr>
      </w:pPr>
      <w:r w:rsidRPr="00E17DD6">
        <w:t>4.</w:t>
      </w:r>
      <w:r w:rsidRPr="00E17DD6">
        <w:tab/>
      </w:r>
      <w:r w:rsidRPr="00E17DD6">
        <w:tab/>
        <w:t>Необходимо принимать во внимание следующее:</w:t>
      </w:r>
    </w:p>
    <w:p w:rsidR="00021E72" w:rsidRPr="00E17DD6" w:rsidRDefault="0005131C" w:rsidP="0005131C">
      <w:pPr>
        <w:pStyle w:val="Bullet1G"/>
        <w:numPr>
          <w:ilvl w:val="0"/>
          <w:numId w:val="0"/>
        </w:numPr>
        <w:ind w:left="1701" w:hanging="567"/>
        <w:rPr>
          <w:color w:val="000000"/>
        </w:rPr>
      </w:pPr>
      <w:r>
        <w:tab/>
      </w:r>
      <w:r>
        <w:tab/>
      </w:r>
      <w:r w:rsidR="00021E72" w:rsidRPr="00E17DD6">
        <w:t>a)</w:t>
      </w:r>
      <w:r w:rsidR="00021E72" w:rsidRPr="00E17DD6">
        <w:tab/>
        <w:t xml:space="preserve">системная архитектура, изложенная в приложении A, основана на концепции двух видов сервисных систем, которые называются </w:t>
      </w:r>
      <w:r w:rsidR="00021E72">
        <w:t>"</w:t>
      </w:r>
      <w:r w:rsidR="00021E72" w:rsidRPr="00E17DD6">
        <w:t>доверенная сторона 1</w:t>
      </w:r>
      <w:r w:rsidR="00021E72">
        <w:t>"</w:t>
      </w:r>
      <w:r w:rsidR="00021E72" w:rsidRPr="00E17DD6">
        <w:t xml:space="preserve"> (ДС1) и </w:t>
      </w:r>
      <w:r w:rsidR="00021E72">
        <w:t>"</w:t>
      </w:r>
      <w:r w:rsidR="00021E72" w:rsidRPr="00E17DD6">
        <w:t>доверенная сторона 2</w:t>
      </w:r>
      <w:r w:rsidR="00021E72">
        <w:t>"</w:t>
      </w:r>
      <w:r w:rsidR="00021E72" w:rsidRPr="00E17DD6">
        <w:t xml:space="preserve"> (ДС2). Эта модель предусматривает несколько ДС1 и ДС2;</w:t>
      </w:r>
    </w:p>
    <w:p w:rsidR="00021E72" w:rsidRPr="0005131C" w:rsidRDefault="0005131C" w:rsidP="0005131C">
      <w:pPr>
        <w:pStyle w:val="Bullet1G"/>
        <w:numPr>
          <w:ilvl w:val="0"/>
          <w:numId w:val="0"/>
        </w:numPr>
        <w:ind w:left="1701" w:hanging="567"/>
      </w:pPr>
      <w:r>
        <w:tab/>
      </w:r>
      <w:r>
        <w:tab/>
      </w:r>
      <w:r w:rsidR="00021E72" w:rsidRPr="00E17DD6">
        <w:t>b)</w:t>
      </w:r>
      <w:r w:rsidR="00021E72" w:rsidRPr="00E17DD6">
        <w:tab/>
        <w:t>ДС2 хранит данные, требуемые в соответствии с разделом 5.4.1 МПОГ/ДОПОГ/ВОПОГ. ДС2 может управляться перевозчиком или третьей стороной</w:t>
      </w:r>
      <w:r>
        <w:rPr>
          <w:lang w:val="en-US"/>
        </w:rPr>
        <w:t> </w:t>
      </w:r>
      <w:r w:rsidR="00021E72" w:rsidRPr="00E17DD6">
        <w:t xml:space="preserve">– поставщиком услуг перевозчику; </w:t>
      </w:r>
    </w:p>
    <w:p w:rsidR="00021E72" w:rsidRPr="0005131C" w:rsidRDefault="0005131C" w:rsidP="0005131C">
      <w:pPr>
        <w:pStyle w:val="Bullet1G"/>
        <w:numPr>
          <w:ilvl w:val="0"/>
          <w:numId w:val="0"/>
        </w:numPr>
        <w:ind w:left="1701" w:hanging="567"/>
      </w:pPr>
      <w:r>
        <w:tab/>
      </w:r>
      <w:r>
        <w:tab/>
      </w:r>
      <w:r w:rsidR="00021E72" w:rsidRPr="00E17DD6">
        <w:t>c)</w:t>
      </w:r>
      <w:r w:rsidR="00021E72" w:rsidRPr="00E17DD6">
        <w:tab/>
        <w:t xml:space="preserve">ДС1 по </w:t>
      </w:r>
      <w:r w:rsidR="00021E72">
        <w:t>запросу</w:t>
      </w:r>
      <w:r w:rsidR="00021E72" w:rsidRPr="00E17DD6">
        <w:t xml:space="preserve"> предоставляет услуги</w:t>
      </w:r>
      <w:r>
        <w:t xml:space="preserve"> для обмена этими данными ДС2 с </w:t>
      </w:r>
      <w:r w:rsidR="00021E72" w:rsidRPr="00E17DD6">
        <w:t xml:space="preserve">органами власти и аварийно-спасательными службами; </w:t>
      </w:r>
    </w:p>
    <w:p w:rsidR="00021E72" w:rsidRPr="0005131C" w:rsidRDefault="0005131C" w:rsidP="0005131C">
      <w:pPr>
        <w:pStyle w:val="Bullet1G"/>
        <w:numPr>
          <w:ilvl w:val="0"/>
          <w:numId w:val="0"/>
        </w:numPr>
        <w:ind w:left="1701" w:hanging="567"/>
      </w:pPr>
      <w:r>
        <w:tab/>
      </w:r>
      <w:r>
        <w:tab/>
      </w:r>
      <w:r w:rsidR="00021E72" w:rsidRPr="00E17DD6">
        <w:t>d)</w:t>
      </w:r>
      <w:r w:rsidR="00021E72" w:rsidRPr="00E17DD6">
        <w:tab/>
      </w:r>
      <w:r w:rsidR="00021E72">
        <w:t>к</w:t>
      </w:r>
      <w:r w:rsidR="00021E72" w:rsidRPr="00E17DD6">
        <w:t xml:space="preserve">роме того, </w:t>
      </w:r>
      <w:r w:rsidR="00021E72">
        <w:t xml:space="preserve">по запросу </w:t>
      </w:r>
      <w:r w:rsidR="00021E72" w:rsidRPr="00E17DD6">
        <w:t>ДС1 п</w:t>
      </w:r>
      <w:r w:rsidR="00021E72">
        <w:t>ередает данные ДС2 другим ДС1</w:t>
      </w:r>
      <w:r w:rsidR="00021E72" w:rsidRPr="00E17DD6">
        <w:t>;</w:t>
      </w:r>
    </w:p>
    <w:p w:rsidR="00021E72" w:rsidRPr="00E17DD6" w:rsidRDefault="0005131C" w:rsidP="0005131C">
      <w:pPr>
        <w:pStyle w:val="Bullet1G"/>
        <w:numPr>
          <w:ilvl w:val="0"/>
          <w:numId w:val="0"/>
        </w:numPr>
        <w:ind w:left="1701" w:hanging="567"/>
        <w:rPr>
          <w:color w:val="000000"/>
        </w:rPr>
      </w:pPr>
      <w:r>
        <w:tab/>
      </w:r>
      <w:r>
        <w:tab/>
      </w:r>
      <w:r w:rsidR="00021E72" w:rsidRPr="00E17DD6">
        <w:t>e)</w:t>
      </w:r>
      <w:r w:rsidR="00021E72" w:rsidRPr="00E17DD6">
        <w:tab/>
      </w:r>
      <w:r w:rsidR="00021E72">
        <w:t>"</w:t>
      </w:r>
      <w:r w:rsidR="00021E72" w:rsidRPr="00E17DD6">
        <w:t>Информация о перевозке eDG</w:t>
      </w:r>
      <w:r w:rsidR="00021E72">
        <w:t>"</w:t>
      </w:r>
      <w:r w:rsidR="00021E72" w:rsidRPr="00E17DD6">
        <w:t xml:space="preserve"> – это </w:t>
      </w:r>
      <w:r w:rsidR="00021E72">
        <w:t xml:space="preserve">сокращение, означающее </w:t>
      </w:r>
      <w:r w:rsidR="00021E72" w:rsidRPr="00E17DD6">
        <w:t>технически</w:t>
      </w:r>
      <w:r w:rsidR="00021E72">
        <w:t>е</w:t>
      </w:r>
      <w:r w:rsidR="00021E72" w:rsidRPr="00E17DD6">
        <w:t xml:space="preserve"> элемент</w:t>
      </w:r>
      <w:r w:rsidR="00021E72">
        <w:t>ы</w:t>
      </w:r>
      <w:r w:rsidR="00021E72" w:rsidRPr="00E17DD6">
        <w:t>, которые представляют собой описание формата обмена на основе модели унифицированного языка моделирования (UML), определения расширенной схемы языка разметки (XSD), языка описания веб-услуг (WSDL).</w:t>
      </w:r>
    </w:p>
    <w:p w:rsidR="00021E72" w:rsidRPr="00E17DD6" w:rsidRDefault="00021E72" w:rsidP="00021E72">
      <w:pPr>
        <w:pStyle w:val="Bullet1G"/>
        <w:numPr>
          <w:ilvl w:val="0"/>
          <w:numId w:val="0"/>
        </w:numPr>
        <w:ind w:left="1134"/>
        <w:rPr>
          <w:color w:val="000000"/>
        </w:rPr>
      </w:pPr>
      <w:r w:rsidRPr="00E17DD6">
        <w:t>5.</w:t>
      </w:r>
      <w:r w:rsidRPr="00E17DD6">
        <w:tab/>
        <w:t>ЕЭК ООН и ОТИФ опубликуют список пользователей и ДС1, уведомленных пользователями о настоящих Руководящих положениях, в качестве информации по странам.</w:t>
      </w:r>
      <w:bookmarkStart w:id="1" w:name="_GoBack1"/>
      <w:bookmarkEnd w:id="1"/>
    </w:p>
    <w:p w:rsidR="00021E72" w:rsidRPr="00E17DD6" w:rsidRDefault="00021E72" w:rsidP="00021E72">
      <w:pPr>
        <w:pStyle w:val="Bullet1G"/>
        <w:numPr>
          <w:ilvl w:val="0"/>
          <w:numId w:val="0"/>
        </w:numPr>
        <w:ind w:left="1134"/>
        <w:rPr>
          <w:color w:val="000000"/>
        </w:rPr>
      </w:pPr>
      <w:r w:rsidRPr="0005131C">
        <w:rPr>
          <w:b/>
          <w:bCs/>
        </w:rPr>
        <w:t>[</w:t>
      </w:r>
      <w:r w:rsidRPr="00E17DD6">
        <w:rPr>
          <w:b/>
          <w:bCs/>
          <w:u w:val="single"/>
        </w:rPr>
        <w:t xml:space="preserve">КОММЕНТАРИЙ: согласовать с ЕЭК ООН и ОТИФ </w:t>
      </w:r>
      <w:r w:rsidRPr="00B61079">
        <w:rPr>
          <w:b/>
          <w:bCs/>
          <w:u w:val="single"/>
        </w:rPr>
        <w:t>–</w:t>
      </w:r>
      <w:r w:rsidRPr="00E17DD6">
        <w:rPr>
          <w:b/>
          <w:bCs/>
          <w:u w:val="single"/>
        </w:rPr>
        <w:t xml:space="preserve"> Возможно, что будет более понятно, если включить этих пользователей в отдельный всеобъемлющий перечень</w:t>
      </w:r>
      <w:r w:rsidRPr="0005131C">
        <w:rPr>
          <w:b/>
          <w:bCs/>
        </w:rPr>
        <w:t>]</w:t>
      </w:r>
    </w:p>
    <w:p w:rsidR="00021E72" w:rsidRPr="00E17DD6" w:rsidRDefault="00021E72" w:rsidP="00021E72">
      <w:pPr>
        <w:pStyle w:val="H23G"/>
        <w:tabs>
          <w:tab w:val="clear" w:pos="851"/>
        </w:tabs>
        <w:rPr>
          <w:color w:val="000000"/>
        </w:rPr>
      </w:pPr>
      <w:r w:rsidRPr="00E17DD6">
        <w:tab/>
      </w:r>
      <w:r w:rsidRPr="00E17DD6">
        <w:rPr>
          <w:bCs/>
        </w:rPr>
        <w:t>Раздел 1</w:t>
      </w:r>
      <w:r>
        <w:rPr>
          <w:bCs/>
        </w:rPr>
        <w:tab/>
      </w:r>
      <w:r w:rsidRPr="00E17DD6">
        <w:rPr>
          <w:bCs/>
        </w:rPr>
        <w:t>Сфера охвата</w:t>
      </w:r>
    </w:p>
    <w:p w:rsidR="00021E72" w:rsidRPr="00E17DD6" w:rsidRDefault="00021E72" w:rsidP="00021E72">
      <w:pPr>
        <w:pStyle w:val="SingleTxtG"/>
      </w:pPr>
      <w:r w:rsidRPr="00E17DD6">
        <w:t>6.</w:t>
      </w:r>
      <w:r w:rsidRPr="00E17DD6">
        <w:tab/>
        <w:t>Положения пункта 5.4.0.2 МПОГ/ДОПОГ/ВОПОГ считаются выполненными в случае соблюдения условий, изложенных в приложении. Для целей настоящих Руководящих положений электронный транспортный документ представляет собой электронную документацию с изложением информации, указываемой в транспортном документе в соответствии с разделом 5.4.1 МПОГ/ДОПОГ/ВОПОГ.</w:t>
      </w:r>
    </w:p>
    <w:p w:rsidR="00021E72" w:rsidRPr="00E17DD6" w:rsidRDefault="00021E72" w:rsidP="00021E72">
      <w:pPr>
        <w:pStyle w:val="H23G"/>
        <w:rPr>
          <w:color w:val="000000"/>
        </w:rPr>
      </w:pPr>
      <w:r w:rsidRPr="00E17DD6">
        <w:lastRenderedPageBreak/>
        <w:tab/>
      </w:r>
      <w:r w:rsidRPr="00E17DD6">
        <w:tab/>
      </w:r>
      <w:r w:rsidRPr="00E17DD6">
        <w:rPr>
          <w:bCs/>
        </w:rPr>
        <w:t>Раздел 2</w:t>
      </w:r>
      <w:r>
        <w:rPr>
          <w:bCs/>
        </w:rPr>
        <w:tab/>
      </w:r>
      <w:r w:rsidRPr="00E17DD6">
        <w:rPr>
          <w:bCs/>
        </w:rPr>
        <w:t xml:space="preserve">Принципы, касающиеся внесения поправок в Руководящие </w:t>
      </w:r>
      <w:r w:rsidR="0005131C">
        <w:rPr>
          <w:bCs/>
        </w:rPr>
        <w:tab/>
      </w:r>
      <w:r w:rsidR="0005131C">
        <w:rPr>
          <w:bCs/>
        </w:rPr>
        <w:tab/>
      </w:r>
      <w:r w:rsidR="0005131C">
        <w:rPr>
          <w:bCs/>
        </w:rPr>
        <w:tab/>
      </w:r>
      <w:r w:rsidR="0005131C">
        <w:rPr>
          <w:bCs/>
        </w:rPr>
        <w:tab/>
      </w:r>
      <w:r w:rsidRPr="00E17DD6">
        <w:rPr>
          <w:bCs/>
        </w:rPr>
        <w:t>положения</w:t>
      </w:r>
    </w:p>
    <w:p w:rsidR="00021E72" w:rsidRPr="00E17DD6" w:rsidRDefault="00021E72" w:rsidP="00021E72">
      <w:pPr>
        <w:pStyle w:val="H4G"/>
      </w:pPr>
      <w:r w:rsidRPr="00E17DD6">
        <w:tab/>
      </w:r>
      <w:r w:rsidRPr="00E17DD6">
        <w:tab/>
      </w:r>
      <w:r w:rsidRPr="00E17DD6">
        <w:rPr>
          <w:iCs/>
        </w:rPr>
        <w:t>Общие аспекты</w:t>
      </w:r>
    </w:p>
    <w:p w:rsidR="00021E72" w:rsidRPr="00E17DD6" w:rsidRDefault="00021E72" w:rsidP="00021E72">
      <w:pPr>
        <w:pStyle w:val="SingleTxtG"/>
        <w:rPr>
          <w:color w:val="000000"/>
        </w:rPr>
      </w:pPr>
      <w:r w:rsidRPr="00E17DD6">
        <w:t>7.</w:t>
      </w:r>
      <w:r w:rsidRPr="00E17DD6">
        <w:tab/>
        <w:t>В Руководящие положения изменения могут вноситься на ежегодной конференции или посредством письменной процедуры.</w:t>
      </w:r>
    </w:p>
    <w:p w:rsidR="00021E72" w:rsidRPr="00E17DD6" w:rsidRDefault="00021E72" w:rsidP="00021E72">
      <w:pPr>
        <w:pStyle w:val="SingleTxtG"/>
        <w:rPr>
          <w:color w:val="000000"/>
        </w:rPr>
      </w:pPr>
      <w:r w:rsidRPr="00E17DD6">
        <w:t>8.</w:t>
      </w:r>
      <w:r w:rsidRPr="00E17DD6">
        <w:tab/>
        <w:t>Ежегодные конференции или письменные процедуры должны планироваться таким образом, чтобы можно было принимать во внимание поправки, внесенные в международные транспортные правила МПОГ/ДОПОГ/ВОПОГ и/или соответствующие п</w:t>
      </w:r>
      <w:r>
        <w:t>оложения</w:t>
      </w:r>
      <w:r w:rsidRPr="00E17DD6">
        <w:t xml:space="preserve">. </w:t>
      </w:r>
    </w:p>
    <w:p w:rsidR="00021E72" w:rsidRPr="00E17DD6" w:rsidRDefault="00021E72" w:rsidP="00021E72">
      <w:pPr>
        <w:pStyle w:val="SingleTxtG"/>
        <w:rPr>
          <w:color w:val="000000"/>
        </w:rPr>
      </w:pPr>
      <w:r w:rsidRPr="00E17DD6">
        <w:t>9.</w:t>
      </w:r>
      <w:r w:rsidRPr="00E17DD6">
        <w:tab/>
        <w:t>За конференцию или письменную процедуру должен отвечать один из пользователей настоящих Руководящих положений, как правило в следующем порядке: Франция, Германия и Италия. Председатель принимающей стороны отвечает за организацию у себя совещания и обеспечивает справочную документацию.</w:t>
      </w:r>
    </w:p>
    <w:p w:rsidR="00021E72" w:rsidRPr="00E17DD6" w:rsidRDefault="00021E72" w:rsidP="00021E72">
      <w:pPr>
        <w:pStyle w:val="SingleTxtG"/>
        <w:rPr>
          <w:color w:val="000000"/>
          <w:u w:val="single"/>
        </w:rPr>
      </w:pPr>
      <w:r w:rsidRPr="0005131C">
        <w:rPr>
          <w:b/>
          <w:bCs/>
        </w:rPr>
        <w:t>[</w:t>
      </w:r>
      <w:r w:rsidRPr="00E17DD6">
        <w:rPr>
          <w:b/>
          <w:bCs/>
          <w:u w:val="single"/>
        </w:rPr>
        <w:t>КОММЕНТАРИЙ: перечень принимающих стран может видоизменяться в случае необходимости в ходе ежегодных конференций в зависимости от перечня пользователей, сообщивших об использовании Руководящих положений</w:t>
      </w:r>
      <w:r w:rsidRPr="0005131C">
        <w:rPr>
          <w:b/>
          <w:bCs/>
        </w:rPr>
        <w:t>]</w:t>
      </w:r>
    </w:p>
    <w:p w:rsidR="00021E72" w:rsidRPr="00E17DD6" w:rsidRDefault="00021E72" w:rsidP="00021E72">
      <w:pPr>
        <w:pStyle w:val="SingleTxtG"/>
        <w:rPr>
          <w:color w:val="000000"/>
        </w:rPr>
      </w:pPr>
      <w:r w:rsidRPr="00E17DD6">
        <w:t>10.</w:t>
      </w:r>
      <w:r w:rsidRPr="00E17DD6">
        <w:tab/>
        <w:t xml:space="preserve">Каждый </w:t>
      </w:r>
      <w:r w:rsidRPr="00E17DD6">
        <w:rPr>
          <w:b/>
          <w:bCs/>
        </w:rPr>
        <w:t>пользователь</w:t>
      </w:r>
      <w:r w:rsidRPr="00E17DD6">
        <w:t xml:space="preserve"> может предложить поправки к настоящим Руководящим положениям. Пользователи должны согласовать поправки на основе консенсуса.</w:t>
      </w:r>
    </w:p>
    <w:p w:rsidR="00021E72" w:rsidRPr="00E17DD6" w:rsidRDefault="00021E72" w:rsidP="00021E72">
      <w:pPr>
        <w:pStyle w:val="SingleTxtG"/>
        <w:rPr>
          <w:color w:val="000000"/>
        </w:rPr>
      </w:pPr>
      <w:r w:rsidRPr="00E17DD6">
        <w:t>11.</w:t>
      </w:r>
      <w:r w:rsidRPr="00E17DD6">
        <w:tab/>
        <w:t>После принятия новых поправок пересмотренные Руководящие положения должны быть вновь изданы и распространены принимающей стороной. Измененные части текста должны быть о</w:t>
      </w:r>
      <w:r>
        <w:t>т</w:t>
      </w:r>
      <w:r w:rsidRPr="00E17DD6">
        <w:t>мечены на полях.</w:t>
      </w:r>
    </w:p>
    <w:p w:rsidR="00021E72" w:rsidRPr="00E17DD6" w:rsidRDefault="00021E72" w:rsidP="00021E72">
      <w:pPr>
        <w:pStyle w:val="SingleTxtG"/>
        <w:rPr>
          <w:color w:val="000000"/>
        </w:rPr>
      </w:pPr>
      <w:r w:rsidRPr="00E17DD6">
        <w:t>12.</w:t>
      </w:r>
      <w:r w:rsidRPr="00E17DD6">
        <w:tab/>
        <w:t>Пересмотренные Руководящие положения вступают в силу через шесть месяцев после того, как будет составлен новый текст, если не будет принято иное решение.</w:t>
      </w:r>
    </w:p>
    <w:p w:rsidR="00021E72" w:rsidRPr="00E17DD6" w:rsidRDefault="00021E72" w:rsidP="00021E72">
      <w:pPr>
        <w:pStyle w:val="SingleTxtG"/>
        <w:rPr>
          <w:color w:val="000000"/>
        </w:rPr>
      </w:pPr>
      <w:r w:rsidRPr="00E17DD6">
        <w:t>13.</w:t>
      </w:r>
      <w:r w:rsidRPr="00E17DD6">
        <w:tab/>
        <w:t xml:space="preserve">Распространение и </w:t>
      </w:r>
      <w:r>
        <w:t>взаимодействие</w:t>
      </w:r>
      <w:r w:rsidRPr="00E17DD6">
        <w:t xml:space="preserve"> в целом должны осуществляться с использованием электронных средств.</w:t>
      </w:r>
    </w:p>
    <w:p w:rsidR="00021E72" w:rsidRPr="00E17DD6" w:rsidRDefault="00021E72" w:rsidP="00021E72">
      <w:pPr>
        <w:pStyle w:val="H4G"/>
      </w:pPr>
      <w:r w:rsidRPr="00E17DD6">
        <w:tab/>
      </w:r>
      <w:r w:rsidRPr="00E17DD6">
        <w:tab/>
        <w:t>Конференция</w:t>
      </w:r>
    </w:p>
    <w:p w:rsidR="00021E72" w:rsidRPr="00E17DD6" w:rsidRDefault="00021E72" w:rsidP="00021E72">
      <w:pPr>
        <w:pStyle w:val="SingleTxtG"/>
        <w:rPr>
          <w:color w:val="000000"/>
        </w:rPr>
      </w:pPr>
      <w:r w:rsidRPr="00E17DD6">
        <w:t>14.</w:t>
      </w:r>
      <w:r w:rsidRPr="00E17DD6">
        <w:tab/>
        <w:t>Предложения необходимо направлять принимающей стороне следующей конференции по крайней мере за три месяца до ее начала. Принимающая сторона должна распространить предложения среди всех пользователей и в качестве информации среди всех Договаривающихся сторон/государств-членов и участников Совместного совещания (включая НПО и Европейскую комиссию) по меньшей мере за два месяца до начала конференции. Все пользователи и информированные Договаривающиеся стороны/государства-члены или организации имеют возможность ответить на эти документы в течение периода, заканчивающегося за две недели до начала конференции.</w:t>
      </w:r>
    </w:p>
    <w:p w:rsidR="00021E72" w:rsidRPr="00E17DD6" w:rsidRDefault="00021E72" w:rsidP="00021E72">
      <w:pPr>
        <w:pStyle w:val="SingleTxtG"/>
        <w:rPr>
          <w:color w:val="000000"/>
        </w:rPr>
      </w:pPr>
      <w:r w:rsidRPr="00E17DD6">
        <w:t>15.</w:t>
      </w:r>
      <w:r w:rsidRPr="00E17DD6">
        <w:tab/>
        <w:t>В период между конференциями могут создаваться рабочие группы для рассмотрения специальных вопросов. Доклады или предложения таких рабочих групп должны представляться на конференции таким же образом, как и другие предложения. Заседания рабочих групп могут также иметь место в ходе конференции, о чем, по возможности, следует уведомлять заблаговременно.</w:t>
      </w:r>
    </w:p>
    <w:p w:rsidR="00021E72" w:rsidRPr="00E17DD6" w:rsidRDefault="00021E72" w:rsidP="00021E72">
      <w:pPr>
        <w:pStyle w:val="H4G"/>
      </w:pPr>
      <w:r w:rsidRPr="00E17DD6">
        <w:tab/>
      </w:r>
      <w:r w:rsidRPr="00E17DD6">
        <w:tab/>
      </w:r>
      <w:r w:rsidRPr="00E17DD6">
        <w:rPr>
          <w:iCs/>
        </w:rPr>
        <w:t>Письменная процедура</w:t>
      </w:r>
    </w:p>
    <w:p w:rsidR="00021E72" w:rsidRPr="00E17DD6" w:rsidRDefault="00021E72" w:rsidP="00021E72">
      <w:pPr>
        <w:pStyle w:val="SingleTxtG"/>
        <w:rPr>
          <w:color w:val="000000"/>
        </w:rPr>
      </w:pPr>
      <w:r w:rsidRPr="00E17DD6">
        <w:t>16.</w:t>
      </w:r>
      <w:r w:rsidRPr="00E17DD6">
        <w:tab/>
        <w:t xml:space="preserve">Письменная процедура может использоваться в качестве альтернативы проведению конференции при условии, что это будет предложено пользователем, принимающим следующую конференцию. В этом случае назначенный пользователь </w:t>
      </w:r>
      <w:r>
        <w:t xml:space="preserve">прибегнет к </w:t>
      </w:r>
      <w:r w:rsidRPr="00E17DD6">
        <w:t>письменн</w:t>
      </w:r>
      <w:r>
        <w:t>ой</w:t>
      </w:r>
      <w:r w:rsidRPr="00E17DD6">
        <w:t xml:space="preserve"> процедур</w:t>
      </w:r>
      <w:r>
        <w:t>е</w:t>
      </w:r>
      <w:r w:rsidRPr="00E17DD6">
        <w:t>.</w:t>
      </w:r>
    </w:p>
    <w:p w:rsidR="00021E72" w:rsidRPr="00E17DD6" w:rsidRDefault="00021E72" w:rsidP="00021E72">
      <w:pPr>
        <w:pStyle w:val="SingleTxtG"/>
        <w:rPr>
          <w:color w:val="000000"/>
        </w:rPr>
      </w:pPr>
      <w:r w:rsidRPr="00E17DD6">
        <w:t>17.</w:t>
      </w:r>
      <w:r w:rsidRPr="00E17DD6">
        <w:tab/>
      </w:r>
      <w:r>
        <w:t>К п</w:t>
      </w:r>
      <w:r w:rsidRPr="00E17DD6">
        <w:t>исьменн</w:t>
      </w:r>
      <w:r>
        <w:t>ой</w:t>
      </w:r>
      <w:r w:rsidRPr="00E17DD6">
        <w:t xml:space="preserve"> процедур</w:t>
      </w:r>
      <w:r>
        <w:t>е</w:t>
      </w:r>
      <w:r w:rsidRPr="00E17DD6">
        <w:t xml:space="preserve"> мож</w:t>
      </w:r>
      <w:r>
        <w:t>но</w:t>
      </w:r>
      <w:r w:rsidRPr="00E17DD6">
        <w:t xml:space="preserve"> б</w:t>
      </w:r>
      <w:r>
        <w:t>уде</w:t>
      </w:r>
      <w:r w:rsidRPr="00E17DD6">
        <w:t xml:space="preserve">т </w:t>
      </w:r>
      <w:r>
        <w:t xml:space="preserve">прибегнуть </w:t>
      </w:r>
      <w:r w:rsidRPr="00E17DD6">
        <w:t xml:space="preserve">также </w:t>
      </w:r>
      <w:r>
        <w:t>в том случае</w:t>
      </w:r>
      <w:r w:rsidRPr="00E17DD6">
        <w:t xml:space="preserve">, если об этом </w:t>
      </w:r>
      <w:r>
        <w:t>по</w:t>
      </w:r>
      <w:r w:rsidRPr="00E17DD6">
        <w:t xml:space="preserve">просят по меньшей мере три пользователя. В этом случае </w:t>
      </w:r>
      <w:r>
        <w:t xml:space="preserve">ею воспользуется </w:t>
      </w:r>
      <w:r w:rsidRPr="00E17DD6">
        <w:t>пользователь, который проводил последнюю конференцию.</w:t>
      </w:r>
    </w:p>
    <w:p w:rsidR="00021E72" w:rsidRPr="00E17DD6" w:rsidRDefault="00021E72" w:rsidP="00021E72">
      <w:pPr>
        <w:pStyle w:val="SingleTxtG"/>
        <w:rPr>
          <w:color w:val="000000"/>
        </w:rPr>
      </w:pPr>
      <w:r w:rsidRPr="00E17DD6">
        <w:t>18.</w:t>
      </w:r>
      <w:r w:rsidRPr="00E17DD6">
        <w:tab/>
        <w:t xml:space="preserve">Принимающая сторона распространяет предложения среди пользователей и указывает сроки представления письменных замечаний. Все пользователи должны </w:t>
      </w:r>
      <w:r w:rsidRPr="00E17DD6">
        <w:lastRenderedPageBreak/>
        <w:t>отреагировать на предложения в течение шести недель. Если в первоначальное предложение вносятся поправки на основе замечаний пользователей, то пересмотренное предложение должно быть вн</w:t>
      </w:r>
      <w:r>
        <w:t>овь распространено среди них. С </w:t>
      </w:r>
      <w:r w:rsidRPr="00E17DD6">
        <w:t>момента распространения пересмотренного предложения пользователи в течение четырех недель заявляют о своем согласии с поправками к тексту настоящих Руководящих положений.</w:t>
      </w:r>
    </w:p>
    <w:p w:rsidR="00021E72" w:rsidRPr="00E17DD6" w:rsidRDefault="00021E72" w:rsidP="00021E72">
      <w:pPr>
        <w:pStyle w:val="SingleTxtG"/>
        <w:rPr>
          <w:color w:val="000000"/>
        </w:rPr>
      </w:pPr>
      <w:r w:rsidRPr="00E17DD6">
        <w:t>19.</w:t>
      </w:r>
      <w:r w:rsidRPr="00E17DD6">
        <w:tab/>
        <w:t>Поправки принимаются, если они приняты всеми пользователями. Затем принимающая сторона вновь выпускает и распространяет пересмотренные Руководящие положения в соответствии с пунктом 11 настоящего раздела.</w:t>
      </w:r>
    </w:p>
    <w:p w:rsidR="00021E72" w:rsidRPr="00E17DD6" w:rsidRDefault="00021E72" w:rsidP="00021E72">
      <w:pPr>
        <w:pStyle w:val="SingleTxtG"/>
        <w:rPr>
          <w:color w:val="000000"/>
        </w:rPr>
      </w:pPr>
      <w:r w:rsidRPr="00E17DD6">
        <w:t>20.</w:t>
      </w:r>
      <w:r w:rsidRPr="00E17DD6">
        <w:tab/>
        <w:t xml:space="preserve">Пересмотренные Руководящие положения должны храниться у принимающей стороны, ответственной за письменные процедуры, при этом она обеспечивает онлайновое размещение обновленных справочных файлов UML, XSD и WSDL под названием </w:t>
      </w:r>
      <w:r>
        <w:t>"</w:t>
      </w:r>
      <w:r w:rsidRPr="00E17DD6">
        <w:t>Информация о перевозке eDG</w:t>
      </w:r>
      <w:r>
        <w:t>"</w:t>
      </w:r>
      <w:r w:rsidRPr="00E17DD6">
        <w:t>.</w:t>
      </w:r>
    </w:p>
    <w:p w:rsidR="00021E72" w:rsidRPr="00E17DD6" w:rsidRDefault="00021E72" w:rsidP="00021E72">
      <w:pPr>
        <w:pStyle w:val="SingleTxtG"/>
        <w:rPr>
          <w:color w:val="000000"/>
        </w:rPr>
      </w:pPr>
      <w:r w:rsidRPr="0005131C">
        <w:rPr>
          <w:b/>
          <w:bCs/>
        </w:rPr>
        <w:t>[</w:t>
      </w:r>
      <w:r w:rsidRPr="00E17DD6">
        <w:rPr>
          <w:b/>
          <w:bCs/>
          <w:u w:val="single"/>
        </w:rPr>
        <w:t xml:space="preserve">КОММЕНТАРИЙ: в случае </w:t>
      </w:r>
      <w:r>
        <w:rPr>
          <w:b/>
          <w:bCs/>
          <w:u w:val="single"/>
        </w:rPr>
        <w:t xml:space="preserve">получения </w:t>
      </w:r>
      <w:r w:rsidRPr="00E17DD6">
        <w:rPr>
          <w:b/>
          <w:bCs/>
          <w:u w:val="single"/>
        </w:rPr>
        <w:t>со</w:t>
      </w:r>
      <w:r>
        <w:rPr>
          <w:b/>
          <w:bCs/>
          <w:u w:val="single"/>
        </w:rPr>
        <w:t>гласия, на веб-сайтах ЕЭК ООН и </w:t>
      </w:r>
      <w:r w:rsidRPr="00E17DD6">
        <w:rPr>
          <w:b/>
          <w:bCs/>
          <w:u w:val="single"/>
        </w:rPr>
        <w:t>ОТИФ</w:t>
      </w:r>
      <w:r w:rsidRPr="0005131C">
        <w:rPr>
          <w:b/>
          <w:bCs/>
        </w:rPr>
        <w:t>]</w:t>
      </w:r>
    </w:p>
    <w:p w:rsidR="00021E72" w:rsidRPr="00E17DD6" w:rsidRDefault="00021E72" w:rsidP="00021E72">
      <w:pPr>
        <w:pStyle w:val="H4G"/>
      </w:pPr>
      <w:r w:rsidRPr="00E17DD6">
        <w:tab/>
      </w:r>
      <w:r w:rsidRPr="00E17DD6">
        <w:tab/>
      </w:r>
      <w:r w:rsidRPr="00E17DD6">
        <w:rPr>
          <w:iCs/>
        </w:rPr>
        <w:t>Техническая рабочая группа</w:t>
      </w:r>
    </w:p>
    <w:p w:rsidR="00021E72" w:rsidRPr="00E17DD6" w:rsidRDefault="00021E72" w:rsidP="00021E72">
      <w:pPr>
        <w:pStyle w:val="SingleTxtG"/>
        <w:rPr>
          <w:color w:val="000000"/>
        </w:rPr>
      </w:pPr>
      <w:r w:rsidRPr="00E17DD6">
        <w:t>21.</w:t>
      </w:r>
      <w:r w:rsidRPr="00E17DD6">
        <w:tab/>
        <w:t>ДС1 нес</w:t>
      </w:r>
      <w:r w:rsidR="00AC4EBB">
        <w:t>е</w:t>
      </w:r>
      <w:r w:rsidRPr="00E17DD6">
        <w:t>т ответственность за повседневное обслуживание и ведение системы и сотрудничают в рамках технической рабочей группы, создаваемой для оказания им поддержки в этой работе.</w:t>
      </w:r>
    </w:p>
    <w:p w:rsidR="00021E72" w:rsidRPr="00E17DD6" w:rsidRDefault="00021E72" w:rsidP="00021E72">
      <w:pPr>
        <w:pStyle w:val="SingleTxtG"/>
        <w:rPr>
          <w:color w:val="000000"/>
        </w:rPr>
      </w:pPr>
      <w:r w:rsidRPr="00E17DD6">
        <w:t>22.</w:t>
      </w:r>
      <w:r w:rsidRPr="00E17DD6">
        <w:tab/>
        <w:t xml:space="preserve">В случае серьезных проблем </w:t>
      </w:r>
      <w:r>
        <w:t>в плане взаимодействия</w:t>
      </w:r>
      <w:r w:rsidRPr="00E17DD6">
        <w:t xml:space="preserve"> технические изменения, ограниченные справочными файлами UML, XSD, WSDL</w:t>
      </w:r>
      <w:r>
        <w:t xml:space="preserve"> </w:t>
      </w:r>
      <w:r w:rsidRPr="00E17DD6">
        <w:t>и необходимые для функционирова</w:t>
      </w:r>
      <w:r>
        <w:t>ния системы, которые согласован</w:t>
      </w:r>
      <w:r w:rsidRPr="00E17DD6">
        <w:t>ы технической рабочей группой, принимаются немедленно. Техническая рабочая группа направляет обновленные справочные файлы принимающей стороне, ответственной за последнюю конференцию/письменную процедуру, которая размещает их на своем веб-сайте.</w:t>
      </w:r>
    </w:p>
    <w:p w:rsidR="00021E72" w:rsidRPr="00E17DD6" w:rsidRDefault="00021E72" w:rsidP="00021E72">
      <w:pPr>
        <w:pStyle w:val="SingleTxtG"/>
        <w:rPr>
          <w:b/>
          <w:bCs/>
          <w:color w:val="000000"/>
          <w:u w:val="single"/>
        </w:rPr>
      </w:pPr>
      <w:r w:rsidRPr="0005131C">
        <w:rPr>
          <w:b/>
          <w:bCs/>
        </w:rPr>
        <w:t>[</w:t>
      </w:r>
      <w:r w:rsidRPr="00E17DD6">
        <w:rPr>
          <w:b/>
          <w:bCs/>
          <w:u w:val="single"/>
        </w:rPr>
        <w:t>КОММЕНТАРИЙ: в зависимости от возможностей, предпочтительно</w:t>
      </w:r>
      <w:r w:rsidRPr="00AC4EBB">
        <w:rPr>
          <w:b/>
          <w:bCs/>
          <w:u w:val="single"/>
        </w:rPr>
        <w:t xml:space="preserve"> на веб-сайте</w:t>
      </w:r>
      <w:r w:rsidRPr="00E17DD6">
        <w:rPr>
          <w:b/>
          <w:bCs/>
          <w:u w:val="single"/>
        </w:rPr>
        <w:t xml:space="preserve"> ЕЭК ООН/ОТИФ, как указано выше</w:t>
      </w:r>
      <w:r w:rsidRPr="00E17DD6">
        <w:rPr>
          <w:b/>
          <w:bCs/>
        </w:rPr>
        <w:t>]</w:t>
      </w:r>
    </w:p>
    <w:p w:rsidR="00021E72" w:rsidRPr="00E17DD6" w:rsidRDefault="00021E72" w:rsidP="00021E72">
      <w:pPr>
        <w:pStyle w:val="SingleTxtG"/>
        <w:rPr>
          <w:color w:val="000000"/>
        </w:rPr>
      </w:pPr>
      <w:r w:rsidRPr="00E17DD6">
        <w:t>23.</w:t>
      </w:r>
      <w:r w:rsidRPr="00E17DD6">
        <w:tab/>
        <w:t xml:space="preserve">Предложения согласно приложению А, </w:t>
      </w:r>
      <w:r>
        <w:t xml:space="preserve">пункт </w:t>
      </w:r>
      <w:r w:rsidRPr="00E17DD6">
        <w:t>1 b) iv), могут быть представлены в рамках ежегодной конференции либо письменной процедуры для согласования.</w:t>
      </w:r>
    </w:p>
    <w:p w:rsidR="00021E72" w:rsidRPr="00E17DD6" w:rsidRDefault="00021E72" w:rsidP="00021E72">
      <w:pPr>
        <w:suppressAutoHyphens w:val="0"/>
        <w:spacing w:line="240" w:lineRule="auto"/>
        <w:rPr>
          <w:color w:val="000000"/>
        </w:rPr>
      </w:pPr>
      <w:r w:rsidRPr="00E17DD6">
        <w:rPr>
          <w:color w:val="000000"/>
        </w:rPr>
        <w:br w:type="page"/>
      </w:r>
    </w:p>
    <w:p w:rsidR="00021E72" w:rsidRPr="00E17DD6" w:rsidRDefault="00021E72" w:rsidP="00021E72">
      <w:pPr>
        <w:pStyle w:val="HChG"/>
      </w:pPr>
      <w:r w:rsidRPr="00E17DD6">
        <w:rPr>
          <w:bCs/>
        </w:rPr>
        <w:lastRenderedPageBreak/>
        <w:t>Приложение А</w:t>
      </w:r>
    </w:p>
    <w:p w:rsidR="00021E72" w:rsidRPr="00E17DD6" w:rsidRDefault="00021E72" w:rsidP="00021E72">
      <w:pPr>
        <w:pStyle w:val="H1G"/>
      </w:pPr>
      <w:r>
        <w:tab/>
      </w:r>
      <w:r w:rsidRPr="00E17DD6">
        <w:t>1.</w:t>
      </w:r>
      <w:r w:rsidRPr="00E17DD6">
        <w:tab/>
      </w:r>
      <w:r w:rsidRPr="00E17DD6">
        <w:rPr>
          <w:bCs/>
        </w:rPr>
        <w:t xml:space="preserve">Принципы </w:t>
      </w:r>
      <w:r>
        <w:rPr>
          <w:bCs/>
        </w:rPr>
        <w:t>взаимодействия между различными ДС1 и ДС2 и </w:t>
      </w:r>
      <w:r w:rsidRPr="00E17DD6">
        <w:rPr>
          <w:bCs/>
        </w:rPr>
        <w:t>компетентными властями в отношении транспортных документов</w:t>
      </w:r>
    </w:p>
    <w:p w:rsidR="00021E72" w:rsidRPr="00E17DD6" w:rsidRDefault="00021E72" w:rsidP="00021E72">
      <w:pPr>
        <w:pStyle w:val="SingleTxtG"/>
        <w:ind w:left="1701" w:hanging="567"/>
        <w:rPr>
          <w:color w:val="000000"/>
        </w:rPr>
      </w:pPr>
      <w:r w:rsidRPr="00E17DD6">
        <w:t>a)</w:t>
      </w:r>
      <w:r w:rsidRPr="00E17DD6">
        <w:tab/>
        <w:t xml:space="preserve">ДС1 может быть публичной или частной компанией. Оператор ДС1 должен действовать в соответствии с условиями сертификации, определенными в подпункте b). Доступ к информации, обеспечиваемый ДС1, должен быть бесплатным для других ДС1 и органов власти. В государстве может быть одно или несколько ДС1 для каждого пользователя. Пользователь не обязан создавать ДС1, поскольку он может принять решение использовать функции/услуги, предоставляемые иностранным(и) ДС1. Принимаются также ДС1 </w:t>
      </w:r>
      <w:r>
        <w:t xml:space="preserve">без </w:t>
      </w:r>
      <w:r w:rsidRPr="00E17DD6">
        <w:t>зарегистрированных ДС2.</w:t>
      </w:r>
    </w:p>
    <w:p w:rsidR="00021E72" w:rsidRPr="00E17DD6" w:rsidRDefault="00021E72" w:rsidP="00021E72">
      <w:pPr>
        <w:pStyle w:val="SingleTxtG"/>
        <w:ind w:left="1701" w:hanging="567"/>
        <w:rPr>
          <w:color w:val="000000"/>
        </w:rPr>
      </w:pPr>
      <w:r w:rsidRPr="00E17DD6">
        <w:t>b)</w:t>
      </w:r>
      <w:r w:rsidRPr="00E17DD6">
        <w:tab/>
      </w:r>
      <w:r>
        <w:rPr>
          <w:b/>
          <w:bCs/>
        </w:rPr>
        <w:t>Аттестованные</w:t>
      </w:r>
      <w:r w:rsidRPr="00E17DD6">
        <w:rPr>
          <w:b/>
          <w:bCs/>
        </w:rPr>
        <w:t xml:space="preserve"> образования ДС1 (</w:t>
      </w:r>
      <w:r>
        <w:t>"</w:t>
      </w:r>
      <w:r w:rsidRPr="00E17DD6">
        <w:rPr>
          <w:b/>
          <w:bCs/>
        </w:rPr>
        <w:t>сертификация ДС1</w:t>
      </w:r>
      <w:r>
        <w:t>"</w:t>
      </w:r>
      <w:r w:rsidRPr="00E17DD6">
        <w:rPr>
          <w:b/>
          <w:bCs/>
        </w:rPr>
        <w:t>):</w:t>
      </w:r>
    </w:p>
    <w:p w:rsidR="00021E72" w:rsidRPr="00E17DD6" w:rsidRDefault="00021E72" w:rsidP="00021E72">
      <w:pPr>
        <w:pStyle w:val="SingleTxtG"/>
        <w:ind w:left="2127" w:hanging="426"/>
        <w:rPr>
          <w:color w:val="000000"/>
        </w:rPr>
      </w:pPr>
      <w:r w:rsidRPr="00E17DD6">
        <w:t>i)</w:t>
      </w:r>
      <w:r w:rsidRPr="00E17DD6">
        <w:tab/>
        <w:t xml:space="preserve">Австрия, Германия, Италия и Франция уже определили первоначальный </w:t>
      </w:r>
      <w:r>
        <w:t xml:space="preserve">перечень возможных </w:t>
      </w:r>
      <w:r w:rsidRPr="00E17DD6">
        <w:t xml:space="preserve">ДС1 (в настоящее время </w:t>
      </w:r>
      <w:r>
        <w:t xml:space="preserve">к ним относятся </w:t>
      </w:r>
      <w:r w:rsidRPr="00E17DD6">
        <w:t xml:space="preserve">DiGiDO в Австрии, NeoGLS и Novacom Services во Франции, GBK в Германии и Министерство транспорта Италии и UIRNet в Италии). </w:t>
      </w:r>
    </w:p>
    <w:p w:rsidR="00021E72" w:rsidRPr="00E17DD6" w:rsidRDefault="00021E72" w:rsidP="00021E72">
      <w:pPr>
        <w:pStyle w:val="SingleTxtG"/>
        <w:ind w:left="2127"/>
        <w:rPr>
          <w:color w:val="000000"/>
        </w:rPr>
      </w:pPr>
      <w:r w:rsidRPr="00E17DD6">
        <w:rPr>
          <w:b/>
          <w:bCs/>
        </w:rPr>
        <w:t xml:space="preserve">Пользователи </w:t>
      </w:r>
      <w:r w:rsidRPr="00E17DD6">
        <w:t xml:space="preserve">могут </w:t>
      </w:r>
      <w:r>
        <w:t xml:space="preserve">предлагать кандидатуры </w:t>
      </w:r>
      <w:r w:rsidRPr="00E17DD6">
        <w:t>дополнительны</w:t>
      </w:r>
      <w:r>
        <w:t>х</w:t>
      </w:r>
      <w:r w:rsidRPr="00E17DD6">
        <w:t xml:space="preserve"> ДС1. </w:t>
      </w:r>
    </w:p>
    <w:p w:rsidR="00021E72" w:rsidRPr="00E17DD6" w:rsidRDefault="00021E72" w:rsidP="00021E72">
      <w:pPr>
        <w:pStyle w:val="SingleTxtG"/>
        <w:ind w:left="2127" w:hanging="426"/>
        <w:rPr>
          <w:color w:val="000000"/>
        </w:rPr>
      </w:pPr>
      <w:r w:rsidRPr="00E17DD6">
        <w:t>ii)</w:t>
      </w:r>
      <w:r w:rsidRPr="00E17DD6">
        <w:tab/>
        <w:t xml:space="preserve">В отношении будущих операций этот список </w:t>
      </w:r>
      <w:r>
        <w:t xml:space="preserve">аттестованных </w:t>
      </w:r>
      <w:r w:rsidRPr="00E17DD6">
        <w:t xml:space="preserve">образований ДС1 (доверенный список ДС1), включая всю соответствующую информацию для </w:t>
      </w:r>
      <w:r>
        <w:t xml:space="preserve">целей </w:t>
      </w:r>
      <w:r w:rsidRPr="00E17DD6">
        <w:t>идентификации, должен быть сдан на хранение в ЕЭК ООН для автомобильного транспорта и внутреннего судоходства и, возможно, в ЕЖДА/ОТИФ для железнодорожного транспорта; ЕЭК ООН/ЕЖДА/ОТИФ следует также вести этот список и публиковать выдержки из него в объеме, необходимом для системы. Следовательно, эти учреждения возьмут на себя функции управляющего доверенного списка.</w:t>
      </w:r>
    </w:p>
    <w:p w:rsidR="00021E72" w:rsidRPr="00E17DD6" w:rsidRDefault="00021E72" w:rsidP="00021E72">
      <w:pPr>
        <w:pStyle w:val="SingleTxtG"/>
        <w:ind w:left="2127" w:hanging="426"/>
        <w:rPr>
          <w:color w:val="000000"/>
        </w:rPr>
      </w:pPr>
      <w:r w:rsidRPr="00E17DD6">
        <w:t>iii)</w:t>
      </w:r>
      <w:r w:rsidRPr="00E17DD6">
        <w:tab/>
        <w:t xml:space="preserve">Управляющие доверенного списка направляют информацию, в том числе обновленную, о доверенном списке ДС1 всем </w:t>
      </w:r>
      <w:r>
        <w:t xml:space="preserve">аттестованным </w:t>
      </w:r>
      <w:r w:rsidR="0005131C">
        <w:t>ДС1 (т. е. </w:t>
      </w:r>
      <w:r w:rsidRPr="00E17DD6">
        <w:t xml:space="preserve">последние будут осведомлены о других </w:t>
      </w:r>
      <w:r>
        <w:t>а</w:t>
      </w:r>
      <w:r w:rsidRPr="006D320B">
        <w:rPr>
          <w:bCs/>
        </w:rPr>
        <w:t>ттестованных</w:t>
      </w:r>
      <w:r>
        <w:rPr>
          <w:bCs/>
        </w:rPr>
        <w:t xml:space="preserve"> </w:t>
      </w:r>
      <w:r w:rsidRPr="00E17DD6">
        <w:t>образованиях ДС1).</w:t>
      </w:r>
    </w:p>
    <w:p w:rsidR="00021E72" w:rsidRPr="00E17DD6" w:rsidRDefault="00021E72" w:rsidP="00021E72">
      <w:pPr>
        <w:pStyle w:val="SingleTxtG"/>
        <w:ind w:left="2127" w:hanging="426"/>
        <w:rPr>
          <w:color w:val="000000"/>
        </w:rPr>
      </w:pPr>
      <w:r w:rsidRPr="00E17DD6">
        <w:t>iv)</w:t>
      </w:r>
      <w:r w:rsidRPr="00E17DD6">
        <w:tab/>
        <w:t>Более подробные требования, которым должна отвечать ДС1, еще необходимо определить и описать, и о</w:t>
      </w:r>
      <w:r w:rsidR="00AC4EBB">
        <w:t>ни будут добавлены в будущем. С </w:t>
      </w:r>
      <w:r w:rsidRPr="00E17DD6">
        <w:t xml:space="preserve">тем чтобы заложить прочные основы для определения этих требований вышеупомянутым компаниям/образованиям предстоит разработать соответствующие правила и представить доклады. Эти требования в отношении признания затем могут быть обсуждены и подтверждены </w:t>
      </w:r>
      <w:r w:rsidRPr="00E17DD6">
        <w:rPr>
          <w:b/>
          <w:bCs/>
        </w:rPr>
        <w:t>пользователями</w:t>
      </w:r>
      <w:r w:rsidRPr="00F476D1">
        <w:rPr>
          <w:bCs/>
        </w:rPr>
        <w:t>.</w:t>
      </w:r>
      <w:r w:rsidRPr="00E17DD6">
        <w:t xml:space="preserve"> </w:t>
      </w:r>
      <w:r>
        <w:t>Он</w:t>
      </w:r>
      <w:r w:rsidRPr="00E17DD6">
        <w:t>и должны будут применяться в отношении других заинтересованных компаний.</w:t>
      </w:r>
    </w:p>
    <w:p w:rsidR="00021E72" w:rsidRPr="00E17DD6" w:rsidRDefault="00021E72" w:rsidP="00021E72">
      <w:pPr>
        <w:pStyle w:val="SingleTxtG"/>
        <w:ind w:left="1701" w:hanging="567"/>
        <w:rPr>
          <w:color w:val="000000"/>
        </w:rPr>
      </w:pPr>
      <w:r w:rsidRPr="00E17DD6">
        <w:t>c)</w:t>
      </w:r>
      <w:r w:rsidRPr="00E17DD6">
        <w:tab/>
      </w:r>
      <w:r w:rsidRPr="00E17DD6">
        <w:rPr>
          <w:b/>
          <w:bCs/>
        </w:rPr>
        <w:t>Применяются следующие "Правила":</w:t>
      </w:r>
    </w:p>
    <w:p w:rsidR="00021E72" w:rsidRPr="00E17DD6" w:rsidRDefault="00021E72" w:rsidP="00021E72">
      <w:pPr>
        <w:pStyle w:val="SingleTxtG"/>
        <w:ind w:left="2127" w:hanging="426"/>
        <w:rPr>
          <w:color w:val="000000"/>
        </w:rPr>
      </w:pPr>
      <w:r w:rsidRPr="00E17DD6">
        <w:t>i)</w:t>
      </w:r>
      <w:r w:rsidRPr="00E17DD6">
        <w:tab/>
        <w:t xml:space="preserve">Пользователь настоящих Руководящих положений может выдвинуть кандидатуру только той ДС1, которая учреждена в его стране. Такая ДС1, соответствующая требованию настоящих Руководящих положений, получает "информацию о перевозке eDG" от выдвинувшего ее пользователя. Все </w:t>
      </w:r>
      <w:r>
        <w:t>а</w:t>
      </w:r>
      <w:r w:rsidRPr="006D320B">
        <w:rPr>
          <w:bCs/>
        </w:rPr>
        <w:t>ттестованны</w:t>
      </w:r>
      <w:r>
        <w:rPr>
          <w:bCs/>
        </w:rPr>
        <w:t xml:space="preserve">е </w:t>
      </w:r>
      <w:r w:rsidRPr="00E17DD6">
        <w:t xml:space="preserve">образования ДС1 должны </w:t>
      </w:r>
      <w:r>
        <w:t xml:space="preserve">в полном объеме </w:t>
      </w:r>
      <w:r w:rsidRPr="00E17DD6">
        <w:t>поддерживать основанную на XSD схему файла "Информация о перевозке eDG" для целей обмена данными.</w:t>
      </w:r>
    </w:p>
    <w:p w:rsidR="00021E72" w:rsidRPr="00E17DD6" w:rsidRDefault="00021E72" w:rsidP="00021E72">
      <w:pPr>
        <w:pStyle w:val="SingleTxtG"/>
        <w:ind w:left="2127" w:hanging="426"/>
        <w:rPr>
          <w:color w:val="000000"/>
        </w:rPr>
      </w:pPr>
      <w:r w:rsidRPr="00E17DD6">
        <w:t>ii)</w:t>
      </w:r>
      <w:r w:rsidRPr="00E17DD6">
        <w:tab/>
        <w:t>ДС1 должны принимать заявки от других ДС1.</w:t>
      </w:r>
    </w:p>
    <w:p w:rsidR="00021E72" w:rsidRPr="00E17DD6" w:rsidRDefault="00021E72" w:rsidP="00021E72">
      <w:pPr>
        <w:pStyle w:val="SingleTxtG"/>
        <w:ind w:left="2127" w:hanging="426"/>
        <w:rPr>
          <w:color w:val="000000"/>
        </w:rPr>
      </w:pPr>
      <w:r w:rsidRPr="00E17DD6">
        <w:t>iii)</w:t>
      </w:r>
      <w:r w:rsidRPr="00E17DD6">
        <w:tab/>
        <w:t>ДС1 должны признавать все зарегистрированные ДС2.</w:t>
      </w:r>
    </w:p>
    <w:p w:rsidR="00021E72" w:rsidRPr="00E17DD6" w:rsidRDefault="00021E72" w:rsidP="00021E72">
      <w:pPr>
        <w:pStyle w:val="SingleTxtG"/>
        <w:ind w:left="2127" w:hanging="426"/>
        <w:rPr>
          <w:color w:val="000000"/>
        </w:rPr>
      </w:pPr>
      <w:r w:rsidRPr="00E17DD6">
        <w:t>iv)</w:t>
      </w:r>
      <w:r w:rsidRPr="00E17DD6">
        <w:tab/>
        <w:t>ДС1 должны принимать заявки на регистрацию органов, перечисленных в подпункте d).</w:t>
      </w:r>
    </w:p>
    <w:p w:rsidR="00021E72" w:rsidRPr="00E17DD6" w:rsidRDefault="00021E72" w:rsidP="00021E72">
      <w:pPr>
        <w:pStyle w:val="SingleTxtG"/>
        <w:ind w:left="2127" w:hanging="426"/>
        <w:rPr>
          <w:color w:val="000000"/>
        </w:rPr>
      </w:pPr>
      <w:r w:rsidRPr="00E17DD6">
        <w:lastRenderedPageBreak/>
        <w:t>v)</w:t>
      </w:r>
      <w:r w:rsidRPr="00E17DD6">
        <w:tab/>
        <w:t>ДС1 должны принимать заявки от зарегистрированных у них компетентных органов.</w:t>
      </w:r>
    </w:p>
    <w:p w:rsidR="00021E72" w:rsidRPr="00E17DD6" w:rsidRDefault="00021E72" w:rsidP="00021E72">
      <w:pPr>
        <w:pStyle w:val="SingleTxtG"/>
        <w:ind w:left="2127" w:hanging="426"/>
        <w:rPr>
          <w:color w:val="000000"/>
        </w:rPr>
      </w:pPr>
      <w:r w:rsidRPr="00E17DD6">
        <w:t>vi)</w:t>
      </w:r>
      <w:r w:rsidRPr="00E17DD6">
        <w:tab/>
        <w:t>После включения новых ДС1 в доверенный список они должны зарегистрироваться во всех существующих ДС1 с предоставлением всех обязательных контактных данных.</w:t>
      </w:r>
    </w:p>
    <w:p w:rsidR="00021E72" w:rsidRPr="00E17DD6" w:rsidRDefault="00021E72" w:rsidP="00F476D1">
      <w:pPr>
        <w:pStyle w:val="SingleTxtG"/>
        <w:ind w:left="2268" w:hanging="567"/>
        <w:rPr>
          <w:color w:val="000000"/>
        </w:rPr>
      </w:pPr>
      <w:r w:rsidRPr="00E17DD6">
        <w:t>vii)</w:t>
      </w:r>
      <w:r w:rsidRPr="00E17DD6">
        <w:tab/>
        <w:t>ДС1 вправе по своему усмотрению определять ценовую политику, при</w:t>
      </w:r>
      <w:r>
        <w:t>держиваясь при</w:t>
      </w:r>
      <w:r w:rsidRPr="00E17DD6">
        <w:t xml:space="preserve"> этом недискриминационн</w:t>
      </w:r>
      <w:r>
        <w:t>ого</w:t>
      </w:r>
      <w:r w:rsidRPr="00E17DD6">
        <w:t xml:space="preserve"> подход</w:t>
      </w:r>
      <w:r>
        <w:t>а</w:t>
      </w:r>
      <w:r w:rsidRPr="00E17DD6">
        <w:t>.</w:t>
      </w:r>
    </w:p>
    <w:p w:rsidR="00021E72" w:rsidRPr="00E17DD6" w:rsidRDefault="00021E72" w:rsidP="00021E72">
      <w:pPr>
        <w:pStyle w:val="SingleTxtG"/>
        <w:ind w:left="1701" w:hanging="567"/>
        <w:rPr>
          <w:color w:val="000000"/>
        </w:rPr>
      </w:pPr>
      <w:r w:rsidRPr="00E17DD6">
        <w:t>d)</w:t>
      </w:r>
      <w:r w:rsidRPr="00E17DD6">
        <w:tab/>
      </w:r>
      <w:r w:rsidRPr="00E17DD6">
        <w:rPr>
          <w:b/>
          <w:bCs/>
        </w:rPr>
        <w:t xml:space="preserve">Национальная процедура </w:t>
      </w:r>
      <w:r>
        <w:rPr>
          <w:b/>
          <w:bCs/>
        </w:rPr>
        <w:t xml:space="preserve">для </w:t>
      </w:r>
      <w:r w:rsidRPr="00E17DD6">
        <w:rPr>
          <w:b/>
          <w:bCs/>
        </w:rPr>
        <w:t xml:space="preserve">определения органов, имеющих право </w:t>
      </w:r>
      <w:r>
        <w:rPr>
          <w:b/>
          <w:bCs/>
        </w:rPr>
        <w:t xml:space="preserve">направлять </w:t>
      </w:r>
      <w:r w:rsidRPr="00E17DD6">
        <w:rPr>
          <w:b/>
          <w:bCs/>
        </w:rPr>
        <w:t>запросы:</w:t>
      </w:r>
    </w:p>
    <w:p w:rsidR="00021E72" w:rsidRPr="00E17DD6" w:rsidRDefault="00021E72" w:rsidP="00021E72">
      <w:pPr>
        <w:pStyle w:val="SingleTxtG"/>
        <w:ind w:left="2127" w:hanging="426"/>
        <w:rPr>
          <w:color w:val="000000"/>
        </w:rPr>
      </w:pPr>
      <w:r w:rsidRPr="00E17DD6">
        <w:t>i)</w:t>
      </w:r>
      <w:r w:rsidRPr="00E17DD6">
        <w:tab/>
        <w:t xml:space="preserve">Каждый </w:t>
      </w:r>
      <w:r w:rsidRPr="008E10E3">
        <w:rPr>
          <w:b/>
        </w:rPr>
        <w:t>пользователь</w:t>
      </w:r>
      <w:r w:rsidRPr="00E17DD6">
        <w:t xml:space="preserve"> готовит свой собственный перечень органов власти (например</w:t>
      </w:r>
      <w:r w:rsidR="00F476D1">
        <w:t>,</w:t>
      </w:r>
      <w:r w:rsidRPr="00E17DD6">
        <w:t xml:space="preserve"> правоохранительные органы, аварийно-спасательные службы), которые имеют право направ</w:t>
      </w:r>
      <w:r>
        <w:t>ля</w:t>
      </w:r>
      <w:r w:rsidRPr="00E17DD6">
        <w:t>ть запрос</w:t>
      </w:r>
      <w:r>
        <w:t>ы в адрес</w:t>
      </w:r>
      <w:r w:rsidRPr="00E17DD6">
        <w:t xml:space="preserve"> ДС1. </w:t>
      </w:r>
      <w:r w:rsidRPr="008E10E3">
        <w:rPr>
          <w:b/>
        </w:rPr>
        <w:t>Пользователь</w:t>
      </w:r>
      <w:r w:rsidRPr="00E17DD6">
        <w:t xml:space="preserve"> должен также обеспечить включение в него соответствующего сертификата органов власти, как это предусмотрено в пункте </w:t>
      </w:r>
      <w:r>
        <w:t>2</w:t>
      </w:r>
      <w:r w:rsidRPr="00E17DD6">
        <w:t xml:space="preserve"> </w:t>
      </w:r>
      <w:r w:rsidR="00AC4EBB">
        <w:rPr>
          <w:lang w:val="en-US"/>
        </w:rPr>
        <w:t>b</w:t>
      </w:r>
      <w:r w:rsidRPr="00E17DD6">
        <w:t>). Только те органы власти, которые перечислены в этом списке, имеют право регистрироваться при ДС1.</w:t>
      </w:r>
    </w:p>
    <w:p w:rsidR="00021E72" w:rsidRPr="00E17DD6" w:rsidRDefault="00021E72" w:rsidP="00021E72">
      <w:pPr>
        <w:pStyle w:val="SingleTxtG"/>
        <w:ind w:left="2127" w:hanging="426"/>
        <w:rPr>
          <w:color w:val="000000"/>
        </w:rPr>
      </w:pPr>
      <w:r w:rsidRPr="00E17DD6">
        <w:t>ii)</w:t>
      </w:r>
      <w:r w:rsidRPr="00E17DD6">
        <w:tab/>
      </w:r>
      <w:r w:rsidRPr="008E10E3">
        <w:rPr>
          <w:b/>
        </w:rPr>
        <w:t>Пользователь</w:t>
      </w:r>
      <w:r w:rsidRPr="00E17DD6">
        <w:t xml:space="preserve"> отвечает за обновление и ведение этого списка.</w:t>
      </w:r>
    </w:p>
    <w:p w:rsidR="00021E72" w:rsidRPr="00E17DD6" w:rsidRDefault="00021E72" w:rsidP="00021E72">
      <w:pPr>
        <w:pStyle w:val="H1G"/>
        <w:rPr>
          <w:color w:val="000000"/>
        </w:rPr>
      </w:pPr>
      <w:r>
        <w:tab/>
      </w:r>
      <w:r w:rsidRPr="00E17DD6">
        <w:t>2.</w:t>
      </w:r>
      <w:r w:rsidRPr="00E17DD6">
        <w:tab/>
      </w:r>
      <w:r w:rsidRPr="00E17DD6">
        <w:rPr>
          <w:bCs/>
        </w:rPr>
        <w:t>Требования к ДС1 в отношении их функционирования</w:t>
      </w:r>
    </w:p>
    <w:p w:rsidR="00021E72" w:rsidRPr="00E17DD6" w:rsidRDefault="00021E72" w:rsidP="00021E72">
      <w:pPr>
        <w:pStyle w:val="SingleTxtG"/>
        <w:ind w:left="1701" w:hanging="567"/>
        <w:rPr>
          <w:color w:val="000000"/>
        </w:rPr>
      </w:pPr>
      <w:r w:rsidRPr="00E17DD6">
        <w:t>a)</w:t>
      </w:r>
      <w:r w:rsidRPr="00E17DD6">
        <w:tab/>
      </w:r>
      <w:r w:rsidRPr="00E17DD6">
        <w:rPr>
          <w:b/>
          <w:bCs/>
        </w:rPr>
        <w:t>Услуги ДС1</w:t>
      </w:r>
    </w:p>
    <w:p w:rsidR="00021E72" w:rsidRPr="00E17DD6" w:rsidRDefault="00021E72" w:rsidP="00021E72">
      <w:pPr>
        <w:pStyle w:val="SingleTxtG"/>
        <w:ind w:left="2127" w:hanging="426"/>
        <w:rPr>
          <w:color w:val="000000"/>
        </w:rPr>
      </w:pPr>
      <w:r w:rsidRPr="00E17DD6">
        <w:t>i)</w:t>
      </w:r>
      <w:r w:rsidRPr="00E17DD6">
        <w:tab/>
        <w:t xml:space="preserve">Услуги ДС1 и ДС2 изложены с использованием WSDL. </w:t>
      </w:r>
      <w:r>
        <w:t>Как правило</w:t>
      </w:r>
      <w:r w:rsidRPr="00E17DD6">
        <w:t>, доступные извне услуги описаны с указанием их параметров и вводимых значений.</w:t>
      </w:r>
    </w:p>
    <w:p w:rsidR="00021E72" w:rsidRPr="00E17DD6" w:rsidRDefault="00021E72" w:rsidP="00021E72">
      <w:pPr>
        <w:pStyle w:val="SingleTxtG"/>
        <w:ind w:left="2127" w:hanging="426"/>
        <w:rPr>
          <w:color w:val="000000"/>
        </w:rPr>
      </w:pPr>
      <w:r w:rsidRPr="00E17DD6">
        <w:t>ii)</w:t>
      </w:r>
      <w:r w:rsidRPr="00E17DD6">
        <w:tab/>
        <w:t xml:space="preserve">Услуга ДС1 </w:t>
      </w:r>
      <w:r w:rsidR="00F476D1">
        <w:t>"</w:t>
      </w:r>
      <w:r w:rsidRPr="00E17DD6">
        <w:t>getDGTDocument</w:t>
      </w:r>
      <w:r w:rsidR="00F476D1">
        <w:t>"</w:t>
      </w:r>
      <w:r w:rsidRPr="00E17DD6">
        <w:t xml:space="preserve"> позволяет получить конкретный документ о перевозке у конкретного ДС2. Параметры для определения ДС2 и конкретного транспортного документа приводятся в пункте 3 а). Эта услуга доступна только для аварийно-спасательных служб и правоохранительных органов (см. пункт 1 d)). Орган власти запрашивает информацию от ДС1 только по транспортным средствам, находящимся на его территории. Причина обращения должна </w:t>
      </w:r>
      <w:r>
        <w:t xml:space="preserve">быть указана с использованием установленного </w:t>
      </w:r>
      <w:r w:rsidRPr="00E17DD6">
        <w:t>перечня (например</w:t>
      </w:r>
      <w:r w:rsidR="00F476D1">
        <w:t>,</w:t>
      </w:r>
      <w:r w:rsidRPr="00E17DD6">
        <w:t xml:space="preserve"> аварийно-спасательные службы, правоохранительные органы).</w:t>
      </w:r>
    </w:p>
    <w:p w:rsidR="00021E72" w:rsidRPr="00E17DD6" w:rsidRDefault="00021E72" w:rsidP="00021E72">
      <w:pPr>
        <w:pStyle w:val="SingleTxtG"/>
        <w:ind w:left="2127" w:hanging="426"/>
        <w:rPr>
          <w:color w:val="000000"/>
        </w:rPr>
      </w:pPr>
      <w:r w:rsidRPr="00E17DD6">
        <w:t>iii)</w:t>
      </w:r>
      <w:r w:rsidRPr="00E17DD6">
        <w:tab/>
        <w:t xml:space="preserve">Для выполнения требований пункта 5.4.4.1 каждый доступ должен регистрироваться в течение </w:t>
      </w:r>
      <w:r>
        <w:t xml:space="preserve">не менее </w:t>
      </w:r>
      <w:r w:rsidRPr="00E17DD6">
        <w:t>трех месяцев.</w:t>
      </w:r>
    </w:p>
    <w:p w:rsidR="00021E72" w:rsidRPr="00E17DD6" w:rsidRDefault="00021E72" w:rsidP="00021E72">
      <w:pPr>
        <w:pStyle w:val="SingleTxtG"/>
        <w:ind w:left="2127" w:hanging="426"/>
        <w:rPr>
          <w:color w:val="000000"/>
        </w:rPr>
      </w:pPr>
      <w:r w:rsidRPr="00E17DD6">
        <w:t>iv)</w:t>
      </w:r>
      <w:r w:rsidRPr="00E17DD6">
        <w:tab/>
        <w:t>ДС1 должна гарантировать функции своих услуг от начала и до конца перевозки, как это изложено в пункте 3 a), с</w:t>
      </w:r>
      <w:r>
        <w:t xml:space="preserve"> тем чтобы набор данных ДС2 о </w:t>
      </w:r>
      <w:r w:rsidRPr="00E17DD6">
        <w:t>каждой перевозке мог быть передан по запросу правоохранительным органам или аварийно-спасательным службам.</w:t>
      </w:r>
    </w:p>
    <w:p w:rsidR="00021E72" w:rsidRPr="00E17DD6" w:rsidRDefault="00021E72" w:rsidP="00021E72">
      <w:pPr>
        <w:pStyle w:val="SingleTxtG"/>
        <w:ind w:left="1701" w:hanging="567"/>
        <w:rPr>
          <w:color w:val="000000"/>
        </w:rPr>
      </w:pPr>
      <w:r w:rsidRPr="00E17DD6">
        <w:t>b)</w:t>
      </w:r>
      <w:r w:rsidRPr="00E17DD6">
        <w:tab/>
      </w:r>
      <w:r w:rsidRPr="00E17DD6">
        <w:rPr>
          <w:b/>
          <w:bCs/>
        </w:rPr>
        <w:t>Сертификаты</w:t>
      </w:r>
    </w:p>
    <w:p w:rsidR="00021E72" w:rsidRPr="00E17DD6" w:rsidRDefault="00021E72" w:rsidP="00021E72">
      <w:pPr>
        <w:pStyle w:val="SingleTxtG"/>
        <w:ind w:left="2127" w:hanging="426"/>
        <w:rPr>
          <w:color w:val="000000"/>
        </w:rPr>
      </w:pPr>
      <w:r w:rsidRPr="00E17DD6">
        <w:t>i)</w:t>
      </w:r>
      <w:r w:rsidRPr="00E17DD6">
        <w:tab/>
        <w:t>ДС1 должны использовать протокол HTTPS. ДС1 должны иметь статический адрес сетевого протокола IP и сертификат X509 V3, которые будут включены в доверенный список. Аутентификация осуществляется путем проверки подлинности как IP-адреса, так и с</w:t>
      </w:r>
      <w:r>
        <w:t>ертификата</w:t>
      </w:r>
      <w:r w:rsidRPr="00E17DD6">
        <w:t>. Защита данных обеспечивается с помощью криптографического протокола TLS. Сертификаты выдаются в соответствии с национальными правилами пользователей. Обмен сертификатами должен осуществляться непосредственно по защищенным каналам.</w:t>
      </w:r>
    </w:p>
    <w:p w:rsidR="00021E72" w:rsidRPr="00E17DD6" w:rsidRDefault="00021E72" w:rsidP="00021E72">
      <w:pPr>
        <w:pStyle w:val="SingleTxtG"/>
        <w:ind w:left="1701" w:hanging="567"/>
        <w:rPr>
          <w:color w:val="000000"/>
        </w:rPr>
      </w:pPr>
      <w:r w:rsidRPr="00E17DD6">
        <w:t>c)</w:t>
      </w:r>
      <w:r w:rsidRPr="00E17DD6">
        <w:tab/>
      </w:r>
      <w:r w:rsidRPr="00E17DD6">
        <w:rPr>
          <w:b/>
          <w:bCs/>
        </w:rPr>
        <w:t>Процедуры регистрации органов власти и ДС2 при ДС1:</w:t>
      </w:r>
    </w:p>
    <w:p w:rsidR="00021E72" w:rsidRPr="00E17DD6" w:rsidRDefault="00021E72" w:rsidP="0005131C">
      <w:pPr>
        <w:pStyle w:val="SingleTxtG"/>
        <w:ind w:left="2127" w:hanging="426"/>
        <w:rPr>
          <w:color w:val="000000"/>
        </w:rPr>
      </w:pPr>
      <w:r w:rsidRPr="00E17DD6">
        <w:t>i)</w:t>
      </w:r>
      <w:r w:rsidRPr="00E17DD6">
        <w:tab/>
        <w:t>Для обеспечения машинно</w:t>
      </w:r>
      <w:r>
        <w:t>го</w:t>
      </w:r>
      <w:r w:rsidRPr="00E17DD6">
        <w:t xml:space="preserve"> </w:t>
      </w:r>
      <w:r>
        <w:rPr>
          <w:bCs/>
        </w:rPr>
        <w:t>взаимодействия</w:t>
      </w:r>
      <w:r w:rsidRPr="00E17DD6">
        <w:t xml:space="preserve"> ДС1 определяет процедуру регистрации, которая может осуществляться вручную или автоматически.</w:t>
      </w:r>
    </w:p>
    <w:p w:rsidR="00021E72" w:rsidRPr="00E17DD6" w:rsidRDefault="00021E72" w:rsidP="00021E72">
      <w:pPr>
        <w:pStyle w:val="SingleTxtG"/>
        <w:ind w:left="2127"/>
        <w:rPr>
          <w:color w:val="000000"/>
        </w:rPr>
      </w:pPr>
      <w:r w:rsidRPr="00E17DD6">
        <w:lastRenderedPageBreak/>
        <w:t>В том случае, если процедура осуществляется автоматически, она должна основываться на методе, включенном в описание упомянутой в пункте</w:t>
      </w:r>
      <w:r w:rsidR="00F476D1">
        <w:t> </w:t>
      </w:r>
      <w:r w:rsidRPr="00E17DD6">
        <w:t>1)</w:t>
      </w:r>
      <w:r w:rsidR="00F476D1">
        <w:t> </w:t>
      </w:r>
      <w:r w:rsidRPr="00E17DD6">
        <w:t>c) i) веб-услуги. В частности:</w:t>
      </w:r>
    </w:p>
    <w:p w:rsidR="00021E72" w:rsidRPr="00E17DD6" w:rsidRDefault="00021E72" w:rsidP="00021E72">
      <w:pPr>
        <w:pStyle w:val="Bullet1G"/>
        <w:numPr>
          <w:ilvl w:val="0"/>
          <w:numId w:val="24"/>
        </w:numPr>
        <w:ind w:left="2410" w:hanging="283"/>
        <w:rPr>
          <w:color w:val="000000"/>
        </w:rPr>
      </w:pPr>
      <w:r w:rsidRPr="00E17DD6">
        <w:t>Кандидатуры ДС2 будут использовать команду «sendTP2RegistrationRequest» и следующий минимальный набор данных:</w:t>
      </w:r>
    </w:p>
    <w:p w:rsidR="00021E72" w:rsidRPr="00E17DD6" w:rsidRDefault="00021E72" w:rsidP="00021E72">
      <w:pPr>
        <w:pStyle w:val="Bullet2G"/>
        <w:numPr>
          <w:ilvl w:val="0"/>
          <w:numId w:val="23"/>
        </w:numPr>
        <w:ind w:left="2694" w:hanging="284"/>
        <w:rPr>
          <w:color w:val="000000"/>
        </w:rPr>
      </w:pPr>
      <w:r w:rsidRPr="00E17DD6">
        <w:t>URL: точка входа ДС2 для ДС1;</w:t>
      </w:r>
    </w:p>
    <w:p w:rsidR="00021E72" w:rsidRPr="00E17DD6" w:rsidRDefault="00021E72" w:rsidP="00021E72">
      <w:pPr>
        <w:pStyle w:val="Bullet2G"/>
        <w:numPr>
          <w:ilvl w:val="0"/>
          <w:numId w:val="23"/>
        </w:numPr>
        <w:ind w:left="2694" w:hanging="284"/>
        <w:rPr>
          <w:color w:val="000000"/>
        </w:rPr>
      </w:pPr>
      <w:r w:rsidRPr="00E17DD6">
        <w:t>сертификат открытого ключа ДС2;</w:t>
      </w:r>
    </w:p>
    <w:p w:rsidR="00021E72" w:rsidRPr="00E17DD6" w:rsidRDefault="00021E72" w:rsidP="00021E72">
      <w:pPr>
        <w:pStyle w:val="Bullet2G"/>
        <w:numPr>
          <w:ilvl w:val="0"/>
          <w:numId w:val="23"/>
        </w:numPr>
        <w:ind w:left="2694" w:hanging="284"/>
        <w:rPr>
          <w:color w:val="000000"/>
        </w:rPr>
      </w:pPr>
      <w:r w:rsidRPr="00E17DD6">
        <w:t>наименование и адрес ДС2 (улица, почтовый индекс, город);</w:t>
      </w:r>
    </w:p>
    <w:p w:rsidR="00021E72" w:rsidRPr="00E17DD6" w:rsidRDefault="00021E72" w:rsidP="00021E72">
      <w:pPr>
        <w:pStyle w:val="Bullet2G"/>
        <w:numPr>
          <w:ilvl w:val="0"/>
          <w:numId w:val="23"/>
        </w:numPr>
        <w:ind w:left="2694" w:hanging="284"/>
        <w:rPr>
          <w:color w:val="000000"/>
        </w:rPr>
      </w:pPr>
      <w:r w:rsidRPr="00E17DD6">
        <w:t>контактное лицо, почтовый адрес и номер телефона ответственного лица.</w:t>
      </w:r>
    </w:p>
    <w:p w:rsidR="00021E72" w:rsidRPr="00E17DD6" w:rsidRDefault="00021E72" w:rsidP="00021E72">
      <w:pPr>
        <w:pStyle w:val="Bullet1G"/>
        <w:keepNext/>
        <w:keepLines/>
        <w:numPr>
          <w:ilvl w:val="0"/>
          <w:numId w:val="24"/>
        </w:numPr>
        <w:ind w:left="2410" w:hanging="284"/>
        <w:rPr>
          <w:color w:val="000000"/>
        </w:rPr>
      </w:pPr>
      <w:r w:rsidRPr="00E17DD6">
        <w:t>В случае государственных органов используется команда «sendPublicServiceRegistrationRequest» и следующий минимальный набор данных:</w:t>
      </w:r>
    </w:p>
    <w:p w:rsidR="00021E72" w:rsidRPr="00E17DD6" w:rsidRDefault="00021E72" w:rsidP="00021E72">
      <w:pPr>
        <w:pStyle w:val="Bullet2G"/>
        <w:numPr>
          <w:ilvl w:val="0"/>
          <w:numId w:val="23"/>
        </w:numPr>
        <w:ind w:left="2694" w:hanging="284"/>
        <w:rPr>
          <w:color w:val="000000"/>
        </w:rPr>
      </w:pPr>
      <w:r w:rsidRPr="00E17DD6">
        <w:t>открытый ключ сертификата государственных органов;</w:t>
      </w:r>
    </w:p>
    <w:p w:rsidR="00021E72" w:rsidRPr="00E17DD6" w:rsidRDefault="00021E72" w:rsidP="00021E72">
      <w:pPr>
        <w:pStyle w:val="Bullet2G"/>
        <w:numPr>
          <w:ilvl w:val="0"/>
          <w:numId w:val="23"/>
        </w:numPr>
        <w:ind w:left="2694" w:hanging="284"/>
        <w:rPr>
          <w:color w:val="000000"/>
        </w:rPr>
      </w:pPr>
      <w:r w:rsidRPr="00E17DD6">
        <w:t>наименование и адрес государственного органа (улица, почтовый индекс, город);</w:t>
      </w:r>
    </w:p>
    <w:p w:rsidR="00021E72" w:rsidRPr="00E17DD6" w:rsidRDefault="00021E72" w:rsidP="00021E72">
      <w:pPr>
        <w:pStyle w:val="Bullet2G"/>
        <w:numPr>
          <w:ilvl w:val="0"/>
          <w:numId w:val="23"/>
        </w:numPr>
        <w:ind w:left="2694" w:hanging="284"/>
        <w:rPr>
          <w:color w:val="000000"/>
        </w:rPr>
      </w:pPr>
      <w:r w:rsidRPr="00E17DD6">
        <w:t>контактное лицо, почтовый адрес и номер телефона ответственного лица;</w:t>
      </w:r>
    </w:p>
    <w:p w:rsidR="00021E72" w:rsidRPr="00E17DD6" w:rsidRDefault="00F476D1" w:rsidP="00F476D1">
      <w:pPr>
        <w:pStyle w:val="Bullet2G"/>
        <w:numPr>
          <w:ilvl w:val="0"/>
          <w:numId w:val="23"/>
        </w:numPr>
        <w:ind w:left="2694" w:hanging="284"/>
        <w:rPr>
          <w:color w:val="000000"/>
        </w:rPr>
      </w:pPr>
      <w:r w:rsidRPr="00E17DD6">
        <w:t xml:space="preserve">тип </w:t>
      </w:r>
      <w:r w:rsidR="00021E72" w:rsidRPr="00E17DD6">
        <w:t>субъекта: компетентный орган (например</w:t>
      </w:r>
      <w:r w:rsidR="00AC4EBB">
        <w:t>,</w:t>
      </w:r>
      <w:r w:rsidR="00021E72" w:rsidRPr="00E17DD6">
        <w:t xml:space="preserve"> аварийно-спасательные службы, правоохранительные органы).</w:t>
      </w:r>
    </w:p>
    <w:p w:rsidR="00021E72" w:rsidRPr="00E17DD6" w:rsidRDefault="00021E72" w:rsidP="00021E72">
      <w:pPr>
        <w:pStyle w:val="SingleTxtG"/>
        <w:ind w:left="2268" w:hanging="567"/>
        <w:rPr>
          <w:color w:val="000000"/>
        </w:rPr>
      </w:pPr>
      <w:r w:rsidRPr="00E17DD6">
        <w:t>ii)</w:t>
      </w:r>
      <w:r w:rsidRPr="00E17DD6">
        <w:tab/>
        <w:t>Процедура регистрации для ДС2 должна быть определена ДС1.</w:t>
      </w:r>
    </w:p>
    <w:p w:rsidR="00021E72" w:rsidRPr="00E17DD6" w:rsidRDefault="00021E72" w:rsidP="00021E72">
      <w:pPr>
        <w:pStyle w:val="SingleTxtG"/>
        <w:ind w:left="2268" w:hanging="567"/>
        <w:rPr>
          <w:color w:val="000000"/>
        </w:rPr>
      </w:pPr>
      <w:r w:rsidRPr="00E17DD6">
        <w:t>iii)</w:t>
      </w:r>
      <w:r w:rsidRPr="00E17DD6">
        <w:tab/>
        <w:t>В том случае, если образование, обращающееся с просьбой о регистрации, представляет собой орган власти, его наименование и сертификат должны быть в перечне, приводимом в пункте 1 d), при этом подтверждение может производиться автоматически или вручную.</w:t>
      </w:r>
    </w:p>
    <w:p w:rsidR="00021E72" w:rsidRPr="00E17DD6" w:rsidRDefault="00021E72" w:rsidP="00021E72">
      <w:pPr>
        <w:pStyle w:val="SingleTxtG"/>
        <w:ind w:left="2268"/>
        <w:rPr>
          <w:color w:val="000000"/>
        </w:rPr>
      </w:pPr>
      <w:r w:rsidRPr="00E17DD6">
        <w:t xml:space="preserve">В том случае, если образование, обращающееся с просьбой о регистрации, представляет собой ДС2, возможны два варианта: </w:t>
      </w:r>
    </w:p>
    <w:p w:rsidR="00021E72" w:rsidRPr="00E17DD6" w:rsidRDefault="00021E72" w:rsidP="00021E72">
      <w:pPr>
        <w:pStyle w:val="Bullet1G"/>
        <w:numPr>
          <w:ilvl w:val="0"/>
          <w:numId w:val="24"/>
        </w:numPr>
        <w:ind w:left="2552" w:hanging="284"/>
        <w:rPr>
          <w:color w:val="000000"/>
        </w:rPr>
      </w:pPr>
      <w:r w:rsidRPr="00E17DD6">
        <w:t>Официальный представитель ДС2 направляет</w:t>
      </w:r>
      <w:r>
        <w:t xml:space="preserve"> </w:t>
      </w:r>
      <w:r w:rsidRPr="00E17DD6">
        <w:t>несущее цифровую подпись заявление с указанием открытого ключа, которое подтверждается офлайн, или</w:t>
      </w:r>
    </w:p>
    <w:p w:rsidR="00021E72" w:rsidRPr="00E17DD6" w:rsidRDefault="00021E72" w:rsidP="00021E72">
      <w:pPr>
        <w:pStyle w:val="Bullet1G"/>
        <w:numPr>
          <w:ilvl w:val="0"/>
          <w:numId w:val="24"/>
        </w:numPr>
        <w:ind w:left="2552" w:hanging="284"/>
        <w:rPr>
          <w:color w:val="000000"/>
        </w:rPr>
      </w:pPr>
      <w:r>
        <w:t xml:space="preserve">если </w:t>
      </w:r>
      <w:r w:rsidRPr="00E17DD6">
        <w:t>ДС1 доверяет подписавшему сертификат лицу, на основе национальн</w:t>
      </w:r>
      <w:r>
        <w:t xml:space="preserve">ого </w:t>
      </w:r>
      <w:r w:rsidRPr="00E17DD6">
        <w:t>законо</w:t>
      </w:r>
      <w:r>
        <w:t>дательст</w:t>
      </w:r>
      <w:r w:rsidRPr="00E17DD6">
        <w:t>в</w:t>
      </w:r>
      <w:r>
        <w:t>а</w:t>
      </w:r>
      <w:r w:rsidRPr="00E17DD6">
        <w:t xml:space="preserve">, публичных реестров или конкретных соглашений, </w:t>
      </w:r>
      <w:r>
        <w:t>то</w:t>
      </w:r>
      <w:r w:rsidRPr="00E17DD6">
        <w:t xml:space="preserve"> в этом случае подтверждение производится автоматически.</w:t>
      </w:r>
    </w:p>
    <w:p w:rsidR="00021E72" w:rsidRPr="00E17DD6" w:rsidRDefault="00021E72" w:rsidP="00021E72">
      <w:pPr>
        <w:pStyle w:val="H1G"/>
        <w:rPr>
          <w:color w:val="000000"/>
        </w:rPr>
      </w:pPr>
      <w:r>
        <w:tab/>
      </w:r>
      <w:r w:rsidRPr="00E17DD6">
        <w:t>3.</w:t>
      </w:r>
      <w:r w:rsidRPr="00E17DD6">
        <w:tab/>
      </w:r>
      <w:r w:rsidRPr="00E17DD6">
        <w:rPr>
          <w:bCs/>
        </w:rPr>
        <w:t>Создание и наличие наборов данных для использования ДС2, ДС1 и органами власти/аварийно-спасательными службами</w:t>
      </w:r>
    </w:p>
    <w:p w:rsidR="00021E72" w:rsidRPr="00E17DD6" w:rsidRDefault="00021E72" w:rsidP="00021E72">
      <w:pPr>
        <w:pStyle w:val="SingleTxtG"/>
        <w:ind w:left="1701" w:hanging="567"/>
        <w:rPr>
          <w:color w:val="000000"/>
        </w:rPr>
      </w:pPr>
      <w:r w:rsidRPr="00E17DD6">
        <w:t>a)</w:t>
      </w:r>
      <w:r w:rsidRPr="00E17DD6">
        <w:tab/>
        <w:t>ДС1 должен быть препровожден следующий</w:t>
      </w:r>
      <w:r>
        <w:t xml:space="preserve"> </w:t>
      </w:r>
      <w:r w:rsidRPr="00E17DD6">
        <w:t>набор данных:</w:t>
      </w:r>
    </w:p>
    <w:p w:rsidR="00021E72" w:rsidRPr="00E17DD6" w:rsidRDefault="00021E72" w:rsidP="00021E72">
      <w:pPr>
        <w:pStyle w:val="SingleTxtG"/>
        <w:ind w:left="2268" w:hanging="567"/>
        <w:rPr>
          <w:color w:val="000000"/>
        </w:rPr>
      </w:pPr>
      <w:r w:rsidRPr="00E17DD6">
        <w:t>i)</w:t>
      </w:r>
      <w:r w:rsidRPr="00E17DD6">
        <w:tab/>
        <w:t>ДОПОГ: код страны (согласно Венской конвенции) и регистрационный номер транспортного средства-тягача и прицепа(ов);</w:t>
      </w:r>
    </w:p>
    <w:p w:rsidR="00021E72" w:rsidRPr="00E17DD6" w:rsidRDefault="00021E72" w:rsidP="00021E72">
      <w:pPr>
        <w:pStyle w:val="SingleTxtG"/>
        <w:ind w:left="2268"/>
        <w:rPr>
          <w:color w:val="000000"/>
        </w:rPr>
      </w:pPr>
      <w:r w:rsidRPr="00E17DD6">
        <w:t>ВОПОГ: номер ЕИН;</w:t>
      </w:r>
    </w:p>
    <w:p w:rsidR="00021E72" w:rsidRPr="00E17DD6" w:rsidRDefault="00021E72" w:rsidP="00021E72">
      <w:pPr>
        <w:pStyle w:val="SingleTxtG"/>
        <w:ind w:left="2268"/>
        <w:rPr>
          <w:color w:val="000000"/>
        </w:rPr>
      </w:pPr>
      <w:r w:rsidRPr="00E17DD6">
        <w:t>МПОГ: номер вагона МСЖД;</w:t>
      </w:r>
    </w:p>
    <w:p w:rsidR="00021E72" w:rsidRPr="00E17DD6" w:rsidRDefault="00021E72" w:rsidP="00021E72">
      <w:pPr>
        <w:pStyle w:val="SingleTxtG"/>
        <w:ind w:left="2268" w:hanging="567"/>
        <w:rPr>
          <w:color w:val="000000"/>
        </w:rPr>
      </w:pPr>
      <w:r w:rsidRPr="00E17DD6">
        <w:t>ii)</w:t>
      </w:r>
      <w:r w:rsidRPr="00E17DD6">
        <w:tab/>
        <w:t>код BIC для контейнеров (если имеется или предусмотрен);</w:t>
      </w:r>
    </w:p>
    <w:p w:rsidR="00021E72" w:rsidRPr="00E17DD6" w:rsidRDefault="00021E72" w:rsidP="00021E72">
      <w:pPr>
        <w:pStyle w:val="SingleTxtG"/>
        <w:ind w:left="2268" w:hanging="567"/>
        <w:rPr>
          <w:color w:val="000000"/>
        </w:rPr>
      </w:pPr>
      <w:r w:rsidRPr="00E17DD6">
        <w:t>iii)</w:t>
      </w:r>
      <w:r w:rsidRPr="00E17DD6">
        <w:tab/>
        <w:t>статус: начало/окончание перевозки</w:t>
      </w:r>
    </w:p>
    <w:p w:rsidR="00021E72" w:rsidRPr="00E17DD6" w:rsidRDefault="00021E72" w:rsidP="00F476D1">
      <w:pPr>
        <w:pStyle w:val="SingleTxtG"/>
        <w:keepNext/>
        <w:keepLines/>
        <w:ind w:left="1701" w:hanging="567"/>
        <w:rPr>
          <w:color w:val="000000"/>
        </w:rPr>
      </w:pPr>
      <w:r w:rsidRPr="00E17DD6">
        <w:lastRenderedPageBreak/>
        <w:t>b)</w:t>
      </w:r>
      <w:r w:rsidRPr="00E17DD6">
        <w:tab/>
      </w:r>
      <w:r>
        <w:t>Операция</w:t>
      </w:r>
      <w:r w:rsidRPr="00E17DD6">
        <w:t xml:space="preserve"> между ДС2 и образованием ДС1:</w:t>
      </w:r>
    </w:p>
    <w:p w:rsidR="00021E72" w:rsidRPr="00E17DD6" w:rsidRDefault="00021E72" w:rsidP="00021E72">
      <w:pPr>
        <w:pStyle w:val="SingleTxtG"/>
        <w:ind w:left="2268" w:hanging="567"/>
        <w:rPr>
          <w:color w:val="000000"/>
        </w:rPr>
      </w:pPr>
      <w:r w:rsidRPr="00E17DD6">
        <w:t>i)</w:t>
      </w:r>
      <w:r w:rsidRPr="00E17DD6">
        <w:tab/>
        <w:t>по каждой перевозке ДС2 должен взаимодействовать лишь с одной ДС1.</w:t>
      </w:r>
    </w:p>
    <w:p w:rsidR="00021E72" w:rsidRPr="00E17DD6" w:rsidRDefault="00021E72" w:rsidP="0005131C">
      <w:pPr>
        <w:pStyle w:val="SingleTxtG"/>
        <w:ind w:left="1701" w:hanging="567"/>
        <w:rPr>
          <w:color w:val="000000"/>
        </w:rPr>
      </w:pPr>
      <w:r w:rsidRPr="00E17DD6">
        <w:t>c)</w:t>
      </w:r>
      <w:r w:rsidRPr="00E17DD6">
        <w:tab/>
        <w:t xml:space="preserve">Информация в транспортном документе, переданная ДС2 в адрес ДС1, должна быть заверена цифровой подписью. </w:t>
      </w:r>
    </w:p>
    <w:p w:rsidR="00021E72" w:rsidRPr="00E17DD6" w:rsidRDefault="00021E72" w:rsidP="00021E72">
      <w:pPr>
        <w:pStyle w:val="H1G"/>
        <w:rPr>
          <w:color w:val="000000"/>
        </w:rPr>
      </w:pPr>
      <w:r>
        <w:tab/>
      </w:r>
      <w:r w:rsidRPr="00E17DD6">
        <w:t>4.</w:t>
      </w:r>
      <w:r w:rsidRPr="00E17DD6">
        <w:tab/>
      </w:r>
      <w:r>
        <w:t>П</w:t>
      </w:r>
      <w:r w:rsidRPr="00E17DD6">
        <w:t>рименяемые на переходном этапе</w:t>
      </w:r>
      <w:r w:rsidRPr="00415EA3">
        <w:t xml:space="preserve"> </w:t>
      </w:r>
      <w:r>
        <w:t>т</w:t>
      </w:r>
      <w:r w:rsidRPr="00E17DD6">
        <w:t xml:space="preserve">ребования </w:t>
      </w:r>
    </w:p>
    <w:p w:rsidR="00021E72" w:rsidRPr="00E17DD6" w:rsidRDefault="00AC4EBB" w:rsidP="00021E72">
      <w:pPr>
        <w:pStyle w:val="SingleTxtG"/>
        <w:rPr>
          <w:color w:val="000000"/>
        </w:rPr>
      </w:pPr>
      <w:r>
        <w:tab/>
      </w:r>
      <w:r>
        <w:tab/>
      </w:r>
      <w:r w:rsidR="00021E72" w:rsidRPr="00E17DD6">
        <w:t>Если аварийно-спасательные службы и соответствующие органы власти не подключены к системе ДС1/ДС2, то на борту должна находится дополнительная информация.</w:t>
      </w:r>
    </w:p>
    <w:p w:rsidR="00021E72" w:rsidRPr="00E17DD6" w:rsidRDefault="00021E72" w:rsidP="00021E72">
      <w:pPr>
        <w:pStyle w:val="SingleTxtG"/>
        <w:ind w:left="1701" w:hanging="567"/>
        <w:rPr>
          <w:color w:val="000000"/>
        </w:rPr>
      </w:pPr>
      <w:r w:rsidRPr="00E17DD6">
        <w:tab/>
        <w:t xml:space="preserve">Дополнительные требования, касающиеся хранения данных и выходных данных на борту транспортных средств/поездов/судов внутреннего плавания </w:t>
      </w:r>
    </w:p>
    <w:p w:rsidR="00021E72" w:rsidRPr="00E17DD6" w:rsidRDefault="00021E72" w:rsidP="00021E72">
      <w:pPr>
        <w:pStyle w:val="SingleTxtG"/>
        <w:ind w:left="2268" w:hanging="567"/>
        <w:rPr>
          <w:color w:val="000000"/>
        </w:rPr>
      </w:pPr>
      <w:r w:rsidRPr="00E17DD6">
        <w:t xml:space="preserve">a) </w:t>
      </w:r>
      <w:r w:rsidRPr="00E17DD6">
        <w:tab/>
        <w:t>Средства хранения данных, используемые на терминалах бортовых данных, должны быть пригодны для постоянного хранения всей соответствующей информации об опасных грузах в соответствии с разделом 5.4.1 ДОПОГ/МПОГ/ВОПОГ в ходе перевозки. С этой целью для всех терминалов данных (например</w:t>
      </w:r>
      <w:r w:rsidR="00F476D1">
        <w:t>,</w:t>
      </w:r>
      <w:r w:rsidRPr="00E17DD6">
        <w:t xml:space="preserve"> планшеты, сканеры, смартфоны, бортовые устройства)</w:t>
      </w:r>
      <w:r>
        <w:t xml:space="preserve"> </w:t>
      </w:r>
      <w:r w:rsidRPr="00E17DD6">
        <w:t xml:space="preserve">должны использоваться стабильные носители информации (в настоящее время EEPROM или флэш-память). Средства хранения данных, установленные на терминалах данных, </w:t>
      </w:r>
      <w:r>
        <w:t xml:space="preserve">обеспечиваются </w:t>
      </w:r>
      <w:r w:rsidRPr="00E17DD6">
        <w:t>защит</w:t>
      </w:r>
      <w:r>
        <w:t>ой</w:t>
      </w:r>
      <w:r w:rsidRPr="00E17DD6">
        <w:t xml:space="preserve"> от обычных нагрузок во время перевозки.</w:t>
      </w:r>
    </w:p>
    <w:p w:rsidR="00021E72" w:rsidRPr="00E17DD6" w:rsidRDefault="00021E72" w:rsidP="00021E72">
      <w:pPr>
        <w:pStyle w:val="SingleTxtG"/>
        <w:ind w:left="2268" w:hanging="567"/>
        <w:rPr>
          <w:color w:val="000000"/>
        </w:rPr>
      </w:pPr>
      <w:r w:rsidRPr="00E17DD6">
        <w:t>b)</w:t>
      </w:r>
      <w:r w:rsidRPr="00E17DD6">
        <w:tab/>
        <w:t xml:space="preserve">В случае перевозки автомобильным и железнодорожным транспортом необходимо будет использовать переносной терминал данных, а в случае перевозки по внутренним водным путям – переносной или стационарно установленный на борту терминал данных. В тех случаях, когда перевозятся только от одного до трех различных </w:t>
      </w:r>
      <w:r>
        <w:t xml:space="preserve">наименований </w:t>
      </w:r>
      <w:r w:rsidRPr="00E17DD6">
        <w:t xml:space="preserve">опасных грузов (номера ООН) в цистернах или навалом/насыпью в транспортных средствах, на которые распространяются требования в отношении маркировки в соответствии с пунктом 5.3.2.1.2 или пунктом 5.3.2.1.4 ДОПОГ, разрешается использовать стационарно установленный терминал данных также и для автомобильных перевозок. </w:t>
      </w:r>
    </w:p>
    <w:p w:rsidR="00021E72" w:rsidRPr="00E17DD6" w:rsidRDefault="00021E72" w:rsidP="00021E72">
      <w:pPr>
        <w:pStyle w:val="SingleTxtG"/>
        <w:ind w:left="2268" w:hanging="567"/>
        <w:rPr>
          <w:color w:val="000000"/>
        </w:rPr>
      </w:pPr>
      <w:r w:rsidRPr="00E17DD6">
        <w:tab/>
        <w:t>Терминал данных должен быть сконструирован таким образом, чтобы избежать потери данных в случа</w:t>
      </w:r>
      <w:r>
        <w:t xml:space="preserve">е перебоев с </w:t>
      </w:r>
      <w:r w:rsidRPr="00E17DD6">
        <w:t>энергоснабжение</w:t>
      </w:r>
      <w:r>
        <w:t>м</w:t>
      </w:r>
      <w:r w:rsidRPr="00E17DD6">
        <w:t>. Накопители энергии должны обеспечивать энергией соответствующие устройства на протяжении всей перевозки или же подзаряжаться в ходе перевозки с помощью оборудования, находящегося на транспортном средстве.</w:t>
      </w:r>
    </w:p>
    <w:p w:rsidR="00021E72" w:rsidRPr="00E17DD6" w:rsidRDefault="00021E72" w:rsidP="00021E72">
      <w:pPr>
        <w:pStyle w:val="SingleTxtG"/>
        <w:ind w:left="2268" w:hanging="567"/>
        <w:rPr>
          <w:color w:val="000000"/>
        </w:rPr>
      </w:pPr>
      <w:r w:rsidRPr="00E17DD6">
        <w:t>c)</w:t>
      </w:r>
      <w:r w:rsidRPr="00E17DD6">
        <w:tab/>
        <w:t>Данные должны отображаться на экране, эквивалентном бумажному документу с точки зрения величины и удобочитаемости знаков (визуальное представление без требований к форматированию (например</w:t>
      </w:r>
      <w:r w:rsidR="00F476D1">
        <w:t>,</w:t>
      </w:r>
      <w:r w:rsidRPr="00E17DD6">
        <w:t xml:space="preserve"> формат PDF), размером не менее 10 дюймов или же в оптимизированном и структурированном виде, позволяющем демонстрировать на соответствующем экране (минимум 3,5 дюйма) все необходимые данные о веществ</w:t>
      </w:r>
      <w:r>
        <w:t>е</w:t>
      </w:r>
      <w:r w:rsidRPr="00E17DD6">
        <w:t xml:space="preserve">, указываемые </w:t>
      </w:r>
      <w:r>
        <w:t>для</w:t>
      </w:r>
      <w:r w:rsidRPr="00E17DD6">
        <w:t xml:space="preserve"> позиции опасного груза) при различных условиях освещения. Читающее устройство должно быть простым и интуитивным и </w:t>
      </w:r>
      <w:r>
        <w:t xml:space="preserve">давать </w:t>
      </w:r>
      <w:r w:rsidRPr="00E17DD6">
        <w:t>инспекторам/</w:t>
      </w:r>
      <w:r w:rsidR="00F476D1">
        <w:t xml:space="preserve"> </w:t>
      </w:r>
      <w:r>
        <w:t xml:space="preserve">представителям </w:t>
      </w:r>
      <w:r w:rsidRPr="00E17DD6">
        <w:t>аварийно-спасательны</w:t>
      </w:r>
      <w:r>
        <w:t>х</w:t>
      </w:r>
      <w:r w:rsidRPr="00E17DD6">
        <w:t xml:space="preserve"> служб неограниченный доступ к любой соответствующей информации об опасном грузе. </w:t>
      </w:r>
    </w:p>
    <w:p w:rsidR="00021E72" w:rsidRPr="00E17DD6" w:rsidRDefault="00021E72" w:rsidP="00021E72">
      <w:pPr>
        <w:pStyle w:val="SingleTxtG"/>
        <w:ind w:left="2268" w:hanging="567"/>
        <w:rPr>
          <w:color w:val="000000"/>
        </w:rPr>
      </w:pPr>
      <w:r w:rsidRPr="00E17DD6">
        <w:t>d)</w:t>
      </w:r>
      <w:r w:rsidRPr="00E17DD6">
        <w:tab/>
      </w:r>
      <w:r>
        <w:t>В</w:t>
      </w:r>
      <w:r w:rsidRPr="00E17DD6">
        <w:t>одител</w:t>
      </w:r>
      <w:r>
        <w:t>и</w:t>
      </w:r>
      <w:r w:rsidRPr="00E17DD6">
        <w:t xml:space="preserve"> транспортных средств/машинист</w:t>
      </w:r>
      <w:r>
        <w:t>ы</w:t>
      </w:r>
      <w:r w:rsidRPr="00E17DD6">
        <w:t>/капитан</w:t>
      </w:r>
      <w:r>
        <w:t>ы</w:t>
      </w:r>
      <w:r w:rsidRPr="00E17DD6">
        <w:t xml:space="preserve"> судов</w:t>
      </w:r>
      <w:r>
        <w:t xml:space="preserve"> </w:t>
      </w:r>
      <w:r w:rsidRPr="00E17DD6">
        <w:t xml:space="preserve">должны уметь пользоваться терминалом данных и оказывать необходимую помощь правоохранительным органам или аварийно-спасательным службам. Так, по их просьбе они должны ознакомить проводящих осмотр сотрудников с тем, как пользоваться таким терминалом данных, или сопровождать их во время осмотра, имея при себе такой терминал. </w:t>
      </w:r>
      <w:r w:rsidRPr="00E17DD6">
        <w:lastRenderedPageBreak/>
        <w:t xml:space="preserve">Данное положение относится </w:t>
      </w:r>
      <w:r>
        <w:t>и</w:t>
      </w:r>
      <w:r w:rsidRPr="00E17DD6">
        <w:t xml:space="preserve"> к чрезвычайным ситуациям, при условии, что они в состоянии сделать это.</w:t>
      </w:r>
    </w:p>
    <w:p w:rsidR="00021E72" w:rsidRPr="00E17DD6" w:rsidRDefault="00021E72" w:rsidP="00021E72">
      <w:pPr>
        <w:pStyle w:val="SingleTxtG"/>
        <w:ind w:left="2268" w:hanging="567"/>
        <w:rPr>
          <w:color w:val="000000"/>
        </w:rPr>
      </w:pPr>
      <w:r w:rsidRPr="00E17DD6">
        <w:t>e)</w:t>
      </w:r>
      <w:r w:rsidRPr="00E17DD6">
        <w:tab/>
        <w:t xml:space="preserve">В случае отсутствия мобильной связи </w:t>
      </w:r>
      <w:r>
        <w:t xml:space="preserve">следует </w:t>
      </w:r>
      <w:r w:rsidRPr="00E17DD6">
        <w:t>призна</w:t>
      </w:r>
      <w:r>
        <w:t xml:space="preserve">ть </w:t>
      </w:r>
      <w:r w:rsidRPr="00E17DD6">
        <w:t xml:space="preserve">возможность задержки в синхронизации </w:t>
      </w:r>
      <w:r>
        <w:t xml:space="preserve">бортовых </w:t>
      </w:r>
      <w:r w:rsidRPr="00E17DD6">
        <w:t>данных и набора данных в ДС2.</w:t>
      </w:r>
    </w:p>
    <w:p w:rsidR="00021E72" w:rsidRPr="00E17DD6" w:rsidRDefault="00F476D1" w:rsidP="00F476D1">
      <w:pPr>
        <w:pStyle w:val="H1G"/>
        <w:rPr>
          <w:color w:val="000000"/>
        </w:rPr>
      </w:pPr>
      <w:r>
        <w:tab/>
      </w:r>
      <w:r w:rsidR="00021E72" w:rsidRPr="00E17DD6">
        <w:t>5.</w:t>
      </w:r>
      <w:r w:rsidR="00021E72" w:rsidRPr="00E17DD6">
        <w:tab/>
        <w:t>Применяемые на переходном этапе требования, касающиеся автомобильного транспорта</w:t>
      </w:r>
    </w:p>
    <w:p w:rsidR="00021E72" w:rsidRPr="00E17DD6" w:rsidRDefault="00AC4EBB" w:rsidP="00F476D1">
      <w:pPr>
        <w:pStyle w:val="SingleTxtG"/>
        <w:rPr>
          <w:color w:val="000000"/>
        </w:rPr>
      </w:pPr>
      <w:r>
        <w:tab/>
      </w:r>
      <w:r w:rsidR="00021E72" w:rsidRPr="00E17DD6">
        <w:tab/>
        <w:t>В кабине водителя должны быть размещены инструкции о том, как получить доступ к электронным данным об опасных грузах, на случай утраты водителем способности действовать.</w:t>
      </w:r>
    </w:p>
    <w:p w:rsidR="00021E72" w:rsidRPr="00E17DD6" w:rsidRDefault="00021E72" w:rsidP="00F476D1">
      <w:pPr>
        <w:pStyle w:val="Bullet1G"/>
        <w:rPr>
          <w:color w:val="000000"/>
        </w:rPr>
      </w:pPr>
      <w:r w:rsidRPr="00E17DD6">
        <w:t xml:space="preserve">На переднюю и заднюю части транспортного средства должна быть нанесена маркировка, указывающая на использование транспортной электронной документации. Если по причине структурных или других </w:t>
      </w:r>
      <w:r>
        <w:t>явных</w:t>
      </w:r>
      <w:r w:rsidRPr="00E17DD6">
        <w:t xml:space="preserve"> причин такой знак невозможно установить на задней части транспортного средства, он может быть помещен на обе двери кабины водителя. В зависимости от вида использования транспортного средства этот знак может быть съемным (могут использоваться складные или магнитные маркировочные знаки) или постоянно прикрепленным (фиксированным). Этот знак представляет собой изображение (пиктограмму, прилагаемую к настоящим Руководящим положениям).</w:t>
      </w:r>
    </w:p>
    <w:p w:rsidR="00021E72" w:rsidRPr="00CD3BCF" w:rsidRDefault="00F476D1" w:rsidP="00F476D1">
      <w:pPr>
        <w:pStyle w:val="H1G"/>
        <w:rPr>
          <w:color w:val="000000"/>
        </w:rPr>
      </w:pPr>
      <w:r>
        <w:tab/>
      </w:r>
      <w:r w:rsidR="00021E72" w:rsidRPr="00CD3BCF">
        <w:t>6.</w:t>
      </w:r>
      <w:r w:rsidR="00021E72" w:rsidRPr="00CD3BCF">
        <w:tab/>
        <w:t xml:space="preserve">Применяемые на переходном этапе требования, касающиеся железнодорожного транспорта </w:t>
      </w:r>
    </w:p>
    <w:p w:rsidR="00021E72" w:rsidRPr="00E17DD6" w:rsidRDefault="00AC4EBB" w:rsidP="00021E72">
      <w:pPr>
        <w:pStyle w:val="SingleTxtG"/>
        <w:rPr>
          <w:color w:val="000000"/>
        </w:rPr>
      </w:pPr>
      <w:r>
        <w:tab/>
      </w:r>
      <w:r>
        <w:tab/>
      </w:r>
      <w:r w:rsidR="00021E72" w:rsidRPr="00E17DD6">
        <w:t>Перевозчик сообщает управляющему инфраструктурой о том, что он использует электронный транспортный документ. Перевозчик предоставляет данные, требуемые в соответствии с разделом 5.4.1, согласно пункту 1.4.3.6 b) МПОГ.</w:t>
      </w:r>
    </w:p>
    <w:p w:rsidR="00021E72" w:rsidRPr="00E17DD6" w:rsidRDefault="00021E72" w:rsidP="00021E72">
      <w:pPr>
        <w:suppressAutoHyphens w:val="0"/>
        <w:spacing w:line="240" w:lineRule="auto"/>
        <w:rPr>
          <w:color w:val="000000"/>
        </w:rPr>
      </w:pPr>
      <w:r w:rsidRPr="00E17DD6">
        <w:rPr>
          <w:color w:val="000000"/>
        </w:rPr>
        <w:br w:type="page"/>
      </w:r>
    </w:p>
    <w:p w:rsidR="00021E72" w:rsidRPr="00E17DD6" w:rsidRDefault="00021E72" w:rsidP="00021E72">
      <w:pPr>
        <w:pStyle w:val="HChG"/>
        <w:rPr>
          <w:color w:val="000000"/>
        </w:rPr>
      </w:pPr>
      <w:r w:rsidRPr="00E17DD6">
        <w:lastRenderedPageBreak/>
        <w:tab/>
      </w:r>
      <w:r w:rsidRPr="00E17DD6">
        <w:rPr>
          <w:bCs/>
        </w:rPr>
        <w:t>Приложение В</w:t>
      </w:r>
    </w:p>
    <w:p w:rsidR="00021E72" w:rsidRPr="00E17DD6" w:rsidRDefault="00F476D1" w:rsidP="00F476D1">
      <w:pPr>
        <w:pStyle w:val="H23G"/>
        <w:rPr>
          <w:color w:val="000000"/>
        </w:rPr>
      </w:pPr>
      <w:r>
        <w:tab/>
      </w:r>
      <w:r>
        <w:tab/>
      </w:r>
      <w:r w:rsidR="00021E72" w:rsidRPr="00E17DD6">
        <w:t>Перечень Договаривающихся сторон, использующих настоящие Руководящие положения (по состоянию на 14 ноября 2018 года):</w:t>
      </w:r>
    </w:p>
    <w:p w:rsidR="00021E72" w:rsidRPr="00E17DD6" w:rsidRDefault="00021E72" w:rsidP="00021E72">
      <w:pPr>
        <w:spacing w:before="120" w:after="120"/>
        <w:ind w:left="1134"/>
        <w:rPr>
          <w:color w:val="000000"/>
        </w:rPr>
      </w:pPr>
      <w:r w:rsidRPr="00E17DD6">
        <w:t>Франция</w:t>
      </w:r>
    </w:p>
    <w:p w:rsidR="00021E72" w:rsidRPr="00E17DD6" w:rsidRDefault="00021E72" w:rsidP="00021E72">
      <w:pPr>
        <w:spacing w:before="120" w:after="120"/>
        <w:ind w:left="1134"/>
        <w:rPr>
          <w:color w:val="000000"/>
        </w:rPr>
      </w:pPr>
      <w:r w:rsidRPr="00E17DD6">
        <w:t>Германия</w:t>
      </w:r>
    </w:p>
    <w:p w:rsidR="00021E72" w:rsidRPr="00E17DD6" w:rsidRDefault="00021E72" w:rsidP="00021E72">
      <w:pPr>
        <w:spacing w:before="120" w:after="120"/>
        <w:ind w:left="1134"/>
        <w:rPr>
          <w:color w:val="000000"/>
        </w:rPr>
      </w:pPr>
      <w:r w:rsidRPr="00E17DD6">
        <w:t>Италия</w:t>
      </w:r>
    </w:p>
    <w:p w:rsidR="00021E72" w:rsidRPr="00E17DD6" w:rsidRDefault="00F476D1" w:rsidP="00F476D1">
      <w:pPr>
        <w:pStyle w:val="H23G"/>
        <w:rPr>
          <w:color w:val="000000"/>
          <w:u w:val="single"/>
        </w:rPr>
      </w:pPr>
      <w:r>
        <w:tab/>
      </w:r>
      <w:r>
        <w:tab/>
      </w:r>
      <w:r w:rsidR="00021E72" w:rsidRPr="00852680">
        <w:t>[</w:t>
      </w:r>
      <w:r w:rsidR="00021E72" w:rsidRPr="00F476D1">
        <w:rPr>
          <w:u w:val="single"/>
        </w:rPr>
        <w:t xml:space="preserve">КОММЕНТАРИЙ: это приложение может быть исключено при наличии возможности публиковать информацию на веб-сайтах </w:t>
      </w:r>
      <w:r w:rsidR="00021E72" w:rsidRPr="00E17DD6">
        <w:rPr>
          <w:u w:val="single"/>
        </w:rPr>
        <w:t>ЕЭК ООН и ОТИФ</w:t>
      </w:r>
      <w:r w:rsidR="00021E72" w:rsidRPr="00852680">
        <w:t>]</w:t>
      </w:r>
    </w:p>
    <w:p w:rsidR="00021E72" w:rsidRPr="00E17DD6" w:rsidRDefault="00021E72" w:rsidP="00021E72">
      <w:pPr>
        <w:pStyle w:val="HChG"/>
      </w:pPr>
      <w:r w:rsidRPr="00E17DD6">
        <w:tab/>
      </w:r>
      <w:r w:rsidRPr="00E17DD6">
        <w:rPr>
          <w:bCs/>
        </w:rPr>
        <w:t>Приложение C</w:t>
      </w:r>
    </w:p>
    <w:p w:rsidR="00021E72" w:rsidRPr="00E17DD6" w:rsidRDefault="00021E72" w:rsidP="00F476D1">
      <w:pPr>
        <w:pStyle w:val="SingleTxtG"/>
        <w:rPr>
          <w:color w:val="000000"/>
        </w:rPr>
      </w:pPr>
      <w:r w:rsidRPr="00E17DD6">
        <w:tab/>
      </w:r>
      <w:r w:rsidR="00F476D1">
        <w:tab/>
      </w:r>
      <w:r w:rsidRPr="00E17DD6">
        <w:t>Диаграмма со структурой Руководящих положени</w:t>
      </w:r>
      <w:r w:rsidR="00F476D1">
        <w:t>й, касающихся применения пункта </w:t>
      </w:r>
      <w:r w:rsidRPr="00E17DD6">
        <w:t xml:space="preserve">5.4.0.2 МПОГ/ДОПОГ/ВОПОГ, будет подготовлена </w:t>
      </w:r>
      <w:r>
        <w:t xml:space="preserve">на более </w:t>
      </w:r>
      <w:r w:rsidRPr="00E17DD6">
        <w:t>поздне</w:t>
      </w:r>
      <w:r>
        <w:t>м этап</w:t>
      </w:r>
      <w:r w:rsidRPr="00E17DD6">
        <w:t>е.</w:t>
      </w:r>
    </w:p>
    <w:p w:rsidR="00021E72" w:rsidRPr="00E17DD6" w:rsidRDefault="00021E72" w:rsidP="00021E72">
      <w:pPr>
        <w:pStyle w:val="HChG"/>
        <w:rPr>
          <w:color w:val="000000"/>
        </w:rPr>
      </w:pPr>
      <w:r w:rsidRPr="00E17DD6">
        <w:rPr>
          <w:bCs/>
        </w:rPr>
        <w:t>Приложение D</w:t>
      </w:r>
    </w:p>
    <w:p w:rsidR="00021E72" w:rsidRPr="00E17DD6" w:rsidRDefault="00021E72" w:rsidP="00F476D1">
      <w:pPr>
        <w:pStyle w:val="SingleTxtG"/>
      </w:pPr>
      <w:r w:rsidRPr="00E17DD6">
        <w:tab/>
      </w:r>
      <w:r w:rsidRPr="00E17DD6">
        <w:tab/>
        <w:t xml:space="preserve">Пиктограмма </w:t>
      </w:r>
      <w:r w:rsidR="00F476D1">
        <w:t>"</w:t>
      </w:r>
      <w:r w:rsidRPr="00E17DD6">
        <w:t>e</w:t>
      </w:r>
      <w:r w:rsidR="00F476D1">
        <w:t>"</w:t>
      </w:r>
      <w:r w:rsidRPr="00E17DD6">
        <w:t xml:space="preserve"> для использования электронного транспортного документа для опасных грузов (e DGTD).</w:t>
      </w:r>
      <w:r w:rsidRPr="00E17DD6"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459CAD7C" wp14:editId="26B84018">
            <wp:simplePos x="0" y="0"/>
            <wp:positionH relativeFrom="column">
              <wp:posOffset>1449070</wp:posOffset>
            </wp:positionH>
            <wp:positionV relativeFrom="paragraph">
              <wp:posOffset>346710</wp:posOffset>
            </wp:positionV>
            <wp:extent cx="2994025" cy="3113405"/>
            <wp:effectExtent l="0" t="0" r="0" b="0"/>
            <wp:wrapSquare wrapText="largest"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31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1E72" w:rsidRPr="00E17DD6" w:rsidRDefault="00021E72" w:rsidP="00021E72">
      <w:pPr>
        <w:rPr>
          <w:u w:val="single"/>
        </w:rPr>
      </w:pPr>
    </w:p>
    <w:p w:rsidR="00021E72" w:rsidRPr="00E17DD6" w:rsidRDefault="00021E72" w:rsidP="00021E72">
      <w:pPr>
        <w:rPr>
          <w:u w:val="single"/>
        </w:rPr>
      </w:pPr>
    </w:p>
    <w:p w:rsidR="00021E72" w:rsidRPr="00E17DD6" w:rsidRDefault="00021E72" w:rsidP="00021E72">
      <w:pPr>
        <w:rPr>
          <w:u w:val="single"/>
        </w:rPr>
      </w:pPr>
    </w:p>
    <w:p w:rsidR="00021E72" w:rsidRPr="00E17DD6" w:rsidRDefault="00021E72" w:rsidP="00021E72">
      <w:pPr>
        <w:rPr>
          <w:u w:val="single"/>
        </w:rPr>
      </w:pPr>
    </w:p>
    <w:p w:rsidR="00021E72" w:rsidRPr="00E17DD6" w:rsidRDefault="00021E72" w:rsidP="00021E72">
      <w:pPr>
        <w:rPr>
          <w:u w:val="single"/>
        </w:rPr>
      </w:pPr>
    </w:p>
    <w:p w:rsidR="00021E72" w:rsidRPr="00E17DD6" w:rsidRDefault="00021E72" w:rsidP="00021E72">
      <w:pPr>
        <w:rPr>
          <w:u w:val="single"/>
        </w:rPr>
      </w:pPr>
    </w:p>
    <w:p w:rsidR="00021E72" w:rsidRPr="00E17DD6" w:rsidRDefault="00021E72" w:rsidP="00021E72">
      <w:pPr>
        <w:rPr>
          <w:u w:val="single"/>
        </w:rPr>
      </w:pPr>
    </w:p>
    <w:p w:rsidR="00021E72" w:rsidRPr="00E17DD6" w:rsidRDefault="00021E72" w:rsidP="00021E72">
      <w:pPr>
        <w:rPr>
          <w:u w:val="single"/>
        </w:rPr>
      </w:pPr>
    </w:p>
    <w:p w:rsidR="00021E72" w:rsidRPr="00E17DD6" w:rsidRDefault="00021E72" w:rsidP="00021E72">
      <w:pPr>
        <w:rPr>
          <w:u w:val="single"/>
        </w:rPr>
      </w:pPr>
    </w:p>
    <w:p w:rsidR="00021E72" w:rsidRPr="00E17DD6" w:rsidRDefault="00021E72" w:rsidP="00021E72">
      <w:pPr>
        <w:rPr>
          <w:u w:val="single"/>
        </w:rPr>
      </w:pPr>
    </w:p>
    <w:p w:rsidR="00021E72" w:rsidRPr="00E17DD6" w:rsidRDefault="00021E72" w:rsidP="00021E72">
      <w:pPr>
        <w:rPr>
          <w:u w:val="single"/>
        </w:rPr>
      </w:pPr>
    </w:p>
    <w:p w:rsidR="00021E72" w:rsidRPr="00E17DD6" w:rsidRDefault="00021E72" w:rsidP="00021E72">
      <w:pPr>
        <w:rPr>
          <w:u w:val="single"/>
        </w:rPr>
      </w:pPr>
    </w:p>
    <w:p w:rsidR="00021E72" w:rsidRPr="00E17DD6" w:rsidRDefault="00021E72" w:rsidP="00021E72">
      <w:pPr>
        <w:rPr>
          <w:u w:val="single"/>
        </w:rPr>
      </w:pPr>
    </w:p>
    <w:p w:rsidR="00021E72" w:rsidRPr="00E17DD6" w:rsidRDefault="00021E72" w:rsidP="00021E72">
      <w:pPr>
        <w:rPr>
          <w:u w:val="single"/>
        </w:rPr>
      </w:pPr>
    </w:p>
    <w:p w:rsidR="00021E72" w:rsidRPr="00E17DD6" w:rsidRDefault="00021E72" w:rsidP="00021E72">
      <w:pPr>
        <w:rPr>
          <w:u w:val="single"/>
        </w:rPr>
      </w:pPr>
    </w:p>
    <w:p w:rsidR="00021E72" w:rsidRPr="00E17DD6" w:rsidRDefault="00021E72" w:rsidP="00021E72">
      <w:pPr>
        <w:rPr>
          <w:u w:val="single"/>
        </w:rPr>
      </w:pPr>
    </w:p>
    <w:p w:rsidR="00021E72" w:rsidRPr="00E17DD6" w:rsidRDefault="00021E72" w:rsidP="00021E72">
      <w:pPr>
        <w:rPr>
          <w:u w:val="single"/>
        </w:rPr>
      </w:pPr>
    </w:p>
    <w:p w:rsidR="00021E72" w:rsidRPr="00E17DD6" w:rsidRDefault="00021E72" w:rsidP="00021E72">
      <w:pPr>
        <w:rPr>
          <w:u w:val="single"/>
        </w:rPr>
      </w:pPr>
    </w:p>
    <w:p w:rsidR="00021E72" w:rsidRPr="00E17DD6" w:rsidRDefault="00021E72" w:rsidP="00021E72">
      <w:pPr>
        <w:rPr>
          <w:u w:val="single"/>
        </w:rPr>
      </w:pPr>
    </w:p>
    <w:p w:rsidR="00021E72" w:rsidRPr="00E17DD6" w:rsidRDefault="00021E72" w:rsidP="00021E72">
      <w:pPr>
        <w:rPr>
          <w:u w:val="single"/>
        </w:rPr>
      </w:pPr>
    </w:p>
    <w:p w:rsidR="00021E72" w:rsidRPr="00E17DD6" w:rsidRDefault="00021E72" w:rsidP="00021E72">
      <w:pPr>
        <w:rPr>
          <w:u w:val="single"/>
        </w:rPr>
      </w:pPr>
    </w:p>
    <w:p w:rsidR="00021E72" w:rsidRPr="00E17DD6" w:rsidRDefault="00F476D1" w:rsidP="00E56FB9">
      <w:pPr>
        <w:pStyle w:val="SingleTxtG"/>
        <w:jc w:val="right"/>
        <w:rPr>
          <w:b/>
          <w:bCs/>
        </w:rPr>
      </w:pPr>
      <w:r>
        <w:t>»</w:t>
      </w:r>
      <w:r w:rsidR="00021E72" w:rsidRPr="00E17DD6">
        <w:t>.</w:t>
      </w:r>
    </w:p>
    <w:p w:rsidR="00021E72" w:rsidRPr="00021E72" w:rsidRDefault="00021E72" w:rsidP="00021E7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21E72" w:rsidRPr="00021E72" w:rsidSect="004B448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8BD" w:rsidRPr="00A312BC" w:rsidRDefault="007B78BD" w:rsidP="00A312BC"/>
  </w:endnote>
  <w:endnote w:type="continuationSeparator" w:id="0">
    <w:p w:rsidR="007B78BD" w:rsidRPr="00A312BC" w:rsidRDefault="007B78B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485" w:rsidRPr="004B4485" w:rsidRDefault="004B4485">
    <w:pPr>
      <w:pStyle w:val="Footer"/>
    </w:pPr>
    <w:r w:rsidRPr="004B4485">
      <w:rPr>
        <w:b/>
        <w:sz w:val="18"/>
      </w:rPr>
      <w:fldChar w:fldCharType="begin"/>
    </w:r>
    <w:r w:rsidRPr="004B4485">
      <w:rPr>
        <w:b/>
        <w:sz w:val="18"/>
      </w:rPr>
      <w:instrText xml:space="preserve"> PAGE  \* MERGEFORMAT </w:instrText>
    </w:r>
    <w:r w:rsidRPr="004B4485">
      <w:rPr>
        <w:b/>
        <w:sz w:val="18"/>
      </w:rPr>
      <w:fldChar w:fldCharType="separate"/>
    </w:r>
    <w:r w:rsidR="005108D9">
      <w:rPr>
        <w:b/>
        <w:noProof/>
        <w:sz w:val="18"/>
      </w:rPr>
      <w:t>10</w:t>
    </w:r>
    <w:r w:rsidRPr="004B4485">
      <w:rPr>
        <w:b/>
        <w:sz w:val="18"/>
      </w:rPr>
      <w:fldChar w:fldCharType="end"/>
    </w:r>
    <w:r>
      <w:rPr>
        <w:b/>
        <w:sz w:val="18"/>
      </w:rPr>
      <w:tab/>
    </w:r>
    <w:r>
      <w:t>GE.19-00041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485" w:rsidRPr="004B4485" w:rsidRDefault="004B4485" w:rsidP="004B4485">
    <w:pPr>
      <w:pStyle w:val="Footer"/>
      <w:tabs>
        <w:tab w:val="clear" w:pos="9639"/>
        <w:tab w:val="right" w:pos="9638"/>
      </w:tabs>
      <w:rPr>
        <w:b/>
        <w:sz w:val="18"/>
      </w:rPr>
    </w:pPr>
    <w:r>
      <w:t>GE.19-00041</w:t>
    </w:r>
    <w:r>
      <w:tab/>
    </w:r>
    <w:r w:rsidRPr="004B4485">
      <w:rPr>
        <w:b/>
        <w:sz w:val="18"/>
      </w:rPr>
      <w:fldChar w:fldCharType="begin"/>
    </w:r>
    <w:r w:rsidRPr="004B4485">
      <w:rPr>
        <w:b/>
        <w:sz w:val="18"/>
      </w:rPr>
      <w:instrText xml:space="preserve"> PAGE  \* MERGEFORMAT </w:instrText>
    </w:r>
    <w:r w:rsidRPr="004B4485">
      <w:rPr>
        <w:b/>
        <w:sz w:val="18"/>
      </w:rPr>
      <w:fldChar w:fldCharType="separate"/>
    </w:r>
    <w:r w:rsidR="005108D9">
      <w:rPr>
        <w:b/>
        <w:noProof/>
        <w:sz w:val="18"/>
      </w:rPr>
      <w:t>11</w:t>
    </w:r>
    <w:r w:rsidRPr="004B448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4B4485" w:rsidRDefault="004B4485" w:rsidP="004B4485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19-00041  (R)</w:t>
    </w:r>
    <w:r w:rsidR="00021E72">
      <w:rPr>
        <w:lang w:val="en-US"/>
      </w:rPr>
      <w:t xml:space="preserve">  1</w:t>
    </w:r>
    <w:r w:rsidR="0005131C">
      <w:rPr>
        <w:lang w:val="en-US"/>
      </w:rPr>
      <w:t>1</w:t>
    </w:r>
    <w:r w:rsidR="00021E72">
      <w:rPr>
        <w:lang w:val="en-US"/>
      </w:rPr>
      <w:t>0119  150119</w:t>
    </w:r>
    <w:r>
      <w:br/>
    </w:r>
    <w:r w:rsidRPr="004B4485">
      <w:rPr>
        <w:rFonts w:ascii="C39T30Lfz" w:hAnsi="C39T30Lfz"/>
        <w:kern w:val="14"/>
        <w:sz w:val="56"/>
      </w:rPr>
      <w:t></w:t>
    </w:r>
    <w:r w:rsidRPr="004B4485">
      <w:rPr>
        <w:rFonts w:ascii="C39T30Lfz" w:hAnsi="C39T30Lfz"/>
        <w:kern w:val="14"/>
        <w:sz w:val="56"/>
      </w:rPr>
      <w:t></w:t>
    </w:r>
    <w:r w:rsidRPr="004B4485">
      <w:rPr>
        <w:rFonts w:ascii="C39T30Lfz" w:hAnsi="C39T30Lfz"/>
        <w:kern w:val="14"/>
        <w:sz w:val="56"/>
      </w:rPr>
      <w:t></w:t>
    </w:r>
    <w:r w:rsidRPr="004B4485">
      <w:rPr>
        <w:rFonts w:ascii="C39T30Lfz" w:hAnsi="C39T30Lfz"/>
        <w:kern w:val="14"/>
        <w:sz w:val="56"/>
      </w:rPr>
      <w:t></w:t>
    </w:r>
    <w:r w:rsidRPr="004B4485">
      <w:rPr>
        <w:rFonts w:ascii="C39T30Lfz" w:hAnsi="C39T30Lfz"/>
        <w:kern w:val="14"/>
        <w:sz w:val="56"/>
      </w:rPr>
      <w:t></w:t>
    </w:r>
    <w:r w:rsidRPr="004B4485">
      <w:rPr>
        <w:rFonts w:ascii="C39T30Lfz" w:hAnsi="C39T30Lfz"/>
        <w:kern w:val="14"/>
        <w:sz w:val="56"/>
      </w:rPr>
      <w:t></w:t>
    </w:r>
    <w:r w:rsidRPr="004B4485">
      <w:rPr>
        <w:rFonts w:ascii="C39T30Lfz" w:hAnsi="C39T30Lfz"/>
        <w:kern w:val="14"/>
        <w:sz w:val="56"/>
      </w:rPr>
      <w:t></w:t>
    </w:r>
    <w:r w:rsidRPr="004B4485">
      <w:rPr>
        <w:rFonts w:ascii="C39T30Lfz" w:hAnsi="C39T30Lfz"/>
        <w:kern w:val="14"/>
        <w:sz w:val="56"/>
      </w:rPr>
      <w:t></w:t>
    </w:r>
    <w:r w:rsidRPr="004B4485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19/2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9/2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8BD" w:rsidRPr="001075E9" w:rsidRDefault="007B78B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B78BD" w:rsidRDefault="007B78B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21E72" w:rsidRPr="00021E72" w:rsidRDefault="00021E72">
      <w:pPr>
        <w:pStyle w:val="FootnoteText"/>
        <w:rPr>
          <w:sz w:val="20"/>
        </w:rPr>
      </w:pPr>
      <w:r>
        <w:tab/>
      </w:r>
      <w:r w:rsidRPr="00021E72">
        <w:rPr>
          <w:rStyle w:val="FootnoteReference"/>
          <w:sz w:val="20"/>
          <w:vertAlign w:val="baseline"/>
        </w:rPr>
        <w:t>*</w:t>
      </w:r>
      <w:r w:rsidRPr="00021E72">
        <w:rPr>
          <w:rStyle w:val="FootnoteReference"/>
          <w:vertAlign w:val="baseline"/>
        </w:rPr>
        <w:tab/>
      </w:r>
      <w:r w:rsidRPr="00021E72">
        <w:t>В соответствии с программой работы Комитета по внутреннему транспорту на 2018–2019 годы (ECE/TRANS/WP.15/237, приложение V (9.2)).</w:t>
      </w:r>
    </w:p>
  </w:footnote>
  <w:footnote w:id="2">
    <w:p w:rsidR="00021E72" w:rsidRPr="00021E72" w:rsidRDefault="00021E72">
      <w:pPr>
        <w:pStyle w:val="FootnoteText"/>
        <w:rPr>
          <w:sz w:val="20"/>
        </w:rPr>
      </w:pPr>
      <w:r>
        <w:tab/>
      </w:r>
      <w:r w:rsidRPr="00021E72">
        <w:rPr>
          <w:rStyle w:val="FootnoteReference"/>
          <w:sz w:val="20"/>
          <w:vertAlign w:val="baseline"/>
        </w:rPr>
        <w:t>**</w:t>
      </w:r>
      <w:r w:rsidRPr="00021E72">
        <w:rPr>
          <w:rStyle w:val="FootnoteReference"/>
          <w:vertAlign w:val="baseline"/>
        </w:rPr>
        <w:tab/>
      </w:r>
      <w:r w:rsidRPr="00021E72">
        <w:t>Распространено Межправительственной организацией по международным железнодорожным перевозкам (ОТИФ) под условным обозначением OTIF/RID/RC/2019/21.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485" w:rsidRPr="004B4485" w:rsidRDefault="00D0702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5108D9">
      <w:t>ECE/TRANS/WP.15/AC.1/2019/21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485" w:rsidRPr="004B4485" w:rsidRDefault="00D07020" w:rsidP="004B448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108D9">
      <w:t>ECE/TRANS/WP.15/AC.1/2019/21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E0B24"/>
    <w:multiLevelType w:val="multilevel"/>
    <w:tmpl w:val="3E4435E6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D900229"/>
    <w:multiLevelType w:val="multilevel"/>
    <w:tmpl w:val="04DCE76C"/>
    <w:lvl w:ilvl="0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3"/>
  </w:num>
  <w:num w:numId="3">
    <w:abstractNumId w:val="10"/>
  </w:num>
  <w:num w:numId="4">
    <w:abstractNumId w:val="20"/>
  </w:num>
  <w:num w:numId="5">
    <w:abstractNumId w:val="1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8"/>
  </w:num>
  <w:num w:numId="17">
    <w:abstractNumId w:val="14"/>
  </w:num>
  <w:num w:numId="18">
    <w:abstractNumId w:val="17"/>
  </w:num>
  <w:num w:numId="19">
    <w:abstractNumId w:val="18"/>
  </w:num>
  <w:num w:numId="20">
    <w:abstractNumId w:val="14"/>
  </w:num>
  <w:num w:numId="21">
    <w:abstractNumId w:val="17"/>
  </w:num>
  <w:num w:numId="22">
    <w:abstractNumId w:val="12"/>
    <w:lvlOverride w:ilvl="0">
      <w:lvl w:ilvl="0" w:tplc="6D5E22D8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b w:val="0"/>
          <w:i w:val="0"/>
          <w:sz w:val="20"/>
        </w:rPr>
      </w:lvl>
    </w:lvlOverride>
  </w:num>
  <w:num w:numId="23">
    <w:abstractNumId w:val="11"/>
    <w:lvlOverride w:ilvl="0">
      <w:lvl w:ilvl="0" w:tplc="FAE4B376">
        <w:start w:val="1"/>
        <w:numFmt w:val="bullet"/>
        <w:lvlText w:val="•"/>
        <w:lvlJc w:val="left"/>
        <w:pPr>
          <w:tabs>
            <w:tab w:val="num" w:pos="2268"/>
          </w:tabs>
          <w:ind w:left="2268" w:hanging="170"/>
        </w:pPr>
        <w:rPr>
          <w:rFonts w:ascii="Times New Roman" w:hAnsi="Times New Roman" w:cs="Times New Roman" w:hint="default"/>
        </w:rPr>
      </w:lvl>
    </w:lvlOverride>
  </w:num>
  <w:num w:numId="24">
    <w:abstractNumId w:val="21"/>
  </w:num>
  <w:num w:numId="25">
    <w:abstractNumId w:val="15"/>
    <w:lvlOverride w:ilvl="0">
      <w:lvl w:ilvl="0">
        <w:start w:val="1"/>
        <w:numFmt w:val="bullet"/>
        <w:lvlText w:val=""/>
        <w:lvlJc w:val="left"/>
        <w:pPr>
          <w:ind w:left="1854" w:hanging="360"/>
        </w:pPr>
        <w:rPr>
          <w:rFonts w:ascii="Symbol" w:hAnsi="Symbol" w:cs="Symbol" w:hint="default"/>
        </w:rPr>
      </w:lvl>
    </w:lvlOverride>
  </w:num>
  <w:num w:numId="26">
    <w:abstractNumId w:val="14"/>
  </w:num>
  <w:num w:numId="27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8BD"/>
    <w:rsid w:val="00021E72"/>
    <w:rsid w:val="00033EE1"/>
    <w:rsid w:val="00042B72"/>
    <w:rsid w:val="0005131C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64A41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B4485"/>
    <w:rsid w:val="004D1FDD"/>
    <w:rsid w:val="004E05B7"/>
    <w:rsid w:val="0050108D"/>
    <w:rsid w:val="005108D9"/>
    <w:rsid w:val="00513081"/>
    <w:rsid w:val="00517901"/>
    <w:rsid w:val="00526683"/>
    <w:rsid w:val="005639C1"/>
    <w:rsid w:val="005709E0"/>
    <w:rsid w:val="00572E19"/>
    <w:rsid w:val="005961C8"/>
    <w:rsid w:val="005966F1"/>
    <w:rsid w:val="005B2BE5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A3BE3"/>
    <w:rsid w:val="007B78BD"/>
    <w:rsid w:val="00806737"/>
    <w:rsid w:val="00825F8D"/>
    <w:rsid w:val="00834B71"/>
    <w:rsid w:val="00852680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23CF"/>
    <w:rsid w:val="00A14DA8"/>
    <w:rsid w:val="00A312BC"/>
    <w:rsid w:val="00A84021"/>
    <w:rsid w:val="00A84D35"/>
    <w:rsid w:val="00A917B3"/>
    <w:rsid w:val="00AB4B51"/>
    <w:rsid w:val="00AC4EBB"/>
    <w:rsid w:val="00B10CC7"/>
    <w:rsid w:val="00B36DF7"/>
    <w:rsid w:val="00B47E69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07020"/>
    <w:rsid w:val="00D33D63"/>
    <w:rsid w:val="00D5253A"/>
    <w:rsid w:val="00D873A8"/>
    <w:rsid w:val="00D90028"/>
    <w:rsid w:val="00D90138"/>
    <w:rsid w:val="00D9145B"/>
    <w:rsid w:val="00D91A03"/>
    <w:rsid w:val="00DD78D1"/>
    <w:rsid w:val="00DE32CD"/>
    <w:rsid w:val="00DF5767"/>
    <w:rsid w:val="00DF71B9"/>
    <w:rsid w:val="00E12C5F"/>
    <w:rsid w:val="00E56FB9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476D1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9C73C02-A79D-495E-B6B0-E3ADF5C2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021E7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customStyle="1" w:styleId="SingleTxtGChar">
    <w:name w:val="_ Single Txt_G Char"/>
    <w:link w:val="SingleTxtG"/>
    <w:qFormat/>
    <w:rsid w:val="00021E72"/>
    <w:rPr>
      <w:lang w:val="ru-RU" w:eastAsia="en-US"/>
    </w:rPr>
  </w:style>
  <w:style w:type="character" w:customStyle="1" w:styleId="H1GChar">
    <w:name w:val="_ H_1_G Char"/>
    <w:link w:val="H1G"/>
    <w:qFormat/>
    <w:rsid w:val="00021E72"/>
    <w:rPr>
      <w:b/>
      <w:sz w:val="24"/>
      <w:lang w:val="ru-RU" w:eastAsia="ru-RU"/>
    </w:rPr>
  </w:style>
  <w:style w:type="character" w:customStyle="1" w:styleId="HChGChar">
    <w:name w:val="_ H _Ch_G Char"/>
    <w:link w:val="HChG"/>
    <w:qFormat/>
    <w:rsid w:val="00021E72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3696</Words>
  <Characters>21070</Characters>
  <Application>Microsoft Office Word</Application>
  <DocSecurity>0</DocSecurity>
  <Lines>175</Lines>
  <Paragraphs>49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ECE/TRANS/WP.15/AC.1/2019/21</vt:lpstr>
      <vt:lpstr>ECE/TRANS/WP.15/AC.1/2019/21</vt:lpstr>
      <vt:lpstr>A/</vt:lpstr>
    </vt:vector>
  </TitlesOfParts>
  <Company>DCM</Company>
  <LinksUpToDate>false</LinksUpToDate>
  <CharactersWithSpaces>24717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ECE/TRANS/WP.15/AC.1/2019/21</dc:title>
  <dc:subject/>
  <dc:creator>Marina KOROTKOVA</dc:creator>
  <cp:keywords/>
  <cp:lastModifiedBy>Christine Barrio-Champeau</cp:lastModifiedBy>
  <cp:revision>2</cp:revision>
  <cp:lastPrinted>2019-01-15T10:48:00Z</cp:lastPrinted>
  <dcterms:created xsi:type="dcterms:W3CDTF">2019-01-15T15:18:00Z</dcterms:created>
  <dcterms:modified xsi:type="dcterms:W3CDTF">2019-01-15T15:18:00Z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