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67F2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67F22" w:rsidP="00767F22">
            <w:pPr>
              <w:jc w:val="right"/>
            </w:pPr>
            <w:r w:rsidRPr="00767F22">
              <w:rPr>
                <w:sz w:val="40"/>
              </w:rPr>
              <w:t>ECE</w:t>
            </w:r>
            <w:r>
              <w:t>/TRANS/WP.15/AC.1/2019/19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67F2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767F22" w:rsidRDefault="00767F22" w:rsidP="00767F22">
            <w:pPr>
              <w:spacing w:line="240" w:lineRule="exact"/>
            </w:pPr>
            <w:r>
              <w:t>28 décembre 2018</w:t>
            </w:r>
          </w:p>
          <w:p w:rsidR="00767F22" w:rsidRDefault="00767F22" w:rsidP="00767F22">
            <w:pPr>
              <w:spacing w:line="240" w:lineRule="exact"/>
            </w:pPr>
            <w:r>
              <w:t>Français</w:t>
            </w:r>
          </w:p>
          <w:p w:rsidR="00767F22" w:rsidRPr="00DB58B5" w:rsidRDefault="00767F22" w:rsidP="00767F2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D16C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67F22" w:rsidRPr="009E01B8" w:rsidRDefault="00767F2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767F22" w:rsidRPr="00926E87" w:rsidRDefault="00767F22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3D16CB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767F22" w:rsidRDefault="00767F22" w:rsidP="00AF0CB5">
      <w:pPr>
        <w:spacing w:before="120"/>
      </w:pPr>
      <w:r>
        <w:t xml:space="preserve">Berne, </w:t>
      </w:r>
      <w:r>
        <w:rPr>
          <w:lang w:val="fr-FR"/>
        </w:rPr>
        <w:t>18-22 </w:t>
      </w:r>
      <w:r w:rsidRPr="00AB3E7D">
        <w:rPr>
          <w:lang w:val="fr-FR"/>
        </w:rPr>
        <w:t>mars 2019</w:t>
      </w:r>
    </w:p>
    <w:p w:rsidR="00767F22" w:rsidRDefault="00767F22" w:rsidP="00AF0CB5">
      <w:r w:rsidRPr="00B93E72">
        <w:t xml:space="preserve">Point </w:t>
      </w:r>
      <w:r>
        <w:t>2</w:t>
      </w:r>
      <w:r w:rsidRPr="00B93E72">
        <w:t xml:space="preserve"> de l</w:t>
      </w:r>
      <w:r w:rsidR="003D16CB">
        <w:t>’</w:t>
      </w:r>
      <w:r w:rsidRPr="00B93E72">
        <w:t>ordre du jour provisoire</w:t>
      </w:r>
    </w:p>
    <w:p w:rsidR="00F9573C" w:rsidRPr="001735BC" w:rsidRDefault="00767F22" w:rsidP="00AF0CB5">
      <w:pPr>
        <w:rPr>
          <w:b/>
          <w:lang w:val="fr-FR"/>
        </w:rPr>
      </w:pPr>
      <w:r w:rsidRPr="001735BC">
        <w:rPr>
          <w:b/>
          <w:lang w:val="fr-FR"/>
        </w:rPr>
        <w:t>Citernes</w:t>
      </w:r>
    </w:p>
    <w:p w:rsidR="00767F22" w:rsidRPr="00AB3E7D" w:rsidRDefault="00767F22" w:rsidP="00767F22">
      <w:pPr>
        <w:pStyle w:val="HChG"/>
        <w:rPr>
          <w:lang w:val="fr-FR"/>
        </w:rPr>
      </w:pPr>
      <w:bookmarkStart w:id="1" w:name="OLE_LINK1"/>
      <w:bookmarkStart w:id="2" w:name="OLE_LINK2"/>
      <w:r>
        <w:rPr>
          <w:lang w:val="fr-FR"/>
        </w:rPr>
        <w:tab/>
      </w:r>
      <w:r>
        <w:rPr>
          <w:lang w:val="fr-FR"/>
        </w:rPr>
        <w:tab/>
      </w:r>
      <w:r w:rsidRPr="00AB3E7D">
        <w:rPr>
          <w:lang w:val="fr-FR"/>
        </w:rPr>
        <w:t xml:space="preserve">Transport de citernes, wagons-batteries/véhicules-batteries </w:t>
      </w:r>
      <w:r w:rsidR="001735BC">
        <w:rPr>
          <w:lang w:val="fr-FR"/>
        </w:rPr>
        <w:br/>
      </w:r>
      <w:r w:rsidRPr="00AB3E7D">
        <w:rPr>
          <w:lang w:val="fr-FR"/>
        </w:rPr>
        <w:t>et CGEM après l</w:t>
      </w:r>
      <w:r w:rsidR="003D16CB">
        <w:rPr>
          <w:lang w:val="fr-FR"/>
        </w:rPr>
        <w:t>’</w:t>
      </w:r>
      <w:r w:rsidRPr="00AB3E7D">
        <w:rPr>
          <w:lang w:val="fr-FR"/>
        </w:rPr>
        <w:t>expiration des délais de contrôle intermédiaire</w:t>
      </w:r>
      <w:bookmarkEnd w:id="1"/>
      <w:bookmarkEnd w:id="2"/>
    </w:p>
    <w:p w:rsidR="00767F22" w:rsidRDefault="00767F22" w:rsidP="00767F22">
      <w:pPr>
        <w:pStyle w:val="H1G"/>
        <w:rPr>
          <w:b w:val="0"/>
          <w:sz w:val="20"/>
        </w:rPr>
      </w:pPr>
      <w:r w:rsidRPr="00AB3E7D">
        <w:rPr>
          <w:lang w:val="fr-FR"/>
        </w:rPr>
        <w:tab/>
      </w:r>
      <w:r w:rsidRPr="00AB3E7D">
        <w:rPr>
          <w:lang w:val="fr-FR"/>
        </w:rPr>
        <w:tab/>
        <w:t>Communication du Gouvernement polonais</w:t>
      </w:r>
      <w:r w:rsidRPr="00767F2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767F22">
        <w:rPr>
          <w:b w:val="0"/>
          <w:position w:val="6"/>
          <w:sz w:val="20"/>
        </w:rPr>
        <w:t>,</w:t>
      </w:r>
      <w:r w:rsidRPr="00767F22">
        <w:rPr>
          <w:b w:val="0"/>
          <w:sz w:val="20"/>
        </w:rPr>
        <w:t xml:space="preserve"> </w:t>
      </w:r>
      <w:r w:rsidRPr="00767F22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767F22" w:rsidRDefault="00767F22" w:rsidP="00767F22">
      <w:pPr>
        <w:pStyle w:val="SingleTxtG"/>
      </w:pPr>
      <w:r>
        <w:br w:type="page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767F22" w:rsidTr="0025629D">
        <w:trPr>
          <w:jc w:val="center"/>
        </w:trPr>
        <w:tc>
          <w:tcPr>
            <w:tcW w:w="9637" w:type="dxa"/>
            <w:shd w:val="clear" w:color="auto" w:fill="auto"/>
          </w:tcPr>
          <w:p w:rsidR="00767F22" w:rsidRDefault="00767F22" w:rsidP="006509D2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767F22" w:rsidTr="0025629D">
        <w:trPr>
          <w:jc w:val="center"/>
        </w:trPr>
        <w:tc>
          <w:tcPr>
            <w:tcW w:w="9637" w:type="dxa"/>
            <w:shd w:val="clear" w:color="auto" w:fill="auto"/>
          </w:tcPr>
          <w:p w:rsidR="00767F22" w:rsidRPr="00D8312E" w:rsidRDefault="00767F22" w:rsidP="006509D2">
            <w:pPr>
              <w:pStyle w:val="SingleTxtG"/>
              <w:tabs>
                <w:tab w:val="left" w:pos="2552"/>
              </w:tabs>
              <w:ind w:left="2523" w:hanging="2268"/>
              <w:jc w:val="left"/>
              <w:rPr>
                <w:b/>
              </w:rPr>
            </w:pPr>
            <w:r w:rsidRPr="00D8312E">
              <w:rPr>
                <w:b/>
              </w:rPr>
              <w:t>Résumé analytique :</w:t>
            </w:r>
            <w:r>
              <w:rPr>
                <w:b/>
              </w:rPr>
              <w:tab/>
            </w:r>
            <w:r w:rsidRPr="00AB3E7D">
              <w:rPr>
                <w:lang w:val="fr-FR"/>
              </w:rPr>
              <w:t xml:space="preserve">La présente proposition vise à introduire dans le RID/ADR </w:t>
            </w:r>
            <w:r>
              <w:rPr>
                <w:lang w:val="fr-FR"/>
              </w:rPr>
              <w:t>d</w:t>
            </w:r>
            <w:r w:rsidRPr="00AB3E7D">
              <w:rPr>
                <w:lang w:val="fr-FR"/>
              </w:rPr>
              <w:t xml:space="preserve">es dispositions relatives au transport </w:t>
            </w:r>
            <w:r>
              <w:rPr>
                <w:lang w:val="fr-FR"/>
              </w:rPr>
              <w:t>d</w:t>
            </w:r>
            <w:r w:rsidR="003D16CB">
              <w:rPr>
                <w:lang w:val="fr-FR"/>
              </w:rPr>
              <w:t>’</w:t>
            </w:r>
            <w:r>
              <w:rPr>
                <w:lang w:val="fr-FR"/>
              </w:rPr>
              <w:t>un</w:t>
            </w:r>
            <w:r w:rsidRPr="00AB3E7D">
              <w:rPr>
                <w:lang w:val="fr-FR"/>
              </w:rPr>
              <w:t xml:space="preserve"> chargement dans </w:t>
            </w:r>
            <w:r w:rsidRPr="00AB3E7D">
              <w:rPr>
                <w:iCs/>
                <w:lang w:val="fr-FR"/>
              </w:rPr>
              <w:t>les wagons-citernes, citernes amovibles, wagons-batteries</w:t>
            </w:r>
            <w:r>
              <w:rPr>
                <w:iCs/>
                <w:lang w:val="fr-FR"/>
              </w:rPr>
              <w:t xml:space="preserve"> (RID)</w:t>
            </w:r>
            <w:r w:rsidRPr="00AB3E7D">
              <w:rPr>
                <w:iCs/>
                <w:lang w:val="fr-FR"/>
              </w:rPr>
              <w:t>/les citernes fixes (véhicules-citernes), citernes démontables, véhicules-batteries</w:t>
            </w:r>
            <w:r>
              <w:rPr>
                <w:iCs/>
                <w:lang w:val="fr-FR"/>
              </w:rPr>
              <w:t xml:space="preserve"> (ADR)</w:t>
            </w:r>
            <w:r w:rsidRPr="00AB3E7D">
              <w:rPr>
                <w:iCs/>
                <w:lang w:val="fr-FR"/>
              </w:rPr>
              <w:t>, conteneurs-citernes, caisses mobiles citernes et conteneur</w:t>
            </w:r>
            <w:r>
              <w:rPr>
                <w:iCs/>
                <w:lang w:val="fr-FR"/>
              </w:rPr>
              <w:t>s</w:t>
            </w:r>
            <w:r w:rsidRPr="00AB3E7D">
              <w:rPr>
                <w:iCs/>
                <w:lang w:val="fr-FR"/>
              </w:rPr>
              <w:t xml:space="preserve"> à gaz à éléments multiples (CGEM)</w:t>
            </w:r>
            <w:r w:rsidRPr="00AB3E7D">
              <w:rPr>
                <w:lang w:val="fr-FR"/>
              </w:rPr>
              <w:t xml:space="preserve"> après </w:t>
            </w:r>
            <w:r w:rsidRPr="00AB3E7D">
              <w:rPr>
                <w:iCs/>
                <w:lang w:val="fr-FR"/>
              </w:rPr>
              <w:t>la date d</w:t>
            </w:r>
            <w:r w:rsidR="003D16CB">
              <w:rPr>
                <w:iCs/>
                <w:lang w:val="fr-FR"/>
              </w:rPr>
              <w:t>’</w:t>
            </w:r>
            <w:r w:rsidRPr="00AB3E7D">
              <w:rPr>
                <w:iCs/>
                <w:lang w:val="fr-FR"/>
              </w:rPr>
              <w:t xml:space="preserve">expiration du dernier contrôle </w:t>
            </w:r>
            <w:r w:rsidRPr="00AB3E7D">
              <w:rPr>
                <w:lang w:val="fr-FR"/>
              </w:rPr>
              <w:t>intermédiaire.</w:t>
            </w:r>
          </w:p>
        </w:tc>
      </w:tr>
      <w:tr w:rsidR="00767F22" w:rsidTr="0025629D">
        <w:trPr>
          <w:jc w:val="center"/>
        </w:trPr>
        <w:tc>
          <w:tcPr>
            <w:tcW w:w="9637" w:type="dxa"/>
            <w:shd w:val="clear" w:color="auto" w:fill="auto"/>
          </w:tcPr>
          <w:p w:rsidR="00767F22" w:rsidRDefault="00767F22" w:rsidP="006509D2">
            <w:pPr>
              <w:pStyle w:val="SingleTxtG"/>
              <w:tabs>
                <w:tab w:val="left" w:pos="2552"/>
              </w:tabs>
              <w:ind w:left="2523" w:hanging="2268"/>
              <w:jc w:val="left"/>
            </w:pPr>
            <w:r w:rsidRPr="00D8312E">
              <w:rPr>
                <w:b/>
              </w:rPr>
              <w:t>Mesure à prendre :</w:t>
            </w:r>
            <w:r w:rsidRPr="00D8312E">
              <w:rPr>
                <w:b/>
              </w:rPr>
              <w:tab/>
            </w:r>
            <w:r w:rsidRPr="00AB3E7D">
              <w:rPr>
                <w:lang w:val="fr-FR"/>
              </w:rPr>
              <w:t xml:space="preserve">Modifier le texte du 4.3.2.3.7 du RID/ADR de manière à autoriser </w:t>
            </w:r>
            <w:r w:rsidRPr="00AB3E7D">
              <w:rPr>
                <w:iCs/>
                <w:lang w:val="fr-FR"/>
              </w:rPr>
              <w:t>le transport de citernes, wagons-batteries/véhicules-batteries et CGEM après l</w:t>
            </w:r>
            <w:r w:rsidR="003D16CB">
              <w:rPr>
                <w:iCs/>
                <w:lang w:val="fr-FR"/>
              </w:rPr>
              <w:t>’</w:t>
            </w:r>
            <w:r w:rsidRPr="00AB3E7D">
              <w:rPr>
                <w:iCs/>
                <w:lang w:val="fr-FR"/>
              </w:rPr>
              <w:t>expiration des délais de contrôle intermédiaire.</w:t>
            </w:r>
          </w:p>
        </w:tc>
      </w:tr>
      <w:tr w:rsidR="00767F22" w:rsidRPr="00767F22" w:rsidTr="0025629D">
        <w:trPr>
          <w:jc w:val="center"/>
        </w:trPr>
        <w:tc>
          <w:tcPr>
            <w:tcW w:w="9637" w:type="dxa"/>
            <w:shd w:val="clear" w:color="auto" w:fill="auto"/>
          </w:tcPr>
          <w:p w:rsidR="00767F22" w:rsidRPr="00767F22" w:rsidRDefault="00767F22" w:rsidP="006509D2">
            <w:pPr>
              <w:pStyle w:val="SingleTxtG"/>
              <w:tabs>
                <w:tab w:val="left" w:pos="2552"/>
              </w:tabs>
              <w:ind w:left="2523" w:hanging="2268"/>
              <w:jc w:val="left"/>
            </w:pPr>
            <w:r w:rsidRPr="006509D2">
              <w:rPr>
                <w:b/>
              </w:rPr>
              <w:t>Document</w:t>
            </w:r>
            <w:r w:rsidR="001735BC" w:rsidRPr="006509D2">
              <w:rPr>
                <w:rFonts w:eastAsia="Times New Roman"/>
                <w:b/>
                <w:bCs/>
                <w:spacing w:val="4"/>
                <w:w w:val="103"/>
                <w:kern w:val="14"/>
                <w:szCs w:val="24"/>
              </w:rPr>
              <w:t>s</w:t>
            </w:r>
            <w:r>
              <w:rPr>
                <w:rFonts w:eastAsia="Times New Roman"/>
                <w:b/>
                <w:bCs/>
                <w:spacing w:val="4"/>
                <w:w w:val="103"/>
                <w:kern w:val="14"/>
                <w:szCs w:val="24"/>
              </w:rPr>
              <w:t> </w:t>
            </w:r>
            <w:r w:rsidRPr="00D8312E">
              <w:rPr>
                <w:rFonts w:eastAsia="Times New Roman"/>
                <w:b/>
                <w:bCs/>
                <w:spacing w:val="4"/>
                <w:w w:val="103"/>
                <w:kern w:val="14"/>
                <w:szCs w:val="24"/>
              </w:rPr>
              <w:t>:</w:t>
            </w:r>
            <w:r w:rsidRPr="00D8312E">
              <w:rPr>
                <w:rFonts w:eastAsia="Times New Roman"/>
                <w:b/>
                <w:bCs/>
                <w:spacing w:val="4"/>
                <w:w w:val="103"/>
                <w:kern w:val="14"/>
                <w:szCs w:val="24"/>
              </w:rPr>
              <w:tab/>
            </w:r>
            <w:r w:rsidRPr="00AB3E7D">
              <w:rPr>
                <w:lang w:val="fr-FR"/>
              </w:rPr>
              <w:t>ECE/TRANS/WP.15/AC.1/2015/19 (UIC)</w:t>
            </w:r>
            <w:r>
              <w:rPr>
                <w:lang w:val="fr-FR"/>
              </w:rPr>
              <w:br/>
            </w:r>
            <w:r w:rsidRPr="00767F22">
              <w:t>ECE/TRANS/WP.15/AC.1/2015/27 (UIC)</w:t>
            </w:r>
            <w:r w:rsidRPr="00767F22">
              <w:br/>
            </w:r>
            <w:r w:rsidRPr="00AB3E7D">
              <w:rPr>
                <w:lang w:val="fr-FR"/>
              </w:rPr>
              <w:t>Document informel INF.21 (UIC/CEFIC) (session de printemps 2016)</w:t>
            </w:r>
            <w:r>
              <w:rPr>
                <w:lang w:val="fr-FR"/>
              </w:rPr>
              <w:br/>
            </w:r>
            <w:r w:rsidRPr="00767F22">
              <w:t>ECE/TRANS/WP.15/AC.1/142/Add.1 (point 8)</w:t>
            </w:r>
            <w:r>
              <w:br/>
            </w:r>
            <w:r w:rsidRPr="00AB3E7D">
              <w:rPr>
                <w:lang w:val="fr-FR"/>
              </w:rPr>
              <w:t>Document informel INF.20 (Pologne) (session d</w:t>
            </w:r>
            <w:r w:rsidR="003D16CB">
              <w:rPr>
                <w:lang w:val="fr-FR"/>
              </w:rPr>
              <w:t>’</w:t>
            </w:r>
            <w:r w:rsidRPr="00AB3E7D">
              <w:rPr>
                <w:lang w:val="fr-FR"/>
              </w:rPr>
              <w:t>automne 2018)</w:t>
            </w:r>
            <w:r>
              <w:rPr>
                <w:lang w:val="fr-FR"/>
              </w:rPr>
              <w:br/>
            </w:r>
            <w:r w:rsidRPr="00767F22">
              <w:t>ECE/TRANS/WP.15/AC.1/152/Add.1 (point10)</w:t>
            </w:r>
          </w:p>
        </w:tc>
      </w:tr>
      <w:tr w:rsidR="00767F22" w:rsidRPr="00767F22" w:rsidTr="0025629D">
        <w:trPr>
          <w:jc w:val="center"/>
        </w:trPr>
        <w:tc>
          <w:tcPr>
            <w:tcW w:w="9637" w:type="dxa"/>
            <w:shd w:val="clear" w:color="auto" w:fill="auto"/>
          </w:tcPr>
          <w:p w:rsidR="00767F22" w:rsidRPr="00767F22" w:rsidRDefault="00767F22" w:rsidP="0025629D"/>
        </w:tc>
      </w:tr>
    </w:tbl>
    <w:p w:rsidR="00767F22" w:rsidRPr="00AB3E7D" w:rsidRDefault="00767F22" w:rsidP="00767F22">
      <w:pPr>
        <w:pStyle w:val="HChG"/>
        <w:rPr>
          <w:lang w:val="fr-FR"/>
        </w:rPr>
      </w:pPr>
      <w:r w:rsidRPr="008D4E4E">
        <w:rPr>
          <w:lang w:val="fr-FR"/>
        </w:rPr>
        <w:tab/>
      </w:r>
      <w:r w:rsidRPr="008D4E4E">
        <w:rPr>
          <w:lang w:val="fr-FR"/>
        </w:rPr>
        <w:tab/>
      </w:r>
      <w:r w:rsidRPr="00AB3E7D">
        <w:rPr>
          <w:lang w:val="fr-FR"/>
        </w:rPr>
        <w:t>Introduction</w:t>
      </w:r>
    </w:p>
    <w:p w:rsidR="00767F22" w:rsidRPr="00AB3E7D" w:rsidRDefault="00767F22" w:rsidP="00767F22">
      <w:pPr>
        <w:pStyle w:val="SingleTxtG"/>
        <w:rPr>
          <w:lang w:val="fr-FR"/>
        </w:rPr>
      </w:pPr>
      <w:r w:rsidRPr="00AB3E7D">
        <w:rPr>
          <w:lang w:val="fr-FR"/>
        </w:rPr>
        <w:t>1.</w:t>
      </w:r>
      <w:r w:rsidRPr="00AB3E7D">
        <w:rPr>
          <w:lang w:val="fr-FR"/>
        </w:rPr>
        <w:tab/>
        <w:t xml:space="preserve">La Pologne a soumis le document informel INF.20 à la </w:t>
      </w:r>
      <w:r w:rsidRPr="00AB3E7D">
        <w:rPr>
          <w:iCs/>
          <w:lang w:val="fr-FR"/>
        </w:rPr>
        <w:t>Réunion commune de la Commission d</w:t>
      </w:r>
      <w:r w:rsidR="003D16CB">
        <w:rPr>
          <w:iCs/>
          <w:lang w:val="fr-FR"/>
        </w:rPr>
        <w:t>’</w:t>
      </w:r>
      <w:r w:rsidRPr="00AB3E7D">
        <w:rPr>
          <w:iCs/>
          <w:lang w:val="fr-FR"/>
        </w:rPr>
        <w:t>experts du RID et du Groupe de travail des transports de marchandises dangereuses</w:t>
      </w:r>
      <w:r w:rsidRPr="00AB3E7D">
        <w:rPr>
          <w:i/>
          <w:iCs/>
          <w:lang w:val="fr-FR"/>
        </w:rPr>
        <w:t xml:space="preserve"> </w:t>
      </w:r>
      <w:r w:rsidR="001735BC">
        <w:rPr>
          <w:lang w:val="fr-FR"/>
        </w:rPr>
        <w:t>(Genève, 17-21 </w:t>
      </w:r>
      <w:r w:rsidRPr="00AB3E7D">
        <w:rPr>
          <w:lang w:val="fr-FR"/>
        </w:rPr>
        <w:t>septembre 2018). Ce document a été examiné par le Groupe de travail des citernes. La Pologne a été invitée par le Groupe de travail des citernes à soumettre un document officiel sur cette question à une prochaine session de la Réunion commune (voir le rapport du Groupe de travail des citernes</w:t>
      </w:r>
      <w:r>
        <w:rPr>
          <w:lang w:val="fr-FR"/>
        </w:rPr>
        <w:t>,</w:t>
      </w:r>
      <w:r w:rsidRPr="00AB3E7D">
        <w:rPr>
          <w:lang w:val="fr-FR"/>
        </w:rPr>
        <w:t xml:space="preserve"> document ECE/TRANS/</w:t>
      </w:r>
      <w:r w:rsidR="003D16CB">
        <w:rPr>
          <w:lang w:val="fr-FR"/>
        </w:rPr>
        <w:t xml:space="preserve"> </w:t>
      </w:r>
      <w:r w:rsidRPr="00AB3E7D">
        <w:rPr>
          <w:lang w:val="fr-FR"/>
        </w:rPr>
        <w:t>WP.15/AC.1/152/Add.1, point 10).</w:t>
      </w:r>
    </w:p>
    <w:p w:rsidR="00767F22" w:rsidRPr="00767F22" w:rsidRDefault="00767F22" w:rsidP="00767F22">
      <w:pPr>
        <w:pStyle w:val="SingleTxtG"/>
      </w:pPr>
      <w:r w:rsidRPr="00AB3E7D">
        <w:rPr>
          <w:lang w:val="fr-FR"/>
        </w:rPr>
        <w:t>2.</w:t>
      </w:r>
      <w:r w:rsidRPr="00AB3E7D">
        <w:rPr>
          <w:lang w:val="fr-FR"/>
        </w:rPr>
        <w:tab/>
        <w:t>L</w:t>
      </w:r>
      <w:r w:rsidR="003D16CB">
        <w:rPr>
          <w:lang w:val="fr-FR"/>
        </w:rPr>
        <w:t>’</w:t>
      </w:r>
      <w:r w:rsidRPr="00AB3E7D">
        <w:rPr>
          <w:lang w:val="fr-FR"/>
        </w:rPr>
        <w:t>Union internationale des chemins de fer (UIC) s</w:t>
      </w:r>
      <w:r w:rsidR="003D16CB">
        <w:rPr>
          <w:lang w:val="fr-FR"/>
        </w:rPr>
        <w:t>’</w:t>
      </w:r>
      <w:r w:rsidRPr="00AB3E7D">
        <w:rPr>
          <w:lang w:val="fr-FR"/>
        </w:rPr>
        <w:t xml:space="preserve">est employée à réglementer le transport de marchandises dangereuses dans </w:t>
      </w:r>
      <w:r w:rsidRPr="00AB3E7D">
        <w:rPr>
          <w:iCs/>
          <w:lang w:val="fr-FR"/>
        </w:rPr>
        <w:t>les wagons-citernes, les citernes amovibles</w:t>
      </w:r>
      <w:r w:rsidRPr="00AB3E7D">
        <w:rPr>
          <w:lang w:val="fr-FR"/>
        </w:rPr>
        <w:t xml:space="preserve">, </w:t>
      </w:r>
      <w:r w:rsidRPr="00AB3E7D">
        <w:rPr>
          <w:iCs/>
          <w:lang w:val="fr-FR"/>
        </w:rPr>
        <w:t>les caisses mobiles citernes</w:t>
      </w:r>
      <w:r w:rsidRPr="00AB3E7D">
        <w:rPr>
          <w:lang w:val="fr-FR"/>
        </w:rPr>
        <w:t xml:space="preserve">, </w:t>
      </w:r>
      <w:r w:rsidRPr="00AB3E7D">
        <w:rPr>
          <w:iCs/>
          <w:lang w:val="fr-FR"/>
        </w:rPr>
        <w:t>les wagons-batteries et les CGEM (RID)</w:t>
      </w:r>
      <w:r w:rsidRPr="00AB3E7D">
        <w:rPr>
          <w:lang w:val="fr-FR"/>
        </w:rPr>
        <w:t xml:space="preserve"> ainsi que dans les </w:t>
      </w:r>
      <w:r w:rsidRPr="00AB3E7D">
        <w:rPr>
          <w:iCs/>
          <w:lang w:val="fr-FR"/>
        </w:rPr>
        <w:t>citernes fixes (véhicules-citernes), les citernes démontables</w:t>
      </w:r>
      <w:r w:rsidRPr="00AB3E7D">
        <w:rPr>
          <w:lang w:val="fr-FR"/>
        </w:rPr>
        <w:t xml:space="preserve">, </w:t>
      </w:r>
      <w:r w:rsidRPr="00AB3E7D">
        <w:rPr>
          <w:iCs/>
          <w:lang w:val="fr-FR"/>
        </w:rPr>
        <w:t>les caisses mobiles citernes</w:t>
      </w:r>
      <w:r w:rsidRPr="00AB3E7D">
        <w:rPr>
          <w:lang w:val="fr-FR"/>
        </w:rPr>
        <w:t xml:space="preserve">, </w:t>
      </w:r>
      <w:r w:rsidRPr="00AB3E7D">
        <w:rPr>
          <w:iCs/>
          <w:lang w:val="fr-FR"/>
        </w:rPr>
        <w:t xml:space="preserve">les véhicules-batteries et les CGEM </w:t>
      </w:r>
      <w:r w:rsidRPr="00AB3E7D">
        <w:rPr>
          <w:lang w:val="fr-FR"/>
        </w:rPr>
        <w:t>(ADR) après la date d</w:t>
      </w:r>
      <w:r w:rsidR="003D16CB">
        <w:rPr>
          <w:lang w:val="fr-FR"/>
        </w:rPr>
        <w:t>’</w:t>
      </w:r>
      <w:r w:rsidRPr="00AB3E7D">
        <w:rPr>
          <w:lang w:val="fr-FR"/>
        </w:rPr>
        <w:t>expiration du dernier contrôle périodique et intermédiaire.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3.</w:t>
      </w:r>
      <w:r w:rsidRPr="003D16CB">
        <w:rPr>
          <w:lang w:val="fr-FR"/>
        </w:rPr>
        <w:tab/>
        <w:t>Des propositions à cet effet ont été présentées dans les documents suivants</w:t>
      </w:r>
      <w:r>
        <w:rPr>
          <w:lang w:val="fr-FR"/>
        </w:rPr>
        <w:t> </w:t>
      </w:r>
      <w:r w:rsidRPr="003D16CB">
        <w:rPr>
          <w:lang w:val="fr-FR"/>
        </w:rPr>
        <w:t>:</w:t>
      </w:r>
    </w:p>
    <w:p w:rsidR="003D16CB" w:rsidRPr="003D16CB" w:rsidRDefault="003D16CB" w:rsidP="003D16CB">
      <w:pPr>
        <w:pStyle w:val="Bullet1G"/>
        <w:rPr>
          <w:lang w:val="fr-FR"/>
        </w:rPr>
      </w:pPr>
      <w:r w:rsidRPr="003D16CB">
        <w:rPr>
          <w:lang w:val="fr-FR"/>
        </w:rPr>
        <w:t>ECE/TRANS/WP.15/AC.1/2015/19, soumis à la Réunion commune de mars 2015</w:t>
      </w:r>
      <w:r>
        <w:rPr>
          <w:lang w:val="fr-FR"/>
        </w:rPr>
        <w:t> </w:t>
      </w:r>
      <w:r w:rsidRPr="003D16CB">
        <w:rPr>
          <w:lang w:val="fr-FR"/>
        </w:rPr>
        <w:t>;</w:t>
      </w:r>
    </w:p>
    <w:p w:rsidR="003D16CB" w:rsidRPr="003D16CB" w:rsidRDefault="003D16CB" w:rsidP="003D16CB">
      <w:pPr>
        <w:pStyle w:val="Bullet1G"/>
        <w:rPr>
          <w:lang w:val="fr-FR"/>
        </w:rPr>
      </w:pPr>
      <w:r w:rsidRPr="003D16CB">
        <w:rPr>
          <w:lang w:val="fr-FR"/>
        </w:rPr>
        <w:t>ECE/TRANS/WP.15/AC.1/2015/27, soumis à la Réunion commune de septembre 2015</w:t>
      </w:r>
      <w:r>
        <w:rPr>
          <w:lang w:val="fr-FR"/>
        </w:rPr>
        <w:t> </w:t>
      </w:r>
      <w:r w:rsidRPr="003D16CB">
        <w:rPr>
          <w:lang w:val="fr-FR"/>
        </w:rPr>
        <w:t>;</w:t>
      </w:r>
    </w:p>
    <w:p w:rsidR="003D16CB" w:rsidRPr="003D16CB" w:rsidRDefault="003D16CB" w:rsidP="003D16CB">
      <w:pPr>
        <w:pStyle w:val="Bullet1G"/>
        <w:rPr>
          <w:lang w:val="fr-FR"/>
        </w:rPr>
      </w:pPr>
      <w:r w:rsidRPr="003D16CB">
        <w:rPr>
          <w:lang w:val="fr-FR"/>
        </w:rPr>
        <w:t>Document informel INF.21, soumis à la Réunion commune de mars 2016.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Chacun de ces documents a été examiné par le Groupe de travail des citernes, dont les membres ont été désignés par la Réunion commune.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4.</w:t>
      </w:r>
      <w:r w:rsidRPr="003D16CB">
        <w:rPr>
          <w:lang w:val="fr-FR"/>
        </w:rPr>
        <w:tab/>
        <w:t>Enfin, au cours de la session tenue à Berne en mars 2016, le Groupe de travail des citernes a proposé dans un rapport figurant dans le document ECE/TRANS/WP.15/</w:t>
      </w:r>
      <w:r>
        <w:rPr>
          <w:lang w:val="fr-FR"/>
        </w:rPr>
        <w:t xml:space="preserve"> </w:t>
      </w:r>
      <w:r w:rsidRPr="003D16CB">
        <w:rPr>
          <w:lang w:val="fr-FR"/>
        </w:rPr>
        <w:t>AC.1/142/Add.1 (point 8) que les citernes remplies avant la date d</w:t>
      </w:r>
      <w:r>
        <w:rPr>
          <w:lang w:val="fr-FR"/>
        </w:rPr>
        <w:t>’</w:t>
      </w:r>
      <w:r w:rsidRPr="003D16CB">
        <w:rPr>
          <w:lang w:val="fr-FR"/>
        </w:rPr>
        <w:t>expiration du dernier contrôle périodique puissent transporter les marchandises au destinataire dans le mois suivant la date d</w:t>
      </w:r>
      <w:r>
        <w:rPr>
          <w:lang w:val="fr-FR"/>
        </w:rPr>
        <w:t>’</w:t>
      </w:r>
      <w:r w:rsidRPr="003D16CB">
        <w:rPr>
          <w:lang w:val="fr-FR"/>
        </w:rPr>
        <w:t>expiration de ce délai.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5.</w:t>
      </w:r>
      <w:r w:rsidRPr="003D16CB">
        <w:rPr>
          <w:lang w:val="fr-FR"/>
        </w:rPr>
        <w:tab/>
        <w:t>En outre, une proposition a été faite concernant la possibilité de transporter un chargement pendant une période n</w:t>
      </w:r>
      <w:r>
        <w:rPr>
          <w:lang w:val="fr-FR"/>
        </w:rPr>
        <w:t>’</w:t>
      </w:r>
      <w:r w:rsidRPr="003D16CB">
        <w:rPr>
          <w:lang w:val="fr-FR"/>
        </w:rPr>
        <w:t>excédant pas trois mois au-delà de la date d</w:t>
      </w:r>
      <w:r>
        <w:rPr>
          <w:lang w:val="fr-FR"/>
        </w:rPr>
        <w:t>’</w:t>
      </w:r>
      <w:r w:rsidRPr="003D16CB">
        <w:rPr>
          <w:lang w:val="fr-FR"/>
        </w:rPr>
        <w:t xml:space="preserve">expiration du contrôle périodique lorsque les citernes contiennent des marchandises dangereuses </w:t>
      </w:r>
      <w:r w:rsidRPr="003D16CB">
        <w:rPr>
          <w:lang w:val="fr-FR"/>
        </w:rPr>
        <w:lastRenderedPageBreak/>
        <w:t>retournées aux fins d</w:t>
      </w:r>
      <w:r>
        <w:rPr>
          <w:lang w:val="fr-FR"/>
        </w:rPr>
        <w:t>’</w:t>
      </w:r>
      <w:r w:rsidRPr="003D16CB">
        <w:rPr>
          <w:lang w:val="fr-FR"/>
        </w:rPr>
        <w:t>élimination ou de recyclage approprié. Cette approche est présentée dans les propositions 8, 9 et 10 du document ECE/TRANS/WP.15/AC.1/142/Add.1.</w:t>
      </w:r>
      <w:bookmarkStart w:id="3" w:name="_Hlk533762734"/>
      <w:bookmarkEnd w:id="3"/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6.</w:t>
      </w:r>
      <w:r w:rsidRPr="003D16CB">
        <w:rPr>
          <w:lang w:val="fr-FR"/>
        </w:rPr>
        <w:tab/>
        <w:t>Dans le même temps, le Groupe de travail des citernes a conclu qu</w:t>
      </w:r>
      <w:r>
        <w:rPr>
          <w:lang w:val="fr-FR"/>
        </w:rPr>
        <w:t>’</w:t>
      </w:r>
      <w:r w:rsidRPr="003D16CB">
        <w:rPr>
          <w:lang w:val="fr-FR"/>
        </w:rPr>
        <w:t>en raison de la possibilité, mentionnée au 6.8.2.4.3, d</w:t>
      </w:r>
      <w:r>
        <w:rPr>
          <w:lang w:val="fr-FR"/>
        </w:rPr>
        <w:t>’</w:t>
      </w:r>
      <w:r w:rsidRPr="003D16CB">
        <w:rPr>
          <w:lang w:val="fr-FR"/>
        </w:rPr>
        <w:t>effectuer un contrôle intermédiaire dans les trois mois précédant ou suivant la date spécifiée, le transport d</w:t>
      </w:r>
      <w:r>
        <w:rPr>
          <w:lang w:val="fr-FR"/>
        </w:rPr>
        <w:t>’</w:t>
      </w:r>
      <w:r w:rsidRPr="003D16CB">
        <w:rPr>
          <w:lang w:val="fr-FR"/>
        </w:rPr>
        <w:t>un chargement dans les trois mois suivant la date d</w:t>
      </w:r>
      <w:r>
        <w:rPr>
          <w:lang w:val="fr-FR"/>
        </w:rPr>
        <w:t>’</w:t>
      </w:r>
      <w:r w:rsidRPr="003D16CB">
        <w:rPr>
          <w:lang w:val="fr-FR"/>
        </w:rPr>
        <w:t>expiration du contrôle intermédiaire était autorisé.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7.</w:t>
      </w:r>
      <w:r w:rsidRPr="003D16CB">
        <w:rPr>
          <w:lang w:val="fr-FR"/>
        </w:rPr>
        <w:tab/>
        <w:t>La position du Groupe de travail des citernes à ce sujet n</w:t>
      </w:r>
      <w:r>
        <w:rPr>
          <w:lang w:val="fr-FR"/>
        </w:rPr>
        <w:t>’</w:t>
      </w:r>
      <w:r w:rsidRPr="003D16CB">
        <w:rPr>
          <w:lang w:val="fr-FR"/>
        </w:rPr>
        <w:t>a pas été intégrée dans les dispositions du RID/ADR.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8.</w:t>
      </w:r>
      <w:r w:rsidRPr="003D16CB">
        <w:rPr>
          <w:lang w:val="fr-FR"/>
        </w:rPr>
        <w:tab/>
        <w:t>La Pologne n</w:t>
      </w:r>
      <w:r>
        <w:rPr>
          <w:lang w:val="fr-FR"/>
        </w:rPr>
        <w:t>’</w:t>
      </w:r>
      <w:r w:rsidRPr="003D16CB">
        <w:rPr>
          <w:lang w:val="fr-FR"/>
        </w:rPr>
        <w:t>a pas l</w:t>
      </w:r>
      <w:r>
        <w:rPr>
          <w:lang w:val="fr-FR"/>
        </w:rPr>
        <w:t>’</w:t>
      </w:r>
      <w:r w:rsidRPr="003D16CB">
        <w:rPr>
          <w:lang w:val="fr-FR"/>
        </w:rPr>
        <w:t>intention de remettre en cause cette interprétation concernant le transport d</w:t>
      </w:r>
      <w:r>
        <w:rPr>
          <w:lang w:val="fr-FR"/>
        </w:rPr>
        <w:t>’</w:t>
      </w:r>
      <w:r w:rsidRPr="003D16CB">
        <w:rPr>
          <w:lang w:val="fr-FR"/>
        </w:rPr>
        <w:t>un chargement dans les citernes après la date d</w:t>
      </w:r>
      <w:r>
        <w:rPr>
          <w:lang w:val="fr-FR"/>
        </w:rPr>
        <w:t>’</w:t>
      </w:r>
      <w:r w:rsidRPr="003D16CB">
        <w:rPr>
          <w:lang w:val="fr-FR"/>
        </w:rPr>
        <w:t>expiration du dernier contrôle intermédiaire.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9.</w:t>
      </w:r>
      <w:r w:rsidRPr="003D16CB">
        <w:rPr>
          <w:lang w:val="fr-FR"/>
        </w:rPr>
        <w:tab/>
        <w:t>Elle propose que cette interprétation soit consignée dans le RID/ADR de manière qu</w:t>
      </w:r>
      <w:r>
        <w:rPr>
          <w:lang w:val="fr-FR"/>
        </w:rPr>
        <w:t>’</w:t>
      </w:r>
      <w:r w:rsidRPr="003D16CB">
        <w:rPr>
          <w:lang w:val="fr-FR"/>
        </w:rPr>
        <w:t>il n</w:t>
      </w:r>
      <w:r>
        <w:rPr>
          <w:lang w:val="fr-FR"/>
        </w:rPr>
        <w:t>’</w:t>
      </w:r>
      <w:r w:rsidRPr="003D16CB">
        <w:rPr>
          <w:lang w:val="fr-FR"/>
        </w:rPr>
        <w:t>y ait aucun doute à ce sujet pour les participants au transport de marchandises dangereuses qui, conformément au 1.4.1, doivent se conformer à toutes les dispositions applicables du RID/ADR.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10.</w:t>
      </w:r>
      <w:r w:rsidRPr="003D16CB">
        <w:rPr>
          <w:lang w:val="fr-FR"/>
        </w:rPr>
        <w:tab/>
        <w:t>En l</w:t>
      </w:r>
      <w:r>
        <w:rPr>
          <w:lang w:val="fr-FR"/>
        </w:rPr>
        <w:t>’</w:t>
      </w:r>
      <w:r w:rsidRPr="003D16CB">
        <w:rPr>
          <w:lang w:val="fr-FR"/>
        </w:rPr>
        <w:t>occurrence, la Pologne a soumis le document informel INF.20 à la session d</w:t>
      </w:r>
      <w:r>
        <w:rPr>
          <w:lang w:val="fr-FR"/>
        </w:rPr>
        <w:t>’</w:t>
      </w:r>
      <w:r w:rsidRPr="003D16CB">
        <w:rPr>
          <w:lang w:val="fr-FR"/>
        </w:rPr>
        <w:t>automne 2018 de la Réunion commune.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11.</w:t>
      </w:r>
      <w:r w:rsidRPr="003D16CB">
        <w:rPr>
          <w:lang w:val="fr-FR"/>
        </w:rPr>
        <w:tab/>
        <w:t>La Pologne est d</w:t>
      </w:r>
      <w:r>
        <w:rPr>
          <w:lang w:val="fr-FR"/>
        </w:rPr>
        <w:t>’</w:t>
      </w:r>
      <w:r w:rsidRPr="003D16CB">
        <w:rPr>
          <w:lang w:val="fr-FR"/>
        </w:rPr>
        <w:t xml:space="preserve">avis que </w:t>
      </w:r>
      <w:r w:rsidRPr="003D16CB">
        <w:rPr>
          <w:iCs/>
          <w:lang w:val="fr-FR"/>
        </w:rPr>
        <w:t>des dispositions relatives au transport d</w:t>
      </w:r>
      <w:r>
        <w:rPr>
          <w:iCs/>
          <w:lang w:val="fr-FR"/>
        </w:rPr>
        <w:t>’</w:t>
      </w:r>
      <w:r w:rsidRPr="003D16CB">
        <w:rPr>
          <w:iCs/>
          <w:lang w:val="fr-FR"/>
        </w:rPr>
        <w:t>un chargement dans les wagons-citernes, citernes amovibles, wagons-batteries (RID)/les citernes fixes (véhicules-citernes), citernes démontables, véhicules-batteries (ADR), conteneurs-citernes, caisses mobiles citernes et CGEM après la date d</w:t>
      </w:r>
      <w:r>
        <w:rPr>
          <w:iCs/>
          <w:lang w:val="fr-FR"/>
        </w:rPr>
        <w:t>’</w:t>
      </w:r>
      <w:r w:rsidRPr="003D16CB">
        <w:rPr>
          <w:iCs/>
          <w:lang w:val="fr-FR"/>
        </w:rPr>
        <w:t xml:space="preserve">expiration du dernier contrôle intermédiaire prescrit </w:t>
      </w:r>
      <w:r w:rsidRPr="003D16CB">
        <w:rPr>
          <w:lang w:val="fr-FR"/>
        </w:rPr>
        <w:t>au 6.8.2.4.3 devraient être introduites dans le RID/ADR.</w:t>
      </w:r>
    </w:p>
    <w:p w:rsidR="003D16CB" w:rsidRPr="003D16CB" w:rsidRDefault="003D16CB" w:rsidP="003D16C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D16CB">
        <w:rPr>
          <w:lang w:val="fr-FR"/>
        </w:rPr>
        <w:t>Proposition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12.</w:t>
      </w:r>
      <w:r w:rsidRPr="003D16CB">
        <w:rPr>
          <w:lang w:val="fr-FR"/>
        </w:rPr>
        <w:tab/>
        <w:t>Modifier le 4.3.2.3.7 comme suit (les ajouts figurent en caractères gras et soulignés, les suppressions en caractères biffés) :</w:t>
      </w:r>
    </w:p>
    <w:p w:rsidR="003D16CB" w:rsidRPr="003D16CB" w:rsidRDefault="003D16CB" w:rsidP="003D16CB">
      <w:pPr>
        <w:pStyle w:val="SingleTxtG"/>
        <w:rPr>
          <w:lang w:val="fr-FR"/>
        </w:rPr>
      </w:pPr>
      <w:r>
        <w:rPr>
          <w:lang w:val="fr-FR"/>
        </w:rPr>
        <w:t>« </w:t>
      </w:r>
      <w:r w:rsidRPr="003D16CB">
        <w:rPr>
          <w:lang w:val="fr-FR"/>
        </w:rPr>
        <w:t>4.3.2.3.7</w:t>
      </w:r>
      <w:r w:rsidRPr="003D16CB">
        <w:rPr>
          <w:lang w:val="fr-FR"/>
        </w:rPr>
        <w:tab/>
        <w:t xml:space="preserve">Les wagons-citernes, citernes amovibles, wagons-batteries (RID)/Les citernes fixes (véhicules-citernes), citernes démontables, véhicules-batteries (ADR), conteneurs-citernes, caisses mobiles citernes et </w:t>
      </w:r>
      <w:r>
        <w:rPr>
          <w:lang w:val="fr-FR"/>
        </w:rPr>
        <w:t>CGEM ne peuvent être remplis ou</w:t>
      </w:r>
      <w:r w:rsidRPr="003D16CB">
        <w:rPr>
          <w:lang w:val="fr-FR"/>
        </w:rPr>
        <w:t xml:space="preserve"> présentés au transport après expiration de la période de validité du contrôle prescrit aux</w:t>
      </w:r>
      <w:r w:rsidRPr="003D16CB">
        <w:rPr>
          <w:i/>
          <w:iCs/>
          <w:lang w:val="fr-FR"/>
        </w:rPr>
        <w:t xml:space="preserve"> </w:t>
      </w:r>
      <w:r w:rsidRPr="003D16CB">
        <w:rPr>
          <w:lang w:val="fr-FR"/>
        </w:rPr>
        <w:t xml:space="preserve">6.8.2.4.2, </w:t>
      </w:r>
      <w:r w:rsidRPr="003D16CB">
        <w:rPr>
          <w:b/>
          <w:bCs/>
          <w:u w:val="single"/>
          <w:lang w:val="fr-FR"/>
        </w:rPr>
        <w:t>6.8.2.4.3</w:t>
      </w:r>
      <w:r w:rsidRPr="003D16CB">
        <w:rPr>
          <w:lang w:val="fr-FR"/>
        </w:rPr>
        <w:t>, 6.8.3.4.6 et 6.8.3.4.12.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Toutefois, les wagons-citernes, citernes amovibles, wagons-batteries (RID)/les citernes fixes (véhicules-citernes), citernes démontables, véhicules-batteries (ADR), conteneurs-citernes, caisses mobiles citernes et CGEM qui ont été remplis avant la date d</w:t>
      </w:r>
      <w:r>
        <w:rPr>
          <w:lang w:val="fr-FR"/>
        </w:rPr>
        <w:t>’</w:t>
      </w:r>
      <w:r w:rsidRPr="003D16CB">
        <w:rPr>
          <w:lang w:val="fr-FR"/>
        </w:rPr>
        <w:t xml:space="preserve">expiration du dernier contrôle périodique peuvent </w:t>
      </w:r>
      <w:r>
        <w:rPr>
          <w:lang w:val="fr-FR"/>
        </w:rPr>
        <w:t>être transportés </w:t>
      </w:r>
      <w:r w:rsidRPr="003D16CB">
        <w:rPr>
          <w:lang w:val="fr-FR"/>
        </w:rPr>
        <w:t>: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a)</w:t>
      </w:r>
      <w:r w:rsidRPr="003D16CB">
        <w:rPr>
          <w:lang w:val="fr-FR"/>
        </w:rPr>
        <w:tab/>
        <w:t xml:space="preserve">Pendant une période ne dépassant pas un mois suivant </w:t>
      </w:r>
      <w:r w:rsidRPr="003D16CB">
        <w:rPr>
          <w:b/>
          <w:bCs/>
          <w:u w:val="single"/>
          <w:lang w:val="fr-FR"/>
        </w:rPr>
        <w:t>la date d</w:t>
      </w:r>
      <w:r>
        <w:rPr>
          <w:lang w:val="fr-FR"/>
        </w:rPr>
        <w:t>’</w:t>
      </w:r>
      <w:r w:rsidRPr="003D16CB">
        <w:rPr>
          <w:lang w:val="fr-FR"/>
        </w:rPr>
        <w:t xml:space="preserve">expiration de ce délai </w:t>
      </w:r>
      <w:r w:rsidRPr="003D16CB">
        <w:rPr>
          <w:b/>
          <w:bCs/>
          <w:u w:val="single"/>
          <w:lang w:val="fr-FR"/>
        </w:rPr>
        <w:t>du dernier contrôle périodique</w:t>
      </w:r>
      <w:r>
        <w:rPr>
          <w:b/>
          <w:bCs/>
          <w:u w:val="single"/>
          <w:lang w:val="fr-FR"/>
        </w:rPr>
        <w:t> </w:t>
      </w:r>
      <w:r w:rsidRPr="003D16CB">
        <w:rPr>
          <w:lang w:val="fr-FR"/>
        </w:rPr>
        <w:t>;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b)</w:t>
      </w:r>
      <w:r w:rsidRPr="003D16CB">
        <w:rPr>
          <w:lang w:val="fr-FR"/>
        </w:rPr>
        <w:tab/>
        <w:t>Sauf si l</w:t>
      </w:r>
      <w:r>
        <w:rPr>
          <w:lang w:val="fr-FR"/>
        </w:rPr>
        <w:t>’</w:t>
      </w:r>
      <w:r w:rsidRPr="003D16CB">
        <w:rPr>
          <w:lang w:val="fr-FR"/>
        </w:rPr>
        <w:t xml:space="preserve">autorité compétente en dispose autrement, pendant une période ne dépassant pas trois mois au-delà de cette date </w:t>
      </w:r>
      <w:r w:rsidRPr="003D16CB">
        <w:rPr>
          <w:b/>
          <w:bCs/>
          <w:u w:val="single"/>
          <w:lang w:val="fr-FR"/>
        </w:rPr>
        <w:t>la date d</w:t>
      </w:r>
      <w:r>
        <w:rPr>
          <w:b/>
          <w:bCs/>
          <w:u w:val="single"/>
          <w:lang w:val="fr-FR"/>
        </w:rPr>
        <w:t>’</w:t>
      </w:r>
      <w:r w:rsidRPr="003D16CB">
        <w:rPr>
          <w:b/>
          <w:bCs/>
          <w:u w:val="single"/>
          <w:lang w:val="fr-FR"/>
        </w:rPr>
        <w:t>expiration du dernier contrôle périodique</w:t>
      </w:r>
      <w:r w:rsidRPr="003D16CB">
        <w:rPr>
          <w:lang w:val="fr-FR"/>
        </w:rPr>
        <w:t>, lorsqu</w:t>
      </w:r>
      <w:r>
        <w:rPr>
          <w:lang w:val="fr-FR"/>
        </w:rPr>
        <w:t>’</w:t>
      </w:r>
      <w:r w:rsidRPr="003D16CB">
        <w:rPr>
          <w:lang w:val="fr-FR"/>
        </w:rPr>
        <w:t>elles contiennent des marchandises dangereuses retournées aux fins d</w:t>
      </w:r>
      <w:r>
        <w:rPr>
          <w:lang w:val="fr-FR"/>
        </w:rPr>
        <w:t>’</w:t>
      </w:r>
      <w:r w:rsidRPr="003D16CB">
        <w:rPr>
          <w:lang w:val="fr-FR"/>
        </w:rPr>
        <w:t xml:space="preserve">élimination ou de recyclage. </w:t>
      </w:r>
      <w:r w:rsidRPr="003D16CB">
        <w:rPr>
          <w:iCs/>
          <w:lang w:val="fr-FR"/>
        </w:rPr>
        <w:t>Le document de transport doit faire état de cette exemption</w:t>
      </w:r>
      <w:r>
        <w:rPr>
          <w:bCs/>
          <w:iCs/>
          <w:lang w:val="fr-FR"/>
        </w:rPr>
        <w:t> </w:t>
      </w:r>
      <w:r w:rsidRPr="003D16CB">
        <w:rPr>
          <w:bCs/>
          <w:iCs/>
          <w:lang w:val="fr-FR"/>
        </w:rPr>
        <w:t>;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1735BC">
        <w:rPr>
          <w:b/>
          <w:u w:val="single"/>
          <w:lang w:val="fr-FR"/>
        </w:rPr>
        <w:t>c)</w:t>
      </w:r>
      <w:r w:rsidRPr="001735BC">
        <w:rPr>
          <w:b/>
          <w:u w:val="single"/>
          <w:lang w:val="fr-FR"/>
        </w:rPr>
        <w:tab/>
      </w:r>
      <w:r w:rsidRPr="003D16CB">
        <w:rPr>
          <w:b/>
          <w:bCs/>
          <w:u w:val="single"/>
          <w:lang w:val="fr-FR"/>
        </w:rPr>
        <w:t>Pendant une période ne dépassant pas trois mois suivant la date d</w:t>
      </w:r>
      <w:r>
        <w:rPr>
          <w:b/>
          <w:bCs/>
          <w:u w:val="single"/>
          <w:lang w:val="fr-FR"/>
        </w:rPr>
        <w:t>’</w:t>
      </w:r>
      <w:r w:rsidRPr="003D16CB">
        <w:rPr>
          <w:b/>
          <w:bCs/>
          <w:u w:val="single"/>
          <w:lang w:val="fr-FR"/>
        </w:rPr>
        <w:t>expiration du dernier contrôle intermédiaire</w:t>
      </w:r>
      <w:r w:rsidRPr="001735BC">
        <w:rPr>
          <w:b/>
          <w:u w:val="single"/>
          <w:lang w:val="fr-FR"/>
        </w:rPr>
        <w:t>.</w:t>
      </w:r>
      <w:r>
        <w:rPr>
          <w:lang w:val="fr-FR"/>
        </w:rPr>
        <w:t> ».</w:t>
      </w:r>
    </w:p>
    <w:p w:rsidR="003D16CB" w:rsidRPr="003D16CB" w:rsidRDefault="003D16CB" w:rsidP="003D16CB">
      <w:pPr>
        <w:pStyle w:val="H1G"/>
        <w:rPr>
          <w:lang w:val="fr-FR"/>
        </w:rPr>
      </w:pPr>
      <w:r w:rsidRPr="003D16CB">
        <w:rPr>
          <w:lang w:val="fr-FR"/>
        </w:rPr>
        <w:tab/>
      </w:r>
      <w:r w:rsidRPr="003D16CB">
        <w:rPr>
          <w:lang w:val="fr-FR"/>
        </w:rPr>
        <w:tab/>
        <w:t>Amendements corollaires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13.</w:t>
      </w:r>
      <w:r w:rsidRPr="003D16CB">
        <w:rPr>
          <w:lang w:val="fr-FR"/>
        </w:rPr>
        <w:tab/>
        <w:t>Il n</w:t>
      </w:r>
      <w:r>
        <w:rPr>
          <w:lang w:val="fr-FR"/>
        </w:rPr>
        <w:t>’</w:t>
      </w:r>
      <w:r w:rsidRPr="003D16CB">
        <w:rPr>
          <w:lang w:val="fr-FR"/>
        </w:rPr>
        <w:t>est pas nécessaire de modifier le 5.4.1.1.11 ou l</w:t>
      </w:r>
      <w:r>
        <w:rPr>
          <w:lang w:val="fr-FR"/>
        </w:rPr>
        <w:t>’</w:t>
      </w:r>
      <w:r w:rsidRPr="003D16CB">
        <w:rPr>
          <w:lang w:val="fr-FR"/>
        </w:rPr>
        <w:t>alinéa d) du 1.4.2.2.1 du RID/ADR.</w:t>
      </w:r>
    </w:p>
    <w:p w:rsidR="003D16CB" w:rsidRPr="003D16CB" w:rsidRDefault="003D16CB" w:rsidP="003D16CB">
      <w:pPr>
        <w:pStyle w:val="HChG"/>
        <w:rPr>
          <w:lang w:val="fr-FR"/>
        </w:rPr>
      </w:pPr>
      <w:r w:rsidRPr="003D16CB">
        <w:rPr>
          <w:lang w:val="fr-FR"/>
        </w:rPr>
        <w:lastRenderedPageBreak/>
        <w:tab/>
      </w:r>
      <w:r w:rsidRPr="003D16CB">
        <w:rPr>
          <w:lang w:val="fr-FR"/>
        </w:rPr>
        <w:tab/>
        <w:t>Justification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14.</w:t>
      </w:r>
      <w:r w:rsidRPr="003D16CB">
        <w:rPr>
          <w:lang w:val="fr-FR"/>
        </w:rPr>
        <w:tab/>
        <w:t>La modification proposée vise à adopter une approche uniforme du transport de marchandises dangereuses dans les wagons-citernes, citernes amovibles, wagons-batteries (RID)/les citernes fixes (véhicules-citernes), citernes démontables, véhicules-batteries (ADR), conteneurs-citernes, caisses mobiles citernes et CGEM après la date d</w:t>
      </w:r>
      <w:r>
        <w:rPr>
          <w:lang w:val="fr-FR"/>
        </w:rPr>
        <w:t>’</w:t>
      </w:r>
      <w:r w:rsidRPr="003D16CB">
        <w:rPr>
          <w:lang w:val="fr-FR"/>
        </w:rPr>
        <w:t>expiration du dernier contrôle intermédiaire.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15.</w:t>
      </w:r>
      <w:r w:rsidRPr="003D16CB">
        <w:rPr>
          <w:lang w:val="fr-FR"/>
        </w:rPr>
        <w:tab/>
        <w:t>Cela permettrait d</w:t>
      </w:r>
      <w:r>
        <w:rPr>
          <w:lang w:val="fr-FR"/>
        </w:rPr>
        <w:t>’</w:t>
      </w:r>
      <w:r w:rsidRPr="003D16CB">
        <w:rPr>
          <w:lang w:val="fr-FR"/>
        </w:rPr>
        <w:t>éviter les positions divergentes à ce sujet.</w:t>
      </w:r>
    </w:p>
    <w:p w:rsidR="003D16CB" w:rsidRPr="003D16CB" w:rsidRDefault="003D16CB" w:rsidP="003D16CB">
      <w:pPr>
        <w:pStyle w:val="SingleTxtG"/>
        <w:rPr>
          <w:lang w:val="fr-FR"/>
        </w:rPr>
      </w:pPr>
      <w:r w:rsidRPr="003D16CB">
        <w:rPr>
          <w:lang w:val="fr-FR"/>
        </w:rPr>
        <w:t>16.</w:t>
      </w:r>
      <w:r w:rsidRPr="003D16CB">
        <w:rPr>
          <w:lang w:val="fr-FR"/>
        </w:rPr>
        <w:tab/>
        <w:t>La possibilité, mentionnée au 6.8.2.4.3, d</w:t>
      </w:r>
      <w:r>
        <w:rPr>
          <w:lang w:val="fr-FR"/>
        </w:rPr>
        <w:t>’</w:t>
      </w:r>
      <w:r w:rsidRPr="003D16CB">
        <w:rPr>
          <w:lang w:val="fr-FR"/>
        </w:rPr>
        <w:t>effectuer un contrôle intermédiaire avec une tolérance de trois mois avant ou après la date spécifiée conduit à adopter une approche différente en ce qui concerne la possibilité de transporter des marchandises dans les trois mois suivant la date d</w:t>
      </w:r>
      <w:r>
        <w:rPr>
          <w:lang w:val="fr-FR"/>
        </w:rPr>
        <w:t>’</w:t>
      </w:r>
      <w:r w:rsidRPr="003D16CB">
        <w:rPr>
          <w:lang w:val="fr-FR"/>
        </w:rPr>
        <w:t>expiration du dernier contrôle.</w:t>
      </w:r>
    </w:p>
    <w:p w:rsidR="00767F22" w:rsidRPr="00767F22" w:rsidRDefault="003D16CB" w:rsidP="003D16CB">
      <w:pPr>
        <w:pStyle w:val="SingleTxtG"/>
      </w:pPr>
      <w:r w:rsidRPr="003D16CB">
        <w:rPr>
          <w:lang w:val="fr-FR"/>
        </w:rPr>
        <w:t>17.</w:t>
      </w:r>
      <w:r w:rsidRPr="003D16CB">
        <w:rPr>
          <w:lang w:val="fr-FR"/>
        </w:rPr>
        <w:tab/>
        <w:t>L</w:t>
      </w:r>
      <w:r>
        <w:rPr>
          <w:lang w:val="fr-FR"/>
        </w:rPr>
        <w:t>’</w:t>
      </w:r>
      <w:r w:rsidRPr="003D16CB">
        <w:rPr>
          <w:lang w:val="fr-FR"/>
        </w:rPr>
        <w:t>introduction de la modification proposée dans le RID/ADR permettra d</w:t>
      </w:r>
      <w:r>
        <w:rPr>
          <w:lang w:val="fr-FR"/>
        </w:rPr>
        <w:t>’</w:t>
      </w:r>
      <w:r w:rsidRPr="003D16CB">
        <w:rPr>
          <w:lang w:val="fr-FR"/>
        </w:rPr>
        <w:t>adopter une position unifiée concernant le transport dans les wagons-citernes, citernes amovibles, wagons-batteries (RID)/les citernes fixes (véhicules-citernes), citernes démontables, véhicules-batteries (ADR), conteneurs-citernes, caisses mobiles citernes et CGEM après la date d</w:t>
      </w:r>
      <w:r>
        <w:rPr>
          <w:lang w:val="fr-FR"/>
        </w:rPr>
        <w:t>’</w:t>
      </w:r>
      <w:r w:rsidRPr="003D16CB">
        <w:rPr>
          <w:lang w:val="fr-FR"/>
        </w:rPr>
        <w:t>expiration du dernier contrôle intermédiaire.</w:t>
      </w:r>
    </w:p>
    <w:p w:rsidR="00767F22" w:rsidRPr="003D16CB" w:rsidRDefault="003D16CB" w:rsidP="003D16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7F22" w:rsidRPr="003D16CB" w:rsidSect="00767F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85" w:rsidRDefault="00596085" w:rsidP="00F95C08">
      <w:pPr>
        <w:spacing w:line="240" w:lineRule="auto"/>
      </w:pPr>
    </w:p>
  </w:endnote>
  <w:endnote w:type="continuationSeparator" w:id="0">
    <w:p w:rsidR="00596085" w:rsidRPr="00AC3823" w:rsidRDefault="00596085" w:rsidP="00AC3823">
      <w:pPr>
        <w:pStyle w:val="Footer"/>
      </w:pPr>
    </w:p>
  </w:endnote>
  <w:endnote w:type="continuationNotice" w:id="1">
    <w:p w:rsidR="00596085" w:rsidRDefault="005960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2" w:rsidRPr="00767F22" w:rsidRDefault="00767F22" w:rsidP="00767F22">
    <w:pPr>
      <w:pStyle w:val="Footer"/>
      <w:tabs>
        <w:tab w:val="right" w:pos="9638"/>
      </w:tabs>
    </w:pPr>
    <w:r w:rsidRPr="00767F22">
      <w:rPr>
        <w:b/>
        <w:sz w:val="18"/>
      </w:rPr>
      <w:fldChar w:fldCharType="begin"/>
    </w:r>
    <w:r w:rsidRPr="00767F22">
      <w:rPr>
        <w:b/>
        <w:sz w:val="18"/>
      </w:rPr>
      <w:instrText xml:space="preserve"> PAGE  \* MERGEFORMAT </w:instrText>
    </w:r>
    <w:r w:rsidRPr="00767F22">
      <w:rPr>
        <w:b/>
        <w:sz w:val="18"/>
      </w:rPr>
      <w:fldChar w:fldCharType="separate"/>
    </w:r>
    <w:r w:rsidR="006509D2">
      <w:rPr>
        <w:b/>
        <w:noProof/>
        <w:sz w:val="18"/>
      </w:rPr>
      <w:t>2</w:t>
    </w:r>
    <w:r w:rsidRPr="00767F22">
      <w:rPr>
        <w:b/>
        <w:sz w:val="18"/>
      </w:rPr>
      <w:fldChar w:fldCharType="end"/>
    </w:r>
    <w:r>
      <w:rPr>
        <w:b/>
        <w:sz w:val="18"/>
      </w:rPr>
      <w:tab/>
    </w:r>
    <w:r>
      <w:t>GE.18-22818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2" w:rsidRPr="00767F22" w:rsidRDefault="00767F22" w:rsidP="00767F22">
    <w:pPr>
      <w:pStyle w:val="Footer"/>
      <w:tabs>
        <w:tab w:val="right" w:pos="9638"/>
      </w:tabs>
      <w:rPr>
        <w:b/>
        <w:sz w:val="18"/>
      </w:rPr>
    </w:pPr>
    <w:r>
      <w:t>GE.18-22818</w:t>
    </w:r>
    <w:r>
      <w:tab/>
    </w:r>
    <w:r w:rsidRPr="00767F22">
      <w:rPr>
        <w:b/>
        <w:sz w:val="18"/>
      </w:rPr>
      <w:fldChar w:fldCharType="begin"/>
    </w:r>
    <w:r w:rsidRPr="00767F22">
      <w:rPr>
        <w:b/>
        <w:sz w:val="18"/>
      </w:rPr>
      <w:instrText xml:space="preserve"> PAGE  \* MERGEFORMAT </w:instrText>
    </w:r>
    <w:r w:rsidRPr="00767F22">
      <w:rPr>
        <w:b/>
        <w:sz w:val="18"/>
      </w:rPr>
      <w:fldChar w:fldCharType="separate"/>
    </w:r>
    <w:r w:rsidR="006509D2">
      <w:rPr>
        <w:b/>
        <w:noProof/>
        <w:sz w:val="18"/>
      </w:rPr>
      <w:t>3</w:t>
    </w:r>
    <w:r w:rsidRPr="00767F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767F22" w:rsidRDefault="00767F22" w:rsidP="00767F2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22818  (</w:t>
    </w:r>
    <w:proofErr w:type="gramEnd"/>
    <w:r>
      <w:rPr>
        <w:sz w:val="20"/>
      </w:rPr>
      <w:t>F)</w:t>
    </w:r>
    <w:r w:rsidR="003D16CB">
      <w:rPr>
        <w:sz w:val="20"/>
      </w:rPr>
      <w:t xml:space="preserve">    250119    290119</w:t>
    </w:r>
    <w:r>
      <w:rPr>
        <w:sz w:val="20"/>
      </w:rPr>
      <w:br/>
    </w:r>
    <w:r w:rsidRPr="00767F22">
      <w:rPr>
        <w:rFonts w:ascii="C39T30Lfz" w:hAnsi="C39T30Lfz"/>
        <w:sz w:val="56"/>
      </w:rPr>
      <w:t></w:t>
    </w:r>
    <w:r w:rsidRPr="00767F22">
      <w:rPr>
        <w:rFonts w:ascii="C39T30Lfz" w:hAnsi="C39T30Lfz"/>
        <w:sz w:val="56"/>
      </w:rPr>
      <w:t></w:t>
    </w:r>
    <w:r w:rsidRPr="00767F22">
      <w:rPr>
        <w:rFonts w:ascii="C39T30Lfz" w:hAnsi="C39T30Lfz"/>
        <w:sz w:val="56"/>
      </w:rPr>
      <w:t></w:t>
    </w:r>
    <w:r w:rsidRPr="00767F22">
      <w:rPr>
        <w:rFonts w:ascii="C39T30Lfz" w:hAnsi="C39T30Lfz"/>
        <w:sz w:val="56"/>
      </w:rPr>
      <w:t></w:t>
    </w:r>
    <w:r w:rsidRPr="00767F22">
      <w:rPr>
        <w:rFonts w:ascii="C39T30Lfz" w:hAnsi="C39T30Lfz"/>
        <w:sz w:val="56"/>
      </w:rPr>
      <w:t></w:t>
    </w:r>
    <w:r w:rsidRPr="00767F22">
      <w:rPr>
        <w:rFonts w:ascii="C39T30Lfz" w:hAnsi="C39T30Lfz"/>
        <w:sz w:val="56"/>
      </w:rPr>
      <w:t></w:t>
    </w:r>
    <w:r w:rsidRPr="00767F22">
      <w:rPr>
        <w:rFonts w:ascii="C39T30Lfz" w:hAnsi="C39T30Lfz"/>
        <w:sz w:val="56"/>
      </w:rPr>
      <w:t></w:t>
    </w:r>
    <w:r w:rsidRPr="00767F22">
      <w:rPr>
        <w:rFonts w:ascii="C39T30Lfz" w:hAnsi="C39T30Lfz"/>
        <w:sz w:val="56"/>
      </w:rPr>
      <w:t></w:t>
    </w:r>
    <w:r w:rsidRPr="00767F2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85" w:rsidRPr="00AC3823" w:rsidRDefault="0059608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6085" w:rsidRPr="00AC3823" w:rsidRDefault="0059608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6085" w:rsidRPr="00AC3823" w:rsidRDefault="00596085">
      <w:pPr>
        <w:spacing w:line="240" w:lineRule="auto"/>
        <w:rPr>
          <w:sz w:val="2"/>
          <w:szCs w:val="2"/>
        </w:rPr>
      </w:pPr>
    </w:p>
  </w:footnote>
  <w:footnote w:id="2">
    <w:p w:rsidR="00767F22" w:rsidRPr="00767F22" w:rsidRDefault="00767F22" w:rsidP="00767F22">
      <w:pPr>
        <w:pStyle w:val="FootnoteText"/>
      </w:pPr>
      <w:r>
        <w:rPr>
          <w:rStyle w:val="FootnoteReference"/>
        </w:rPr>
        <w:tab/>
      </w:r>
      <w:r w:rsidRPr="00767F2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67F22">
        <w:t>Conformément</w:t>
      </w:r>
      <w:r>
        <w:rPr>
          <w:lang w:val="fr-FR"/>
        </w:rPr>
        <w:t xml:space="preserve"> au programme de travail du Comité des transports intérieurs pour 2018-2019 (ECE/TRANS/WP.15/237, annexe V, (9.2)).</w:t>
      </w:r>
    </w:p>
  </w:footnote>
  <w:footnote w:id="3">
    <w:p w:rsidR="00767F22" w:rsidRPr="00767F22" w:rsidRDefault="00767F22" w:rsidP="00767F22">
      <w:pPr>
        <w:pStyle w:val="FootnoteText"/>
      </w:pPr>
      <w:r>
        <w:rPr>
          <w:rStyle w:val="FootnoteReference"/>
        </w:rPr>
        <w:tab/>
      </w:r>
      <w:r w:rsidRPr="00767F2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Diffusée par l’Organisation </w:t>
      </w:r>
      <w:r w:rsidRPr="00767F22">
        <w:t>intergouvernementale</w:t>
      </w:r>
      <w:r>
        <w:rPr>
          <w:lang w:val="fr-FR"/>
        </w:rPr>
        <w:t xml:space="preserve"> pour les transports internationaux ferroviaires (OTIF) sous la cote OTIF/RID/RC/2019/19.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2" w:rsidRPr="00767F22" w:rsidRDefault="00103A1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509D2">
      <w:t>ECE/TRANS/WP.15/AC.1/2019/19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2" w:rsidRPr="00767F22" w:rsidRDefault="00103A1C" w:rsidP="00767F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509D2">
      <w:t>ECE/TRANS/WP.15/AC.1/2019/19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53EEE4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EC702E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37A2B4C2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85"/>
    <w:rsid w:val="00017F94"/>
    <w:rsid w:val="00023842"/>
    <w:rsid w:val="000334F9"/>
    <w:rsid w:val="00045FEB"/>
    <w:rsid w:val="0007796D"/>
    <w:rsid w:val="000B7790"/>
    <w:rsid w:val="00103A1C"/>
    <w:rsid w:val="00111F2F"/>
    <w:rsid w:val="0014365E"/>
    <w:rsid w:val="00143C66"/>
    <w:rsid w:val="001735BC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16CB"/>
    <w:rsid w:val="003D60AA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085"/>
    <w:rsid w:val="00596AA9"/>
    <w:rsid w:val="006509D2"/>
    <w:rsid w:val="0071601D"/>
    <w:rsid w:val="00767F22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44545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49C16F-BC75-4F4B-85E1-2EFC8D54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F2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67F22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67F2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767F2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767F2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767F2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767F2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67F2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67F2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767F2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67F22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67F22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67F22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67F22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67F2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67F2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67F2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67F2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67F2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67F2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67F22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67F2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67F2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67F2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67F2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67F22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67F22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67F22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67F2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67F2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67F22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67F22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67F22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67F2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67F22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67F22"/>
  </w:style>
  <w:style w:type="character" w:customStyle="1" w:styleId="EndnoteTextChar">
    <w:name w:val="Endnote Text Char"/>
    <w:aliases w:val="2_G Char"/>
    <w:basedOn w:val="DefaultParagraphFont"/>
    <w:link w:val="EndnoteText"/>
    <w:rsid w:val="00767F22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67F2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67F2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67F2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ECE/TRANS/WP.15/AC.1/2019/19</vt:lpstr>
      <vt:lpstr>ECE/TRANS/WP.15/AC.1/2019/19</vt:lpstr>
    </vt:vector>
  </TitlesOfParts>
  <Company>DCM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ECE/TRANS/WP.15/AC.1/2019/19</dc:title>
  <dc:subject/>
  <dc:creator>Fabienne CRELIER</dc:creator>
  <cp:keywords/>
  <cp:lastModifiedBy>Christine Barrio-Champeau</cp:lastModifiedBy>
  <cp:revision>2</cp:revision>
  <cp:lastPrinted>2019-01-29T14:53:00Z</cp:lastPrinted>
  <dcterms:created xsi:type="dcterms:W3CDTF">2019-01-30T10:09:00Z</dcterms:created>
  <dcterms:modified xsi:type="dcterms:W3CDTF">2019-01-30T10:09:00Z</dcterms:modified>
</cp:coreProperties>
</file>