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35A9F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335A9F" w:rsidRDefault="00F35BAF" w:rsidP="00335A9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335A9F" w:rsidRDefault="00F35BAF" w:rsidP="00C97039">
            <w:pPr>
              <w:spacing w:after="80" w:line="300" w:lineRule="exact"/>
              <w:rPr>
                <w:sz w:val="28"/>
              </w:rPr>
            </w:pPr>
            <w:r w:rsidRPr="00335A9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35A9F" w:rsidRDefault="00335A9F" w:rsidP="00335A9F">
            <w:pPr>
              <w:jc w:val="right"/>
            </w:pPr>
            <w:r w:rsidRPr="00335A9F">
              <w:rPr>
                <w:sz w:val="40"/>
              </w:rPr>
              <w:t>ECE</w:t>
            </w:r>
            <w:r w:rsidRPr="00335A9F">
              <w:t>/TRANS/WP.15/AC.1/2019/15</w:t>
            </w:r>
          </w:p>
        </w:tc>
      </w:tr>
      <w:tr w:rsidR="00F35BAF" w:rsidRPr="00335A9F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35A9F" w:rsidRDefault="00F35BAF" w:rsidP="00C97039">
            <w:pPr>
              <w:spacing w:before="120"/>
              <w:jc w:val="center"/>
            </w:pPr>
            <w:r w:rsidRPr="00335A9F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335A9F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35A9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35A9F" w:rsidRDefault="00335A9F" w:rsidP="00C97039">
            <w:pPr>
              <w:spacing w:before="240"/>
            </w:pPr>
            <w:r w:rsidRPr="00335A9F">
              <w:t>Distr. générale</w:t>
            </w:r>
          </w:p>
          <w:p w:rsidR="00335A9F" w:rsidRPr="00335A9F" w:rsidRDefault="00335A9F" w:rsidP="00335A9F">
            <w:pPr>
              <w:spacing w:line="240" w:lineRule="exact"/>
            </w:pPr>
            <w:r w:rsidRPr="00335A9F">
              <w:t>28 décembre 2018</w:t>
            </w:r>
          </w:p>
          <w:p w:rsidR="00335A9F" w:rsidRPr="00335A9F" w:rsidRDefault="00335A9F" w:rsidP="00335A9F">
            <w:pPr>
              <w:spacing w:line="240" w:lineRule="exact"/>
            </w:pPr>
            <w:r w:rsidRPr="00335A9F">
              <w:t>Français</w:t>
            </w:r>
          </w:p>
          <w:p w:rsidR="00335A9F" w:rsidRPr="00335A9F" w:rsidRDefault="00335A9F" w:rsidP="00335A9F">
            <w:pPr>
              <w:spacing w:line="240" w:lineRule="exact"/>
            </w:pPr>
            <w:r w:rsidRPr="00335A9F">
              <w:t>Original : anglais</w:t>
            </w:r>
          </w:p>
        </w:tc>
      </w:tr>
    </w:tbl>
    <w:p w:rsidR="007F20FA" w:rsidRPr="00335A9F" w:rsidRDefault="007F20FA" w:rsidP="007F20FA">
      <w:pPr>
        <w:spacing w:before="120"/>
        <w:rPr>
          <w:b/>
          <w:sz w:val="28"/>
          <w:szCs w:val="28"/>
        </w:rPr>
      </w:pPr>
      <w:r w:rsidRPr="00335A9F">
        <w:rPr>
          <w:b/>
          <w:sz w:val="28"/>
          <w:szCs w:val="28"/>
        </w:rPr>
        <w:t>Commission économique pour l’Europe</w:t>
      </w:r>
    </w:p>
    <w:p w:rsidR="007F20FA" w:rsidRPr="00335A9F" w:rsidRDefault="007F20FA" w:rsidP="007F20FA">
      <w:pPr>
        <w:spacing w:before="120"/>
        <w:rPr>
          <w:sz w:val="28"/>
          <w:szCs w:val="28"/>
        </w:rPr>
      </w:pPr>
      <w:r w:rsidRPr="00335A9F">
        <w:rPr>
          <w:sz w:val="28"/>
          <w:szCs w:val="28"/>
        </w:rPr>
        <w:t>Comité des transports intérieurs</w:t>
      </w:r>
    </w:p>
    <w:p w:rsidR="00335A9F" w:rsidRPr="00335A9F" w:rsidRDefault="00335A9F" w:rsidP="00AF0CB5">
      <w:pPr>
        <w:spacing w:before="120"/>
        <w:rPr>
          <w:b/>
          <w:sz w:val="24"/>
          <w:szCs w:val="24"/>
        </w:rPr>
      </w:pPr>
      <w:r w:rsidRPr="00335A9F">
        <w:rPr>
          <w:b/>
          <w:sz w:val="24"/>
          <w:szCs w:val="24"/>
        </w:rPr>
        <w:t>Groupe de travail des transports de marchandises dangereuses</w:t>
      </w:r>
    </w:p>
    <w:p w:rsidR="00335A9F" w:rsidRPr="00335A9F" w:rsidRDefault="00335A9F" w:rsidP="00AF0CB5">
      <w:pPr>
        <w:spacing w:before="120"/>
        <w:rPr>
          <w:b/>
        </w:rPr>
      </w:pPr>
      <w:r w:rsidRPr="00335A9F">
        <w:rPr>
          <w:b/>
        </w:rPr>
        <w:t>Réunion commune de la Commission d’experts du RID et</w:t>
      </w:r>
      <w:r w:rsidRPr="00335A9F">
        <w:rPr>
          <w:b/>
        </w:rPr>
        <w:br/>
        <w:t>du Groupe de travail des transports de marchandises dangereuses</w:t>
      </w:r>
    </w:p>
    <w:p w:rsidR="00335A9F" w:rsidRPr="00335A9F" w:rsidRDefault="00335A9F" w:rsidP="00335A9F">
      <w:r w:rsidRPr="00335A9F">
        <w:t>Berne, 18-22 mars 2019</w:t>
      </w:r>
    </w:p>
    <w:p w:rsidR="00335A9F" w:rsidRPr="00335A9F" w:rsidRDefault="00335A9F" w:rsidP="00335A9F">
      <w:r w:rsidRPr="00335A9F">
        <w:t>Point 5 b) de l’ordre du jour provisoire</w:t>
      </w:r>
    </w:p>
    <w:p w:rsidR="00F9573C" w:rsidRPr="00335A9F" w:rsidRDefault="00335A9F" w:rsidP="00335A9F">
      <w:pPr>
        <w:rPr>
          <w:b/>
        </w:rPr>
      </w:pPr>
      <w:r w:rsidRPr="00335A9F">
        <w:rPr>
          <w:b/>
        </w:rPr>
        <w:t xml:space="preserve">Propositions diverses d’amendements au RID/ADR/ADN : </w:t>
      </w:r>
      <w:r w:rsidRPr="00335A9F">
        <w:rPr>
          <w:b/>
        </w:rPr>
        <w:br/>
        <w:t>nouvelles propositions</w:t>
      </w:r>
    </w:p>
    <w:p w:rsidR="00335A9F" w:rsidRPr="00335A9F" w:rsidRDefault="00335A9F" w:rsidP="00335A9F">
      <w:pPr>
        <w:pStyle w:val="HChG"/>
      </w:pPr>
      <w:r w:rsidRPr="00335A9F">
        <w:tab/>
      </w:r>
      <w:r w:rsidRPr="00335A9F">
        <w:tab/>
        <w:t>Utilisation des emballages, y compris les grands récipients pour vrac (GRV) et les grands emballages</w:t>
      </w:r>
    </w:p>
    <w:p w:rsidR="00335A9F" w:rsidRPr="00335A9F" w:rsidRDefault="00335A9F" w:rsidP="00335A9F">
      <w:pPr>
        <w:pStyle w:val="H1G"/>
        <w:rPr>
          <w:b w:val="0"/>
          <w:sz w:val="20"/>
        </w:rPr>
      </w:pPr>
      <w:r w:rsidRPr="00335A9F">
        <w:tab/>
      </w:r>
      <w:r w:rsidRPr="00335A9F">
        <w:tab/>
        <w:t>Communication du Gouvernement espagnol</w:t>
      </w:r>
      <w:r w:rsidRPr="00335A9F">
        <w:rPr>
          <w:b w:val="0"/>
          <w:sz w:val="20"/>
        </w:rPr>
        <w:footnoteReference w:customMarkFollows="1" w:id="2"/>
        <w:t>*</w:t>
      </w:r>
      <w:r w:rsidRPr="00335A9F">
        <w:rPr>
          <w:vertAlign w:val="superscript"/>
        </w:rPr>
        <w:t xml:space="preserve">, </w:t>
      </w:r>
      <w:r w:rsidRPr="00335A9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335A9F" w:rsidRPr="00335A9F">
        <w:trPr>
          <w:jc w:val="center"/>
        </w:trPr>
        <w:tc>
          <w:tcPr>
            <w:tcW w:w="9637" w:type="dxa"/>
            <w:shd w:val="clear" w:color="auto" w:fill="auto"/>
          </w:tcPr>
          <w:p w:rsidR="00335A9F" w:rsidRPr="00335A9F" w:rsidRDefault="00335A9F">
            <w:pPr>
              <w:spacing w:before="240" w:after="120"/>
              <w:ind w:left="255"/>
              <w:rPr>
                <w:i/>
                <w:sz w:val="24"/>
              </w:rPr>
            </w:pPr>
            <w:r w:rsidRPr="00335A9F">
              <w:rPr>
                <w:i/>
                <w:sz w:val="24"/>
              </w:rPr>
              <w:t>Résumé</w:t>
            </w:r>
          </w:p>
        </w:tc>
      </w:tr>
      <w:tr w:rsidR="00335A9F" w:rsidRPr="00335A9F">
        <w:trPr>
          <w:jc w:val="center"/>
        </w:trPr>
        <w:tc>
          <w:tcPr>
            <w:tcW w:w="9637" w:type="dxa"/>
            <w:shd w:val="clear" w:color="auto" w:fill="auto"/>
          </w:tcPr>
          <w:p w:rsidR="00335A9F" w:rsidRPr="00335A9F" w:rsidRDefault="00335A9F" w:rsidP="00335A9F">
            <w:pPr>
              <w:pStyle w:val="SingleTxtG"/>
            </w:pPr>
            <w:r w:rsidRPr="00335A9F">
              <w:rPr>
                <w:b/>
                <w:bCs/>
              </w:rPr>
              <w:t>Résumé analytique </w:t>
            </w:r>
            <w:r w:rsidRPr="00335A9F">
              <w:t>:</w:t>
            </w:r>
            <w:r w:rsidRPr="00335A9F">
              <w:tab/>
              <w:t>Analyser le renvoi figurant dans le 4.1.1.3 du RID/ADR.</w:t>
            </w:r>
          </w:p>
        </w:tc>
      </w:tr>
      <w:tr w:rsidR="00335A9F" w:rsidRPr="00335A9F">
        <w:trPr>
          <w:jc w:val="center"/>
        </w:trPr>
        <w:tc>
          <w:tcPr>
            <w:tcW w:w="9637" w:type="dxa"/>
            <w:shd w:val="clear" w:color="auto" w:fill="auto"/>
          </w:tcPr>
          <w:p w:rsidR="00335A9F" w:rsidRPr="00335A9F" w:rsidRDefault="00335A9F">
            <w:pPr>
              <w:pStyle w:val="SingleTxtG"/>
            </w:pPr>
            <w:r w:rsidRPr="00335A9F">
              <w:rPr>
                <w:b/>
                <w:bCs/>
              </w:rPr>
              <w:t>Mesure à prendre :</w:t>
            </w:r>
            <w:r w:rsidRPr="00335A9F">
              <w:tab/>
            </w:r>
            <w:r w:rsidRPr="00335A9F">
              <w:tab/>
              <w:t>Supprimer la dernière phrase du 4.1.1.3 du RID/ADR.</w:t>
            </w:r>
          </w:p>
        </w:tc>
      </w:tr>
      <w:tr w:rsidR="00335A9F" w:rsidRPr="00335A9F">
        <w:trPr>
          <w:jc w:val="center"/>
        </w:trPr>
        <w:tc>
          <w:tcPr>
            <w:tcW w:w="9637" w:type="dxa"/>
            <w:shd w:val="clear" w:color="auto" w:fill="auto"/>
          </w:tcPr>
          <w:p w:rsidR="00335A9F" w:rsidRPr="00335A9F" w:rsidRDefault="00335A9F"/>
        </w:tc>
      </w:tr>
    </w:tbl>
    <w:p w:rsidR="00335A9F" w:rsidRPr="00335A9F" w:rsidRDefault="00335A9F" w:rsidP="00335A9F"/>
    <w:p w:rsidR="00335A9F" w:rsidRPr="00335A9F" w:rsidRDefault="00335A9F" w:rsidP="00335A9F">
      <w:pPr>
        <w:pStyle w:val="HChG"/>
      </w:pPr>
      <w:r w:rsidRPr="00335A9F">
        <w:br w:type="page"/>
      </w:r>
      <w:r w:rsidRPr="00335A9F">
        <w:lastRenderedPageBreak/>
        <w:tab/>
      </w:r>
      <w:r w:rsidRPr="00335A9F">
        <w:tab/>
        <w:t>Introduction</w:t>
      </w:r>
    </w:p>
    <w:p w:rsidR="00335A9F" w:rsidRPr="00335A9F" w:rsidRDefault="00335A9F" w:rsidP="00335A9F">
      <w:pPr>
        <w:pStyle w:val="SingleTxtG"/>
      </w:pPr>
      <w:r w:rsidRPr="00335A9F">
        <w:t>1.</w:t>
      </w:r>
      <w:r w:rsidRPr="00335A9F">
        <w:tab/>
        <w:t xml:space="preserve">Le représentant de l’Espagne a été informé par le secteur industriel espagnol d’une incohérence ou d’un malentendu qui pouvait découler de la dernière phrase du 4.1.1.3 du RID/ADR, où il est fait référence au 6.1.1.3. </w:t>
      </w:r>
    </w:p>
    <w:p w:rsidR="00335A9F" w:rsidRPr="00335A9F" w:rsidRDefault="00335A9F" w:rsidP="00335A9F">
      <w:pPr>
        <w:pStyle w:val="HChG"/>
      </w:pPr>
      <w:r w:rsidRPr="00335A9F">
        <w:tab/>
      </w:r>
      <w:r w:rsidRPr="00335A9F">
        <w:tab/>
        <w:t>Analyse</w:t>
      </w:r>
    </w:p>
    <w:p w:rsidR="00335A9F" w:rsidRPr="00335A9F" w:rsidRDefault="00335A9F" w:rsidP="00335A9F">
      <w:pPr>
        <w:pStyle w:val="SingleTxtG"/>
        <w:rPr>
          <w:rFonts w:eastAsiaTheme="minorEastAsia"/>
        </w:rPr>
      </w:pPr>
      <w:r w:rsidRPr="00335A9F">
        <w:t>2.</w:t>
      </w:r>
      <w:r w:rsidRPr="00335A9F">
        <w:tab/>
        <w:t>Le 4.1.1.3 du RID/ADR se lit comme suit :</w:t>
      </w:r>
    </w:p>
    <w:p w:rsidR="00335A9F" w:rsidRPr="00335A9F" w:rsidRDefault="00335A9F" w:rsidP="00335A9F">
      <w:pPr>
        <w:pStyle w:val="SingleTxtG"/>
        <w:ind w:left="1701"/>
      </w:pPr>
      <w:r w:rsidRPr="00335A9F">
        <w:t>« Sauf disposition contraire figurant par ailleurs dans le RID/ADR, chaque emballage, y compris les GRV ou les grands emballages, à l’exception des emballages intérieurs, doit être conforme à un modèle type ayant satisfait aux épreuves selon les prescriptions des sections 6.1.5, 6.3.5, 6.5.6 ou 6.6.5, selon le cas. Les emballages n’ayant pas à satisfaire aux épreuves sont indiqués en 6.1.1.3. »</w:t>
      </w:r>
    </w:p>
    <w:p w:rsidR="00335A9F" w:rsidRPr="00335A9F" w:rsidRDefault="00335A9F" w:rsidP="00335A9F">
      <w:pPr>
        <w:pStyle w:val="SingleTxtG"/>
      </w:pPr>
      <w:r w:rsidRPr="00335A9F">
        <w:t>3.</w:t>
      </w:r>
      <w:r w:rsidRPr="00335A9F">
        <w:tab/>
        <w:t>La dernière phrase du 4.1.1.3 (« Les emballages n’ayant pas à satisfaire aux épreuves sont indiqués en 6.1.1.3. ») peut prêter à confusion, car on pourrait comprendre que « les épreuves » dont il est question sont celles mentionnées dans la première phrase du même paragraphe (épreuve sur modèle type). Or, le 6.1.1.3 du RID/ADR renvoie à l’épreuve d’étanchéité, qui fait partie d’un programme d’assurance de la qualité, co</w:t>
      </w:r>
      <w:r>
        <w:t>mme on peut le voir ci-dessous :</w:t>
      </w:r>
    </w:p>
    <w:p w:rsidR="00335A9F" w:rsidRPr="00335A9F" w:rsidRDefault="00335A9F" w:rsidP="00335A9F">
      <w:pPr>
        <w:pStyle w:val="SingleTxtG"/>
        <w:ind w:left="2835" w:hanging="1134"/>
      </w:pPr>
      <w:r w:rsidRPr="00335A9F">
        <w:t xml:space="preserve">« 6.1.1.3 </w:t>
      </w:r>
      <w:r>
        <w:tab/>
      </w:r>
      <w:r w:rsidRPr="00335A9F">
        <w:t>Tout emballage destiné à contenir des liquides doit satisfaire à une épreuve d’étanchéité appropriée. Cette épreuve fait partie d’un programme d’assurance de la qualité tel que stipulé au 6.1.1.4 qui montre la capacité à satisfaire au niveau d’</w:t>
      </w:r>
      <w:r>
        <w:t>épreuve indiqué au </w:t>
      </w:r>
      <w:r w:rsidRPr="00335A9F">
        <w:t>6.1.5.4.3 :</w:t>
      </w:r>
    </w:p>
    <w:p w:rsidR="00335A9F" w:rsidRPr="00335A9F" w:rsidRDefault="00335A9F" w:rsidP="00335A9F">
      <w:pPr>
        <w:pStyle w:val="SingleTxtG"/>
        <w:ind w:left="2268" w:firstLine="567"/>
      </w:pPr>
      <w:r>
        <w:tab/>
      </w:r>
      <w:r w:rsidRPr="00335A9F">
        <w:t xml:space="preserve">a) </w:t>
      </w:r>
      <w:r>
        <w:tab/>
        <w:t>A</w:t>
      </w:r>
      <w:r w:rsidRPr="00335A9F">
        <w:t>vant sa première utilisation pour le transport ;</w:t>
      </w:r>
    </w:p>
    <w:p w:rsidR="00335A9F" w:rsidRPr="00335A9F" w:rsidRDefault="00335A9F" w:rsidP="00335A9F">
      <w:pPr>
        <w:pStyle w:val="SingleTxtG"/>
        <w:ind w:left="3402" w:hanging="567"/>
      </w:pPr>
      <w:r w:rsidRPr="00335A9F">
        <w:t xml:space="preserve">b) </w:t>
      </w:r>
      <w:r>
        <w:tab/>
        <w:t>A</w:t>
      </w:r>
      <w:r w:rsidRPr="00335A9F">
        <w:t>près reconstruction ou reconditionnement, avant d’être réutilisé pour le transport.</w:t>
      </w:r>
    </w:p>
    <w:p w:rsidR="00335A9F" w:rsidRPr="00335A9F" w:rsidRDefault="00335A9F" w:rsidP="00335A9F">
      <w:pPr>
        <w:pStyle w:val="SingleTxtG"/>
        <w:ind w:left="2835"/>
      </w:pPr>
      <w:r w:rsidRPr="00335A9F">
        <w:t>Pour cette épreuve, il n’est pas nécessaire que les emballages soient pourvus de leurs propres fermetures.</w:t>
      </w:r>
    </w:p>
    <w:p w:rsidR="00335A9F" w:rsidRPr="00335A9F" w:rsidRDefault="00335A9F" w:rsidP="00335A9F">
      <w:pPr>
        <w:pStyle w:val="SingleTxtG"/>
        <w:ind w:left="2835"/>
      </w:pPr>
      <w:r w:rsidRPr="00335A9F">
        <w:t xml:space="preserve">Le récipient intérieur des emballages composites peut être éprouvé sans l’emballage extérieur à condition que les résultats de l’épreuve n’en soient pas affectés. </w:t>
      </w:r>
    </w:p>
    <w:p w:rsidR="00335A9F" w:rsidRPr="00335A9F" w:rsidRDefault="00335A9F" w:rsidP="00335A9F">
      <w:pPr>
        <w:pStyle w:val="SingleTxtG"/>
        <w:ind w:left="2835"/>
      </w:pPr>
      <w:r w:rsidRPr="00335A9F">
        <w:t>Cette épreuve n’est pas nécessaire pour :</w:t>
      </w:r>
    </w:p>
    <w:p w:rsidR="00335A9F" w:rsidRPr="00335A9F" w:rsidRDefault="00335A9F" w:rsidP="00335A9F">
      <w:pPr>
        <w:pStyle w:val="Bullet2G"/>
        <w:ind w:left="3289"/>
      </w:pPr>
      <w:r>
        <w:t>L</w:t>
      </w:r>
      <w:r w:rsidRPr="00335A9F">
        <w:t>es emballages intérieurs d’emballages combinés ;</w:t>
      </w:r>
    </w:p>
    <w:p w:rsidR="00335A9F" w:rsidRPr="00335A9F" w:rsidRDefault="00335A9F" w:rsidP="00335A9F">
      <w:pPr>
        <w:pStyle w:val="Bullet2G"/>
        <w:ind w:left="3289"/>
      </w:pPr>
      <w:r>
        <w:t>L</w:t>
      </w:r>
      <w:r w:rsidRPr="00335A9F">
        <w:t xml:space="preserve">es récipients intérieurs d’emballages composites (verre, porcelaine ou grès) portant la mention « RID/ADR » conformément au 6.1.3.1 a) ii) ; </w:t>
      </w:r>
    </w:p>
    <w:p w:rsidR="00335A9F" w:rsidRPr="00335A9F" w:rsidRDefault="00335A9F" w:rsidP="00335A9F">
      <w:pPr>
        <w:pStyle w:val="Bullet2G"/>
        <w:ind w:left="3289"/>
      </w:pPr>
      <w:r>
        <w:t>L</w:t>
      </w:r>
      <w:r w:rsidRPr="00335A9F">
        <w:t>es emballages métalliques légers portant la mention « RID/ADR » conformément au 6.1.3.1 a) ii).</w:t>
      </w:r>
      <w:r>
        <w:t> »</w:t>
      </w:r>
    </w:p>
    <w:p w:rsidR="00335A9F" w:rsidRPr="00335A9F" w:rsidRDefault="00335A9F" w:rsidP="00335A9F">
      <w:pPr>
        <w:pStyle w:val="SingleTxtG"/>
      </w:pPr>
      <w:r>
        <w:t>4.</w:t>
      </w:r>
      <w:r>
        <w:tab/>
      </w:r>
      <w:r w:rsidRPr="00335A9F">
        <w:t>Le 6.1.1.3 du RID/ADR ne renvoie pas à l’équipement n’ayant pas à satisfaire à l’épreuve sur modèle type, mais à celui n’ayant pas à satisfaire à l’épreuve d’étanchéité, qui est réalisée indépendamment de l’épreuve sur modèle type. La dernière phrase du 4.1.1.3 telle qu’elle est rédigée actuellement prête à confusion, car elle ne renvoie pas à la bonne information.</w:t>
      </w:r>
    </w:p>
    <w:p w:rsidR="00335A9F" w:rsidRPr="00335A9F" w:rsidRDefault="00335A9F" w:rsidP="00335A9F">
      <w:pPr>
        <w:pStyle w:val="HChG"/>
      </w:pPr>
      <w:r w:rsidRPr="00335A9F">
        <w:tab/>
      </w:r>
      <w:r w:rsidRPr="00335A9F">
        <w:tab/>
        <w:t>Justification</w:t>
      </w:r>
    </w:p>
    <w:p w:rsidR="00335A9F" w:rsidRPr="00335A9F" w:rsidRDefault="00335A9F" w:rsidP="00335A9F">
      <w:pPr>
        <w:pStyle w:val="SingleTxtG"/>
      </w:pPr>
      <w:r>
        <w:t>5.</w:t>
      </w:r>
      <w:r>
        <w:tab/>
      </w:r>
      <w:r w:rsidRPr="00335A9F">
        <w:t>Cette dernière phrase du 4.1.1.3 faisait déjà partie du RID/ADR en 2001 et n’a pas été modifiée ; peut-être renvoyait-elle avant à un paragraphe dont le contenu était différent.</w:t>
      </w:r>
    </w:p>
    <w:p w:rsidR="00335A9F" w:rsidRPr="00335A9F" w:rsidRDefault="00335A9F" w:rsidP="00335A9F">
      <w:pPr>
        <w:pStyle w:val="SingleTxtG"/>
      </w:pPr>
      <w:r>
        <w:lastRenderedPageBreak/>
        <w:t>6.</w:t>
      </w:r>
      <w:r>
        <w:tab/>
      </w:r>
      <w:r w:rsidRPr="00335A9F">
        <w:t xml:space="preserve">En outre, cette phrase ne figure pas dans d’autres règlements tels que le Règlement type de l’ONU ou le Code IMDG. </w:t>
      </w:r>
    </w:p>
    <w:p w:rsidR="00335A9F" w:rsidRPr="00335A9F" w:rsidRDefault="00335A9F" w:rsidP="00335A9F">
      <w:pPr>
        <w:pStyle w:val="HChG"/>
        <w:rPr>
          <w:rFonts w:eastAsiaTheme="minorEastAsia"/>
        </w:rPr>
      </w:pPr>
      <w:r w:rsidRPr="00335A9F">
        <w:tab/>
      </w:r>
      <w:r w:rsidRPr="00335A9F">
        <w:tab/>
        <w:t>Proposition</w:t>
      </w:r>
    </w:p>
    <w:p w:rsidR="00335A9F" w:rsidRPr="00335A9F" w:rsidRDefault="00335A9F" w:rsidP="00335A9F">
      <w:pPr>
        <w:pStyle w:val="SingleTxtG"/>
      </w:pPr>
      <w:r w:rsidRPr="00335A9F">
        <w:t>7.</w:t>
      </w:r>
      <w:r w:rsidRPr="00335A9F">
        <w:tab/>
        <w:t xml:space="preserve">L’Espagne propose de supprimer la dernière phrase du 4.1.1.3 du RID/ADR afin de mettre fin à la confusion et d’aligner le texte sur celui du paragraphe figurant dans le Règlement type (le texte supprimé est </w:t>
      </w:r>
      <w:r w:rsidRPr="00335A9F">
        <w:rPr>
          <w:strike/>
        </w:rPr>
        <w:t>biffé</w:t>
      </w:r>
      <w:r>
        <w:t>) :</w:t>
      </w:r>
    </w:p>
    <w:p w:rsidR="00335A9F" w:rsidRPr="00335A9F" w:rsidRDefault="00335A9F" w:rsidP="00335A9F">
      <w:pPr>
        <w:pStyle w:val="SingleTxtG"/>
        <w:ind w:left="2835" w:hanging="1134"/>
      </w:pPr>
      <w:r w:rsidRPr="00335A9F">
        <w:t xml:space="preserve">« 4.1.1.3 </w:t>
      </w:r>
      <w:r>
        <w:tab/>
      </w:r>
      <w:r w:rsidRPr="00335A9F">
        <w:t xml:space="preserve">Sauf disposition contraire figurant par ailleurs dans l’ADR, chaque emballage, y compris les GRV ou les grands emballages, à l’exception des emballages intérieurs, doit être conforme à un modèle type ayant satisfait aux épreuves selon les prescriptions des sections 6.1.5, 6.3.5, 6.5.6 ou 6.6.5, selon le cas. </w:t>
      </w:r>
      <w:r w:rsidRPr="00335A9F">
        <w:rPr>
          <w:strike/>
        </w:rPr>
        <w:t>Les emballages n’ayant pas à satisfaire aux épreuves sont indiqués en 6.1.1.3</w:t>
      </w:r>
      <w:r w:rsidRPr="00335A9F">
        <w:t>. »</w:t>
      </w:r>
    </w:p>
    <w:p w:rsidR="00335A9F" w:rsidRPr="00335A9F" w:rsidRDefault="00335A9F" w:rsidP="00335A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5A9F" w:rsidRPr="00335A9F" w:rsidSect="00335A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50" w:rsidRDefault="00E65450" w:rsidP="00F95C08">
      <w:pPr>
        <w:spacing w:line="240" w:lineRule="auto"/>
      </w:pPr>
    </w:p>
  </w:endnote>
  <w:endnote w:type="continuationSeparator" w:id="0">
    <w:p w:rsidR="00E65450" w:rsidRPr="00AC3823" w:rsidRDefault="00E65450" w:rsidP="00AC3823">
      <w:pPr>
        <w:pStyle w:val="Footer"/>
      </w:pPr>
    </w:p>
  </w:endnote>
  <w:endnote w:type="continuationNotice" w:id="1">
    <w:p w:rsidR="00E65450" w:rsidRDefault="00E654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9F" w:rsidRPr="00335A9F" w:rsidRDefault="00335A9F" w:rsidP="00335A9F">
    <w:pPr>
      <w:pStyle w:val="Footer"/>
      <w:tabs>
        <w:tab w:val="right" w:pos="9638"/>
      </w:tabs>
    </w:pPr>
    <w:r w:rsidRPr="00335A9F">
      <w:rPr>
        <w:b/>
        <w:sz w:val="18"/>
      </w:rPr>
      <w:fldChar w:fldCharType="begin"/>
    </w:r>
    <w:r w:rsidRPr="00335A9F">
      <w:rPr>
        <w:b/>
        <w:sz w:val="18"/>
      </w:rPr>
      <w:instrText xml:space="preserve"> PAGE  \* MERGEFORMAT </w:instrText>
    </w:r>
    <w:r w:rsidRPr="00335A9F">
      <w:rPr>
        <w:b/>
        <w:sz w:val="18"/>
      </w:rPr>
      <w:fldChar w:fldCharType="separate"/>
    </w:r>
    <w:r w:rsidR="00F6016C">
      <w:rPr>
        <w:b/>
        <w:noProof/>
        <w:sz w:val="18"/>
      </w:rPr>
      <w:t>2</w:t>
    </w:r>
    <w:r w:rsidRPr="00335A9F">
      <w:rPr>
        <w:b/>
        <w:sz w:val="18"/>
      </w:rPr>
      <w:fldChar w:fldCharType="end"/>
    </w:r>
    <w:r>
      <w:rPr>
        <w:b/>
        <w:sz w:val="18"/>
      </w:rPr>
      <w:tab/>
    </w:r>
    <w:r>
      <w:t>GE.18-22773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9F" w:rsidRPr="00335A9F" w:rsidRDefault="00335A9F" w:rsidP="00335A9F">
    <w:pPr>
      <w:pStyle w:val="Footer"/>
      <w:tabs>
        <w:tab w:val="right" w:pos="9638"/>
      </w:tabs>
      <w:rPr>
        <w:b/>
        <w:sz w:val="18"/>
      </w:rPr>
    </w:pPr>
    <w:r>
      <w:t>GE.18-22773</w:t>
    </w:r>
    <w:r>
      <w:tab/>
    </w:r>
    <w:r w:rsidRPr="00335A9F">
      <w:rPr>
        <w:b/>
        <w:sz w:val="18"/>
      </w:rPr>
      <w:fldChar w:fldCharType="begin"/>
    </w:r>
    <w:r w:rsidRPr="00335A9F">
      <w:rPr>
        <w:b/>
        <w:sz w:val="18"/>
      </w:rPr>
      <w:instrText xml:space="preserve"> PAGE  \* MERGEFORMAT </w:instrText>
    </w:r>
    <w:r w:rsidRPr="00335A9F">
      <w:rPr>
        <w:b/>
        <w:sz w:val="18"/>
      </w:rPr>
      <w:fldChar w:fldCharType="separate"/>
    </w:r>
    <w:r w:rsidR="00F6016C">
      <w:rPr>
        <w:b/>
        <w:noProof/>
        <w:sz w:val="18"/>
      </w:rPr>
      <w:t>3</w:t>
    </w:r>
    <w:r w:rsidRPr="00335A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35A9F" w:rsidRDefault="00335A9F" w:rsidP="00335A9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18-22773  (F)    280119    300119</w:t>
    </w:r>
    <w:r>
      <w:rPr>
        <w:sz w:val="20"/>
      </w:rPr>
      <w:br/>
    </w:r>
    <w:r w:rsidRPr="00335A9F">
      <w:rPr>
        <w:rFonts w:ascii="C39T30Lfz" w:hAnsi="C39T30Lfz"/>
        <w:sz w:val="56"/>
      </w:rPr>
      <w:t></w:t>
    </w:r>
    <w:r w:rsidRPr="00335A9F">
      <w:rPr>
        <w:rFonts w:ascii="C39T30Lfz" w:hAnsi="C39T30Lfz"/>
        <w:sz w:val="56"/>
      </w:rPr>
      <w:t></w:t>
    </w:r>
    <w:r w:rsidRPr="00335A9F">
      <w:rPr>
        <w:rFonts w:ascii="C39T30Lfz" w:hAnsi="C39T30Lfz"/>
        <w:sz w:val="56"/>
      </w:rPr>
      <w:t></w:t>
    </w:r>
    <w:r w:rsidRPr="00335A9F">
      <w:rPr>
        <w:rFonts w:ascii="C39T30Lfz" w:hAnsi="C39T30Lfz"/>
        <w:sz w:val="56"/>
      </w:rPr>
      <w:t></w:t>
    </w:r>
    <w:r w:rsidRPr="00335A9F">
      <w:rPr>
        <w:rFonts w:ascii="C39T30Lfz" w:hAnsi="C39T30Lfz"/>
        <w:sz w:val="56"/>
      </w:rPr>
      <w:t></w:t>
    </w:r>
    <w:r w:rsidRPr="00335A9F">
      <w:rPr>
        <w:rFonts w:ascii="C39T30Lfz" w:hAnsi="C39T30Lfz"/>
        <w:sz w:val="56"/>
      </w:rPr>
      <w:t></w:t>
    </w:r>
    <w:r w:rsidRPr="00335A9F">
      <w:rPr>
        <w:rFonts w:ascii="C39T30Lfz" w:hAnsi="C39T30Lfz"/>
        <w:sz w:val="56"/>
      </w:rPr>
      <w:t></w:t>
    </w:r>
    <w:r w:rsidRPr="00335A9F">
      <w:rPr>
        <w:rFonts w:ascii="C39T30Lfz" w:hAnsi="C39T30Lfz"/>
        <w:sz w:val="56"/>
      </w:rPr>
      <w:t></w:t>
    </w:r>
    <w:r w:rsidRPr="00335A9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50" w:rsidRPr="00AC3823" w:rsidRDefault="00E654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5450" w:rsidRPr="00AC3823" w:rsidRDefault="00E654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5450" w:rsidRPr="00AC3823" w:rsidRDefault="00E65450">
      <w:pPr>
        <w:spacing w:line="240" w:lineRule="auto"/>
        <w:rPr>
          <w:sz w:val="2"/>
          <w:szCs w:val="2"/>
        </w:rPr>
      </w:pPr>
    </w:p>
  </w:footnote>
  <w:footnote w:id="2">
    <w:p w:rsidR="00335A9F" w:rsidRPr="00553E7B" w:rsidRDefault="00C86BA6" w:rsidP="00335A9F">
      <w:pPr>
        <w:pStyle w:val="FootnoteText"/>
      </w:pPr>
      <w:r>
        <w:rPr>
          <w:lang w:val="fr-FR"/>
        </w:rPr>
        <w:tab/>
      </w:r>
      <w:r w:rsidR="00335A9F">
        <w:rPr>
          <w:lang w:val="fr-FR"/>
        </w:rPr>
        <w:t>*</w:t>
      </w:r>
      <w:r>
        <w:rPr>
          <w:lang w:val="fr-FR"/>
        </w:rPr>
        <w:tab/>
      </w:r>
      <w:r w:rsidR="00335A9F">
        <w:rPr>
          <w:lang w:val="fr-FR"/>
        </w:rPr>
        <w:t>Conformément au programme de travail du Comité des transports intérieurs pour 2018-2019 (ECE/TRANS/WP.15/237, annexe V (9.2)).</w:t>
      </w:r>
    </w:p>
  </w:footnote>
  <w:footnote w:id="3">
    <w:p w:rsidR="00335A9F" w:rsidRPr="003A69FF" w:rsidRDefault="00C86BA6" w:rsidP="00335A9F">
      <w:pPr>
        <w:pStyle w:val="FootnoteText"/>
      </w:pPr>
      <w:r>
        <w:rPr>
          <w:lang w:val="fr-FR"/>
        </w:rPr>
        <w:tab/>
      </w:r>
      <w:r w:rsidR="00335A9F">
        <w:rPr>
          <w:lang w:val="fr-FR"/>
        </w:rPr>
        <w:t xml:space="preserve">** </w:t>
      </w:r>
      <w:r>
        <w:rPr>
          <w:lang w:val="fr-FR"/>
        </w:rPr>
        <w:tab/>
      </w:r>
      <w:r w:rsidR="00335A9F">
        <w:rPr>
          <w:lang w:val="fr-FR"/>
        </w:rPr>
        <w:t>Diffusée par l’Organisation intergouvernementale pour les transports internationaux ferroviaires (OTIF) sous la cote OTIF/RID/RC/2019/15.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9F" w:rsidRPr="00335A9F" w:rsidRDefault="005235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D7505">
      <w:t>ECE/TRANS/WP.15/AC.1/2019/15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9F" w:rsidRPr="00335A9F" w:rsidRDefault="00523576" w:rsidP="00335A9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D7505">
      <w:t>ECE/TRANS/WP.15/AC.1/2019/15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028CF"/>
    <w:multiLevelType w:val="hybridMultilevel"/>
    <w:tmpl w:val="150A8260"/>
    <w:lvl w:ilvl="0" w:tplc="EB96768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2E6054A8"/>
    <w:multiLevelType w:val="hybridMultilevel"/>
    <w:tmpl w:val="3A380252"/>
    <w:lvl w:ilvl="0" w:tplc="EF648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2"/>
    <w:lvlOverride w:ilvl="0">
      <w:lvl w:ilvl="0" w:tplc="EF64814E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18">
    <w:abstractNumId w:val="11"/>
    <w:lvlOverride w:ilvl="0">
      <w:lvl w:ilvl="0" w:tplc="EB967684">
        <w:start w:val="1"/>
        <w:numFmt w:val="bullet"/>
        <w:lvlText w:val=""/>
        <w:lvlJc w:val="left"/>
        <w:pPr>
          <w:ind w:left="2061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5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32D9"/>
    <w:rsid w:val="001F525A"/>
    <w:rsid w:val="00223272"/>
    <w:rsid w:val="0024779E"/>
    <w:rsid w:val="00257168"/>
    <w:rsid w:val="002744B8"/>
    <w:rsid w:val="002832AC"/>
    <w:rsid w:val="002D7C93"/>
    <w:rsid w:val="00305801"/>
    <w:rsid w:val="00335A9F"/>
    <w:rsid w:val="003916DE"/>
    <w:rsid w:val="00421996"/>
    <w:rsid w:val="00441C3B"/>
    <w:rsid w:val="00446FE5"/>
    <w:rsid w:val="00452396"/>
    <w:rsid w:val="004837D8"/>
    <w:rsid w:val="004E2EED"/>
    <w:rsid w:val="004E468C"/>
    <w:rsid w:val="00523576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6BA6"/>
    <w:rsid w:val="00C97039"/>
    <w:rsid w:val="00CE27C3"/>
    <w:rsid w:val="00D3439C"/>
    <w:rsid w:val="00DB1831"/>
    <w:rsid w:val="00DD3BFD"/>
    <w:rsid w:val="00DD7505"/>
    <w:rsid w:val="00DF6678"/>
    <w:rsid w:val="00E0299A"/>
    <w:rsid w:val="00E65450"/>
    <w:rsid w:val="00E85C74"/>
    <w:rsid w:val="00EA6547"/>
    <w:rsid w:val="00EF2E22"/>
    <w:rsid w:val="00F35BAF"/>
    <w:rsid w:val="00F6016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81D5C9-3358-4F35-952E-70AC028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35A9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35A9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ECE/TRANS/WP.15/AC.1/2019/15</vt:lpstr>
      <vt:lpstr>ECE/TRANS/WP.15/AC.1/2019/15</vt:lpstr>
    </vt:vector>
  </TitlesOfParts>
  <Company>DCM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ECE/TRANS/WP.15/AC.1/2019/15</dc:title>
  <dc:subject/>
  <dc:creator>Edith BOURION</dc:creator>
  <cp:keywords/>
  <cp:lastModifiedBy>Christine Barrio-Champeau</cp:lastModifiedBy>
  <cp:revision>2</cp:revision>
  <cp:lastPrinted>2019-01-30T08:02:00Z</cp:lastPrinted>
  <dcterms:created xsi:type="dcterms:W3CDTF">2019-01-30T09:51:00Z</dcterms:created>
  <dcterms:modified xsi:type="dcterms:W3CDTF">2019-01-30T09:51:00Z</dcterms:modified>
</cp:coreProperties>
</file>