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B56E9C" w:rsidTr="00B11BB4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Default="00B56E9C" w:rsidP="00B11BB4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B11BB4" w:rsidRDefault="00B56E9C" w:rsidP="00B11BB4">
            <w:pPr>
              <w:spacing w:after="80" w:line="300" w:lineRule="exact"/>
              <w:rPr>
                <w:b/>
                <w:sz w:val="24"/>
                <w:szCs w:val="24"/>
              </w:rPr>
            </w:pPr>
            <w:r w:rsidRPr="00B11BB4"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D47EEA" w:rsidRDefault="009D2A5B" w:rsidP="004665BA">
            <w:pPr>
              <w:suppressAutoHyphens w:val="0"/>
              <w:spacing w:after="20"/>
              <w:jc w:val="right"/>
            </w:pPr>
            <w:r w:rsidRPr="00B11BB4">
              <w:rPr>
                <w:sz w:val="40"/>
              </w:rPr>
              <w:t>ECE</w:t>
            </w:r>
            <w:r>
              <w:t>/TRANS/WP.15/AC.1/201</w:t>
            </w:r>
            <w:r w:rsidR="00C64869">
              <w:t>9</w:t>
            </w:r>
            <w:r>
              <w:t>/</w:t>
            </w:r>
            <w:r w:rsidR="00825C1B">
              <w:t>15</w:t>
            </w:r>
          </w:p>
        </w:tc>
      </w:tr>
      <w:tr w:rsidR="00B56E9C" w:rsidTr="00B11BB4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56E9C" w:rsidRDefault="00080491" w:rsidP="00B11BB4">
            <w:pPr>
              <w:spacing w:before="120"/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714375" cy="590550"/>
                  <wp:effectExtent l="0" t="0" r="9525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56E9C" w:rsidRPr="00B11BB4" w:rsidRDefault="00D773DF" w:rsidP="00B11BB4">
            <w:pPr>
              <w:spacing w:before="120" w:line="420" w:lineRule="exact"/>
              <w:rPr>
                <w:sz w:val="40"/>
                <w:szCs w:val="40"/>
              </w:rPr>
            </w:pPr>
            <w:r w:rsidRPr="00B11BB4"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9D2A5B" w:rsidRDefault="009D2A5B" w:rsidP="00B11BB4">
            <w:pPr>
              <w:suppressAutoHyphens w:val="0"/>
              <w:spacing w:before="240" w:line="240" w:lineRule="exact"/>
            </w:pPr>
            <w:r>
              <w:t>Distr.: General</w:t>
            </w:r>
          </w:p>
          <w:p w:rsidR="009D2A5B" w:rsidRDefault="00675F2F" w:rsidP="00B11BB4">
            <w:pPr>
              <w:suppressAutoHyphens w:val="0"/>
            </w:pPr>
            <w:r>
              <w:t>28</w:t>
            </w:r>
            <w:bookmarkStart w:id="0" w:name="_GoBack"/>
            <w:bookmarkEnd w:id="0"/>
            <w:r w:rsidR="00B42658">
              <w:t xml:space="preserve"> </w:t>
            </w:r>
            <w:r w:rsidR="005A575C">
              <w:t>December</w:t>
            </w:r>
            <w:r w:rsidR="001B13A5">
              <w:t xml:space="preserve"> 201</w:t>
            </w:r>
            <w:r w:rsidR="005B74E2">
              <w:t>8</w:t>
            </w:r>
          </w:p>
          <w:p w:rsidR="009D2A5B" w:rsidRDefault="009D2A5B" w:rsidP="00B11BB4">
            <w:pPr>
              <w:suppressAutoHyphens w:val="0"/>
            </w:pPr>
          </w:p>
          <w:p w:rsidR="00B56E9C" w:rsidRDefault="009D2A5B" w:rsidP="000D656A">
            <w:pPr>
              <w:suppressAutoHyphens w:val="0"/>
            </w:pPr>
            <w:r>
              <w:t xml:space="preserve">Original: </w:t>
            </w:r>
            <w:r w:rsidR="0094558F">
              <w:t xml:space="preserve"> </w:t>
            </w:r>
            <w:r w:rsidR="0003498C">
              <w:t>English</w:t>
            </w:r>
          </w:p>
        </w:tc>
      </w:tr>
    </w:tbl>
    <w:p w:rsidR="00EC106A" w:rsidRDefault="00EC106A">
      <w:pPr>
        <w:spacing w:before="120"/>
        <w:rPr>
          <w:b/>
          <w:sz w:val="28"/>
          <w:szCs w:val="28"/>
        </w:rPr>
      </w:pPr>
      <w:r>
        <w:rPr>
          <w:b/>
          <w:sz w:val="28"/>
          <w:szCs w:val="28"/>
        </w:rPr>
        <w:t>Economic Commission for Europe</w:t>
      </w:r>
    </w:p>
    <w:p w:rsidR="00EC106A" w:rsidRDefault="00EC106A">
      <w:pPr>
        <w:spacing w:before="120"/>
        <w:rPr>
          <w:sz w:val="28"/>
          <w:szCs w:val="28"/>
        </w:rPr>
      </w:pPr>
      <w:r>
        <w:rPr>
          <w:sz w:val="28"/>
          <w:szCs w:val="28"/>
        </w:rPr>
        <w:t>Inland Transport Committee</w:t>
      </w:r>
    </w:p>
    <w:p w:rsidR="00EC106A" w:rsidRDefault="00EC106A" w:rsidP="00EC106A">
      <w:pPr>
        <w:spacing w:before="120" w:after="120"/>
        <w:rPr>
          <w:b/>
          <w:sz w:val="24"/>
          <w:szCs w:val="24"/>
        </w:rPr>
      </w:pPr>
      <w:r>
        <w:rPr>
          <w:b/>
          <w:sz w:val="24"/>
          <w:szCs w:val="24"/>
        </w:rPr>
        <w:t>Working Party on the Transport of Dangerous Goods</w:t>
      </w:r>
    </w:p>
    <w:p w:rsidR="009D2A5B" w:rsidRDefault="009D2A5B" w:rsidP="009D2A5B">
      <w:pPr>
        <w:rPr>
          <w:b/>
        </w:rPr>
      </w:pPr>
      <w:r>
        <w:rPr>
          <w:b/>
        </w:rPr>
        <w:t>Joint Meeting of the RID Committee of Experts and the</w:t>
      </w:r>
    </w:p>
    <w:p w:rsidR="009D2A5B" w:rsidRDefault="009D2A5B" w:rsidP="009D2A5B">
      <w:pPr>
        <w:rPr>
          <w:b/>
        </w:rPr>
      </w:pPr>
      <w:r>
        <w:rPr>
          <w:b/>
        </w:rPr>
        <w:t>Working Party on the Transport of Dangerous Goods</w:t>
      </w:r>
    </w:p>
    <w:p w:rsidR="009D2A5B" w:rsidRDefault="00BB7CD1" w:rsidP="00BB7CD1">
      <w:r>
        <w:t xml:space="preserve">Bern, </w:t>
      </w:r>
      <w:r w:rsidR="009201BA">
        <w:t>18</w:t>
      </w:r>
      <w:r>
        <w:t>–</w:t>
      </w:r>
      <w:r w:rsidR="00BB4810">
        <w:t>22</w:t>
      </w:r>
      <w:r w:rsidR="00F66565">
        <w:t xml:space="preserve"> </w:t>
      </w:r>
      <w:r>
        <w:t>March 201</w:t>
      </w:r>
      <w:r w:rsidR="00BB4810">
        <w:t>9</w:t>
      </w:r>
    </w:p>
    <w:p w:rsidR="00B175D8" w:rsidRDefault="00B175D8" w:rsidP="00B175D8">
      <w:r>
        <w:t xml:space="preserve">Item </w:t>
      </w:r>
      <w:r w:rsidR="000D656A">
        <w:t xml:space="preserve">5 </w:t>
      </w:r>
      <w:r w:rsidR="007817B7">
        <w:t>(</w:t>
      </w:r>
      <w:r w:rsidR="00BB4810">
        <w:t>b</w:t>
      </w:r>
      <w:r w:rsidR="000D656A">
        <w:t>)</w:t>
      </w:r>
      <w:r>
        <w:t xml:space="preserve"> of the provisional agenda</w:t>
      </w:r>
    </w:p>
    <w:p w:rsidR="00BB7CD1" w:rsidRPr="000D656A" w:rsidRDefault="000D656A" w:rsidP="00B175D8">
      <w:pPr>
        <w:rPr>
          <w:b/>
        </w:rPr>
      </w:pPr>
      <w:r w:rsidRPr="000D656A">
        <w:rPr>
          <w:b/>
        </w:rPr>
        <w:t>Proposals for amendments to RID/ADR/</w:t>
      </w:r>
      <w:r>
        <w:rPr>
          <w:b/>
        </w:rPr>
        <w:t>ADN:</w:t>
      </w:r>
      <w:r>
        <w:rPr>
          <w:b/>
        </w:rPr>
        <w:br/>
      </w:r>
      <w:r w:rsidR="00BB4810">
        <w:rPr>
          <w:b/>
        </w:rPr>
        <w:t>new proposal</w:t>
      </w:r>
      <w:r>
        <w:rPr>
          <w:b/>
        </w:rPr>
        <w:t>s</w:t>
      </w:r>
    </w:p>
    <w:p w:rsidR="00825C1B" w:rsidRPr="00302B8D" w:rsidRDefault="009B1518" w:rsidP="00825C1B">
      <w:pPr>
        <w:pStyle w:val="HChG"/>
      </w:pPr>
      <w:r>
        <w:tab/>
      </w:r>
      <w:r>
        <w:tab/>
      </w:r>
      <w:r w:rsidR="00825C1B">
        <w:rPr>
          <w:lang w:val="en-US"/>
        </w:rPr>
        <w:t xml:space="preserve">Use of </w:t>
      </w:r>
      <w:proofErr w:type="spellStart"/>
      <w:r w:rsidR="00825C1B">
        <w:rPr>
          <w:lang w:val="en-US"/>
        </w:rPr>
        <w:t>packagings</w:t>
      </w:r>
      <w:proofErr w:type="spellEnd"/>
      <w:r w:rsidR="00825C1B">
        <w:rPr>
          <w:lang w:val="en-US"/>
        </w:rPr>
        <w:t xml:space="preserve">, including intermediate bulk containers (IBCs) and large </w:t>
      </w:r>
      <w:proofErr w:type="spellStart"/>
      <w:r w:rsidR="00825C1B">
        <w:rPr>
          <w:lang w:val="en-US"/>
        </w:rPr>
        <w:t>packagings</w:t>
      </w:r>
      <w:proofErr w:type="spellEnd"/>
    </w:p>
    <w:p w:rsidR="00825C1B" w:rsidRPr="003A69FF" w:rsidRDefault="00825C1B" w:rsidP="00825C1B">
      <w:pPr>
        <w:pStyle w:val="H1G"/>
        <w:rPr>
          <w:b w:val="0"/>
          <w:sz w:val="20"/>
          <w:vertAlign w:val="superscript"/>
        </w:rPr>
      </w:pPr>
      <w:r>
        <w:tab/>
      </w:r>
      <w:r>
        <w:tab/>
        <w:t>Transmitted by the Government of Spain</w:t>
      </w:r>
      <w:r w:rsidR="003A69FF" w:rsidRPr="003A69FF">
        <w:rPr>
          <w:rStyle w:val="FootnoteReference"/>
          <w:sz w:val="20"/>
        </w:rPr>
        <w:footnoteReference w:customMarkFollows="1" w:id="2"/>
        <w:t>*</w:t>
      </w:r>
      <w:r w:rsidR="003A69FF" w:rsidRPr="003A69FF">
        <w:rPr>
          <w:sz w:val="20"/>
          <w:vertAlign w:val="superscript"/>
        </w:rPr>
        <w:t>,</w:t>
      </w:r>
      <w:r w:rsidR="003A69FF" w:rsidRPr="003A69FF">
        <w:rPr>
          <w:sz w:val="20"/>
        </w:rPr>
        <w:t xml:space="preserve"> </w:t>
      </w:r>
      <w:r w:rsidR="003A69FF" w:rsidRPr="003A69FF">
        <w:rPr>
          <w:rStyle w:val="FootnoteReference"/>
          <w:sz w:val="20"/>
        </w:rPr>
        <w:footnoteReference w:customMarkFollows="1" w:id="3"/>
        <w:t>**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8601"/>
      </w:tblGrid>
      <w:tr w:rsidR="00825C1B" w:rsidRPr="00E940D0" w:rsidTr="000D44C7">
        <w:trPr>
          <w:trHeight w:val="395"/>
          <w:jc w:val="center"/>
        </w:trPr>
        <w:tc>
          <w:tcPr>
            <w:tcW w:w="8601" w:type="dxa"/>
            <w:shd w:val="clear" w:color="auto" w:fill="auto"/>
          </w:tcPr>
          <w:p w:rsidR="00825C1B" w:rsidRPr="00E940D0" w:rsidRDefault="00825C1B" w:rsidP="000D44C7">
            <w:pPr>
              <w:spacing w:before="240" w:after="120"/>
              <w:ind w:left="255"/>
              <w:rPr>
                <w:i/>
                <w:sz w:val="24"/>
              </w:rPr>
            </w:pPr>
            <w:r w:rsidRPr="00E940D0">
              <w:rPr>
                <w:i/>
                <w:sz w:val="24"/>
              </w:rPr>
              <w:t>Summary</w:t>
            </w:r>
          </w:p>
        </w:tc>
      </w:tr>
      <w:tr w:rsidR="00825C1B" w:rsidRPr="0035523F" w:rsidTr="000D44C7">
        <w:trPr>
          <w:trHeight w:val="376"/>
          <w:jc w:val="center"/>
        </w:trPr>
        <w:tc>
          <w:tcPr>
            <w:tcW w:w="8601" w:type="dxa"/>
            <w:shd w:val="clear" w:color="auto" w:fill="auto"/>
          </w:tcPr>
          <w:p w:rsidR="00825C1B" w:rsidRPr="00CD0808" w:rsidRDefault="00825C1B" w:rsidP="00825C1B">
            <w:pPr>
              <w:pStyle w:val="SingleTxtG"/>
            </w:pPr>
            <w:r>
              <w:rPr>
                <w:b/>
              </w:rPr>
              <w:tab/>
            </w:r>
            <w:r w:rsidRPr="00CD0808">
              <w:rPr>
                <w:b/>
              </w:rPr>
              <w:t>Executive summary:</w:t>
            </w:r>
            <w:r>
              <w:rPr>
                <w:b/>
              </w:rPr>
              <w:t xml:space="preserve"> </w:t>
            </w:r>
            <w:r w:rsidRPr="00CD0808">
              <w:tab/>
            </w:r>
            <w:r>
              <w:t xml:space="preserve">Analyse the cross reference included into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paragraph 4.1.1.3 in RID/ADR.  </w:t>
            </w:r>
          </w:p>
        </w:tc>
      </w:tr>
      <w:tr w:rsidR="00825C1B" w:rsidRPr="00597302" w:rsidTr="000D44C7">
        <w:trPr>
          <w:trHeight w:val="226"/>
          <w:jc w:val="center"/>
        </w:trPr>
        <w:tc>
          <w:tcPr>
            <w:tcW w:w="8601" w:type="dxa"/>
            <w:shd w:val="clear" w:color="auto" w:fill="auto"/>
          </w:tcPr>
          <w:p w:rsidR="00825C1B" w:rsidRPr="00CD0808" w:rsidRDefault="00825C1B" w:rsidP="00F72D16">
            <w:pPr>
              <w:pStyle w:val="SingleTxtG"/>
              <w:ind w:left="3402" w:hanging="2268"/>
            </w:pPr>
            <w:r w:rsidRPr="00CD0808">
              <w:rPr>
                <w:b/>
              </w:rPr>
              <w:t>Action to be taken:</w:t>
            </w:r>
            <w:r>
              <w:rPr>
                <w:b/>
              </w:rPr>
              <w:t xml:space="preserve">     </w:t>
            </w:r>
            <w:r>
              <w:rPr>
                <w:b/>
              </w:rPr>
              <w:tab/>
            </w:r>
            <w:r>
              <w:t>Delete</w:t>
            </w:r>
            <w:r w:rsidRPr="00AE02AD">
              <w:t xml:space="preserve"> the last </w:t>
            </w:r>
            <w:r>
              <w:t>sentence</w:t>
            </w:r>
            <w:r w:rsidRPr="00AE02AD">
              <w:t xml:space="preserve"> of  4.1.1.3 of RID/ADR.</w:t>
            </w:r>
          </w:p>
        </w:tc>
      </w:tr>
      <w:tr w:rsidR="00825C1B" w:rsidRPr="00AE331E" w:rsidTr="000D44C7">
        <w:trPr>
          <w:trHeight w:val="80"/>
          <w:jc w:val="center"/>
        </w:trPr>
        <w:tc>
          <w:tcPr>
            <w:tcW w:w="8601" w:type="dxa"/>
            <w:shd w:val="clear" w:color="auto" w:fill="auto"/>
          </w:tcPr>
          <w:p w:rsidR="00825C1B" w:rsidRPr="00D43932" w:rsidRDefault="00825C1B" w:rsidP="000D44C7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      </w:t>
            </w:r>
          </w:p>
        </w:tc>
      </w:tr>
    </w:tbl>
    <w:p w:rsidR="00825C1B" w:rsidRPr="0037099C" w:rsidRDefault="00825C1B" w:rsidP="00825C1B">
      <w:pPr>
        <w:pStyle w:val="HChG"/>
        <w:keepNext w:val="0"/>
        <w:keepLines w:val="0"/>
        <w:spacing w:line="240" w:lineRule="auto"/>
        <w:rPr>
          <w:lang w:val="nl-NL"/>
        </w:rPr>
      </w:pPr>
      <w:r>
        <w:tab/>
      </w:r>
      <w:r>
        <w:tab/>
        <w:t>Introduction</w:t>
      </w:r>
    </w:p>
    <w:p w:rsidR="00825C1B" w:rsidRPr="00FF4463" w:rsidRDefault="00825C1B" w:rsidP="00825C1B">
      <w:pPr>
        <w:pStyle w:val="SingleTxtG"/>
        <w:numPr>
          <w:ilvl w:val="0"/>
          <w:numId w:val="18"/>
        </w:numPr>
        <w:spacing w:line="240" w:lineRule="auto"/>
        <w:ind w:left="1134" w:firstLine="0"/>
        <w:rPr>
          <w:rFonts w:eastAsiaTheme="minorEastAsia"/>
          <w:lang w:val="en-US" w:eastAsia="zh-CN"/>
        </w:rPr>
      </w:pPr>
      <w:r w:rsidRPr="004C3589">
        <w:rPr>
          <w:rFonts w:eastAsiaTheme="minorEastAsia"/>
          <w:lang w:val="en-US" w:eastAsia="zh-CN"/>
        </w:rPr>
        <w:t xml:space="preserve">The </w:t>
      </w:r>
      <w:r w:rsidR="00B87D36">
        <w:rPr>
          <w:rFonts w:eastAsiaTheme="minorEastAsia"/>
          <w:lang w:val="en-US" w:eastAsia="zh-CN"/>
        </w:rPr>
        <w:t xml:space="preserve">representative from </w:t>
      </w:r>
      <w:r w:rsidRPr="004C3589">
        <w:rPr>
          <w:rFonts w:eastAsiaTheme="minorEastAsia"/>
          <w:lang w:val="en-US" w:eastAsia="zh-CN"/>
        </w:rPr>
        <w:t xml:space="preserve">Spain has been informed by </w:t>
      </w:r>
      <w:r>
        <w:rPr>
          <w:rFonts w:eastAsiaTheme="minorEastAsia"/>
          <w:lang w:val="en-US" w:eastAsia="zh-CN"/>
        </w:rPr>
        <w:t>the Spanish industry</w:t>
      </w:r>
      <w:r w:rsidRPr="004C3589">
        <w:rPr>
          <w:rFonts w:eastAsiaTheme="minorEastAsia"/>
          <w:lang w:val="en-US" w:eastAsia="zh-CN"/>
        </w:rPr>
        <w:t xml:space="preserve"> about a possible incoherence</w:t>
      </w:r>
      <w:r>
        <w:rPr>
          <w:rFonts w:eastAsiaTheme="minorEastAsia"/>
          <w:lang w:val="en-US" w:eastAsia="zh-CN"/>
        </w:rPr>
        <w:t xml:space="preserve"> or </w:t>
      </w:r>
      <w:r w:rsidRPr="004C3589">
        <w:rPr>
          <w:rFonts w:eastAsiaTheme="minorEastAsia"/>
          <w:lang w:val="en-US" w:eastAsia="zh-CN"/>
        </w:rPr>
        <w:t xml:space="preserve">misunderstanding related to the last </w:t>
      </w:r>
      <w:r>
        <w:rPr>
          <w:rFonts w:eastAsiaTheme="minorEastAsia"/>
          <w:lang w:val="en-US" w:eastAsia="zh-CN"/>
        </w:rPr>
        <w:t>sentence</w:t>
      </w:r>
      <w:r w:rsidRPr="004C3589">
        <w:rPr>
          <w:rFonts w:eastAsiaTheme="minorEastAsia"/>
          <w:lang w:val="en-US" w:eastAsia="zh-CN"/>
        </w:rPr>
        <w:t xml:space="preserve"> included in 4.1.1.3 </w:t>
      </w:r>
      <w:proofErr w:type="gramStart"/>
      <w:r w:rsidRPr="004C3589">
        <w:rPr>
          <w:rFonts w:eastAsiaTheme="minorEastAsia"/>
          <w:lang w:val="en-US" w:eastAsia="zh-CN"/>
        </w:rPr>
        <w:t>of  RID</w:t>
      </w:r>
      <w:proofErr w:type="gramEnd"/>
      <w:r w:rsidRPr="004C3589">
        <w:rPr>
          <w:rFonts w:eastAsiaTheme="minorEastAsia"/>
          <w:lang w:val="en-US" w:eastAsia="zh-CN"/>
        </w:rPr>
        <w:t>/ADR</w:t>
      </w:r>
      <w:r>
        <w:rPr>
          <w:rFonts w:eastAsiaTheme="minorEastAsia"/>
          <w:lang w:val="en-US" w:eastAsia="zh-CN"/>
        </w:rPr>
        <w:t>, where a reference to  6.1.1.3 is made.</w:t>
      </w:r>
      <w:r w:rsidRPr="00D22598">
        <w:t xml:space="preserve"> </w:t>
      </w:r>
    </w:p>
    <w:p w:rsidR="00825C1B" w:rsidRPr="00FF4463" w:rsidRDefault="00825C1B" w:rsidP="003A69FF">
      <w:pPr>
        <w:pStyle w:val="SingleTxtG"/>
        <w:keepNext/>
        <w:rPr>
          <w:b/>
          <w:sz w:val="28"/>
          <w:szCs w:val="28"/>
        </w:rPr>
      </w:pPr>
      <w:r w:rsidRPr="00FF4463">
        <w:rPr>
          <w:b/>
          <w:sz w:val="28"/>
          <w:szCs w:val="28"/>
        </w:rPr>
        <w:lastRenderedPageBreak/>
        <w:t>Analysis</w:t>
      </w:r>
    </w:p>
    <w:p w:rsidR="00825C1B" w:rsidRPr="00FF4463" w:rsidRDefault="00825C1B" w:rsidP="003A69FF">
      <w:pPr>
        <w:pStyle w:val="SingleTxtG"/>
        <w:keepNext/>
        <w:numPr>
          <w:ilvl w:val="0"/>
          <w:numId w:val="18"/>
        </w:numPr>
        <w:ind w:left="1134" w:firstLine="0"/>
        <w:rPr>
          <w:rFonts w:eastAsiaTheme="minorEastAsia"/>
          <w:lang w:val="en-US" w:eastAsia="zh-CN"/>
        </w:rPr>
      </w:pPr>
      <w:r>
        <w:t>In</w:t>
      </w:r>
      <w:r w:rsidRPr="00FF4463">
        <w:rPr>
          <w:lang w:val="en-US"/>
        </w:rPr>
        <w:t xml:space="preserve"> </w:t>
      </w:r>
      <w:r>
        <w:rPr>
          <w:lang w:val="en-US"/>
        </w:rPr>
        <w:t>paragraph</w:t>
      </w:r>
      <w:r w:rsidRPr="004C3589">
        <w:rPr>
          <w:lang w:val="en-US"/>
        </w:rPr>
        <w:t xml:space="preserve"> 4.1.1.3 of RID/ADR the following text</w:t>
      </w:r>
      <w:r w:rsidRPr="00B65FA4">
        <w:rPr>
          <w:lang w:val="en-US"/>
        </w:rPr>
        <w:t xml:space="preserve"> </w:t>
      </w:r>
      <w:r w:rsidRPr="004C3589">
        <w:rPr>
          <w:lang w:val="en-US"/>
        </w:rPr>
        <w:t>is included:</w:t>
      </w:r>
    </w:p>
    <w:p w:rsidR="00825C1B" w:rsidRDefault="00825C1B" w:rsidP="003A69FF">
      <w:pPr>
        <w:pStyle w:val="SingleTxtG"/>
        <w:keepNext/>
        <w:ind w:left="1701"/>
        <w:rPr>
          <w:lang w:val="en-US"/>
        </w:rPr>
      </w:pPr>
      <w:r w:rsidRPr="00BC2FDE">
        <w:rPr>
          <w:lang w:val="en-US"/>
        </w:rPr>
        <w:t xml:space="preserve">“Unless otherwise provided elsewhere in </w:t>
      </w:r>
      <w:r>
        <w:rPr>
          <w:lang w:val="en-US"/>
        </w:rPr>
        <w:t>RID/</w:t>
      </w:r>
      <w:r w:rsidRPr="00BC2FDE">
        <w:rPr>
          <w:lang w:val="en-US"/>
        </w:rPr>
        <w:t>ADR, each packaging, including IB</w:t>
      </w:r>
      <w:r>
        <w:rPr>
          <w:lang w:val="en-US"/>
        </w:rPr>
        <w:t>C</w:t>
      </w:r>
      <w:r w:rsidRPr="00BC2FDE">
        <w:rPr>
          <w:lang w:val="en-US"/>
        </w:rPr>
        <w:t xml:space="preserve">s and large </w:t>
      </w:r>
      <w:proofErr w:type="spellStart"/>
      <w:r w:rsidRPr="00BC2FDE">
        <w:rPr>
          <w:lang w:val="en-US"/>
        </w:rPr>
        <w:t>packagings</w:t>
      </w:r>
      <w:proofErr w:type="spellEnd"/>
      <w:r w:rsidRPr="00BC2FDE">
        <w:rPr>
          <w:lang w:val="en-US"/>
        </w:rPr>
        <w:t xml:space="preserve">, except inner </w:t>
      </w:r>
      <w:proofErr w:type="spellStart"/>
      <w:r w:rsidRPr="00BC2FDE">
        <w:rPr>
          <w:lang w:val="en-US"/>
        </w:rPr>
        <w:t>packagings</w:t>
      </w:r>
      <w:proofErr w:type="spellEnd"/>
      <w:r w:rsidRPr="00BC2FDE">
        <w:rPr>
          <w:lang w:val="en-US"/>
        </w:rPr>
        <w:t xml:space="preserve">, shall conform to a design type successfully </w:t>
      </w:r>
      <w:r>
        <w:rPr>
          <w:lang w:val="en-US"/>
        </w:rPr>
        <w:t>tested in</w:t>
      </w:r>
      <w:r w:rsidRPr="00BC2FDE">
        <w:rPr>
          <w:lang w:val="en-US"/>
        </w:rPr>
        <w:t xml:space="preserve"> accordance with the requirements of 6.1.5, 6.3.5, 6.5.6 or 6.6.5, as applicable. </w:t>
      </w:r>
      <w:r w:rsidRPr="00B65FA4">
        <w:rPr>
          <w:lang w:val="en-US"/>
        </w:rPr>
        <w:t xml:space="preserve">The </w:t>
      </w:r>
      <w:proofErr w:type="spellStart"/>
      <w:r w:rsidRPr="00B65FA4">
        <w:rPr>
          <w:lang w:val="en-US"/>
        </w:rPr>
        <w:t>packagings</w:t>
      </w:r>
      <w:proofErr w:type="spellEnd"/>
      <w:r w:rsidRPr="00B65FA4">
        <w:rPr>
          <w:lang w:val="en-US"/>
        </w:rPr>
        <w:t xml:space="preserve"> for which the test is not requ</w:t>
      </w:r>
      <w:r>
        <w:rPr>
          <w:lang w:val="en-US"/>
        </w:rPr>
        <w:t>ired are mentioned under 6.1</w:t>
      </w:r>
      <w:r w:rsidRPr="00B65FA4">
        <w:rPr>
          <w:lang w:val="en-US"/>
        </w:rPr>
        <w:t>.1.3</w:t>
      </w:r>
      <w:r>
        <w:rPr>
          <w:lang w:val="en-US"/>
        </w:rPr>
        <w:t>.”</w:t>
      </w:r>
    </w:p>
    <w:p w:rsidR="00825C1B" w:rsidRPr="00FF4463" w:rsidRDefault="00825C1B" w:rsidP="00825C1B">
      <w:pPr>
        <w:pStyle w:val="SingleTxtG"/>
        <w:numPr>
          <w:ilvl w:val="0"/>
          <w:numId w:val="18"/>
        </w:numPr>
        <w:ind w:left="1134" w:firstLine="0"/>
        <w:rPr>
          <w:rFonts w:eastAsiaTheme="minorEastAsia"/>
          <w:lang w:val="en-US" w:eastAsia="zh-CN"/>
        </w:rPr>
      </w:pPr>
      <w:r>
        <w:rPr>
          <w:lang w:val="en-US"/>
        </w:rPr>
        <w:t>The</w:t>
      </w:r>
      <w:r w:rsidRPr="00FF4463">
        <w:rPr>
          <w:lang w:val="en-US"/>
        </w:rPr>
        <w:t xml:space="preserve"> </w:t>
      </w:r>
      <w:r w:rsidRPr="004C3589">
        <w:rPr>
          <w:lang w:val="en-US"/>
        </w:rPr>
        <w:t xml:space="preserve">last </w:t>
      </w:r>
      <w:r>
        <w:rPr>
          <w:lang w:val="en-US"/>
        </w:rPr>
        <w:t>sentence of</w:t>
      </w:r>
      <w:r w:rsidRPr="004C3589">
        <w:rPr>
          <w:lang w:val="en-US"/>
        </w:rPr>
        <w:t xml:space="preserve"> 4.1.1.3: </w:t>
      </w:r>
      <w:r w:rsidRPr="00107BD9">
        <w:rPr>
          <w:i/>
          <w:lang w:val="en-US"/>
        </w:rPr>
        <w:t>“</w:t>
      </w:r>
      <w:r w:rsidRPr="00B65FA4">
        <w:rPr>
          <w:i/>
          <w:lang w:val="en-US"/>
        </w:rPr>
        <w:t xml:space="preserve">The </w:t>
      </w:r>
      <w:proofErr w:type="spellStart"/>
      <w:r w:rsidRPr="00B65FA4">
        <w:rPr>
          <w:i/>
          <w:lang w:val="en-US"/>
        </w:rPr>
        <w:t>packagings</w:t>
      </w:r>
      <w:proofErr w:type="spellEnd"/>
      <w:r w:rsidRPr="00B65FA4">
        <w:rPr>
          <w:i/>
          <w:lang w:val="en-US"/>
        </w:rPr>
        <w:t xml:space="preserve"> for which the test is not required are mentioned under 6.1.1.3”</w:t>
      </w:r>
      <w:r w:rsidRPr="004C3589">
        <w:rPr>
          <w:lang w:val="en-US"/>
        </w:rPr>
        <w:t xml:space="preserve">, </w:t>
      </w:r>
      <w:r>
        <w:rPr>
          <w:lang w:val="en-US"/>
        </w:rPr>
        <w:t>can be</w:t>
      </w:r>
      <w:r w:rsidRPr="004C3589">
        <w:rPr>
          <w:lang w:val="en-US"/>
        </w:rPr>
        <w:t xml:space="preserve"> confusing because it could be understood that "the test"</w:t>
      </w:r>
      <w:r>
        <w:rPr>
          <w:lang w:val="en-US"/>
        </w:rPr>
        <w:t xml:space="preserve"> to which this sentence refers to, </w:t>
      </w:r>
      <w:r w:rsidRPr="004C3589">
        <w:rPr>
          <w:lang w:val="en-US"/>
        </w:rPr>
        <w:t xml:space="preserve">are those mentioned in </w:t>
      </w:r>
      <w:r>
        <w:rPr>
          <w:lang w:val="en-US"/>
        </w:rPr>
        <w:t>the first sentence of paragraph</w:t>
      </w:r>
      <w:r w:rsidRPr="004C3589">
        <w:rPr>
          <w:lang w:val="en-US"/>
        </w:rPr>
        <w:t xml:space="preserve"> 4.1.1.3</w:t>
      </w:r>
      <w:r w:rsidR="00B87D36">
        <w:rPr>
          <w:lang w:val="en-US"/>
        </w:rPr>
        <w:t xml:space="preserve"> (design type test). </w:t>
      </w:r>
      <w:r>
        <w:rPr>
          <w:lang w:val="en-US"/>
        </w:rPr>
        <w:t>However, paragraph</w:t>
      </w:r>
      <w:r w:rsidRPr="004C3589">
        <w:rPr>
          <w:lang w:val="en-US"/>
        </w:rPr>
        <w:t xml:space="preserve"> 6.1.1.3 of RID</w:t>
      </w:r>
      <w:r>
        <w:rPr>
          <w:lang w:val="en-US"/>
        </w:rPr>
        <w:t>/ADR</w:t>
      </w:r>
      <w:r w:rsidRPr="004C3589">
        <w:rPr>
          <w:lang w:val="en-US"/>
        </w:rPr>
        <w:t xml:space="preserve"> refers to </w:t>
      </w:r>
      <w:r>
        <w:rPr>
          <w:lang w:val="en-US"/>
        </w:rPr>
        <w:t>the</w:t>
      </w:r>
      <w:r w:rsidRPr="004C3589">
        <w:rPr>
          <w:lang w:val="en-US"/>
        </w:rPr>
        <w:t xml:space="preserve"> </w:t>
      </w:r>
      <w:proofErr w:type="spellStart"/>
      <w:r w:rsidRPr="004C3589">
        <w:rPr>
          <w:lang w:val="en-US"/>
        </w:rPr>
        <w:t>leakproofnes</w:t>
      </w:r>
      <w:r>
        <w:rPr>
          <w:lang w:val="en-US"/>
        </w:rPr>
        <w:t>s</w:t>
      </w:r>
      <w:proofErr w:type="spellEnd"/>
      <w:r>
        <w:rPr>
          <w:lang w:val="en-US"/>
        </w:rPr>
        <w:t xml:space="preserve"> test, which is part of a quality assurance program, as can be s</w:t>
      </w:r>
      <w:r w:rsidRPr="004C3589">
        <w:rPr>
          <w:lang w:val="en-US"/>
        </w:rPr>
        <w:t>ee below:</w:t>
      </w:r>
    </w:p>
    <w:p w:rsidR="00825C1B" w:rsidRPr="004C3589" w:rsidRDefault="00825C1B" w:rsidP="00825C1B">
      <w:pPr>
        <w:pStyle w:val="SingleTxtG"/>
        <w:rPr>
          <w:lang w:val="en-US"/>
        </w:rPr>
      </w:pPr>
      <w:r>
        <w:rPr>
          <w:lang w:val="en-US"/>
        </w:rPr>
        <w:t>“</w:t>
      </w:r>
      <w:r w:rsidRPr="004C3589">
        <w:rPr>
          <w:lang w:val="en-US"/>
        </w:rPr>
        <w:t xml:space="preserve">6.1.1.3 </w:t>
      </w:r>
      <w:r>
        <w:rPr>
          <w:lang w:val="en-US"/>
        </w:rPr>
        <w:t xml:space="preserve">  </w:t>
      </w:r>
      <w:r w:rsidRPr="004C3589">
        <w:rPr>
          <w:lang w:val="en-US"/>
        </w:rPr>
        <w:t xml:space="preserve">Every packaging intended to contain liquids shall successfully undergo a suitable </w:t>
      </w:r>
      <w:proofErr w:type="spellStart"/>
      <w:r w:rsidRPr="004C3589">
        <w:rPr>
          <w:lang w:val="en-US"/>
        </w:rPr>
        <w:t>leakproofness</w:t>
      </w:r>
      <w:proofErr w:type="spellEnd"/>
      <w:r w:rsidRPr="004C3589">
        <w:rPr>
          <w:lang w:val="en-US"/>
        </w:rPr>
        <w:t xml:space="preserve"> test. This test is part of a quality assurance program as stipulated in 6.1.1.4 which shows the capability of meeting the appropriate test level indicated in 6.1.5.4.3:</w:t>
      </w:r>
    </w:p>
    <w:p w:rsidR="00825C1B" w:rsidRPr="004C3589" w:rsidRDefault="00825C1B" w:rsidP="00825C1B">
      <w:pPr>
        <w:pStyle w:val="SingleTxtG"/>
        <w:ind w:firstLine="567"/>
        <w:rPr>
          <w:lang w:val="en-US"/>
        </w:rPr>
      </w:pPr>
      <w:r w:rsidRPr="004C3589">
        <w:rPr>
          <w:lang w:val="en-US"/>
        </w:rPr>
        <w:t xml:space="preserve">(a) Before it is first used for </w:t>
      </w:r>
      <w:r>
        <w:rPr>
          <w:lang w:val="en-US"/>
        </w:rPr>
        <w:t>carriage</w:t>
      </w:r>
      <w:r w:rsidRPr="004C3589">
        <w:rPr>
          <w:lang w:val="en-US"/>
        </w:rPr>
        <w:t>;</w:t>
      </w:r>
    </w:p>
    <w:p w:rsidR="00825C1B" w:rsidRPr="004C3589" w:rsidRDefault="00825C1B" w:rsidP="00825C1B">
      <w:pPr>
        <w:pStyle w:val="SingleTxtG"/>
        <w:ind w:firstLine="567"/>
        <w:rPr>
          <w:lang w:val="en-US"/>
        </w:rPr>
      </w:pPr>
      <w:r w:rsidRPr="004C3589">
        <w:rPr>
          <w:lang w:val="en-US"/>
        </w:rPr>
        <w:t xml:space="preserve">(b) After remanufacturing or reconditioning, before it is re-used for </w:t>
      </w:r>
      <w:r>
        <w:rPr>
          <w:lang w:val="en-US"/>
        </w:rPr>
        <w:t>carriage</w:t>
      </w:r>
      <w:r w:rsidRPr="004C3589">
        <w:rPr>
          <w:lang w:val="en-US"/>
        </w:rPr>
        <w:t>.</w:t>
      </w:r>
    </w:p>
    <w:p w:rsidR="00825C1B" w:rsidRPr="004C3589" w:rsidRDefault="00825C1B" w:rsidP="00825C1B">
      <w:pPr>
        <w:pStyle w:val="SingleTxtG"/>
        <w:rPr>
          <w:lang w:val="en-US"/>
        </w:rPr>
      </w:pPr>
      <w:r w:rsidRPr="004C3589">
        <w:rPr>
          <w:lang w:val="en-US"/>
        </w:rPr>
        <w:t xml:space="preserve">For this test, </w:t>
      </w:r>
      <w:proofErr w:type="spellStart"/>
      <w:r w:rsidRPr="004C3589">
        <w:rPr>
          <w:lang w:val="en-US"/>
        </w:rPr>
        <w:t>packagings</w:t>
      </w:r>
      <w:proofErr w:type="spellEnd"/>
      <w:r w:rsidRPr="004C3589">
        <w:rPr>
          <w:lang w:val="en-US"/>
        </w:rPr>
        <w:t xml:space="preserve"> need not have their own closures fitted.</w:t>
      </w:r>
    </w:p>
    <w:p w:rsidR="00825C1B" w:rsidRDefault="00825C1B" w:rsidP="00825C1B">
      <w:pPr>
        <w:pStyle w:val="SingleTxtG"/>
        <w:rPr>
          <w:lang w:val="en-US"/>
        </w:rPr>
      </w:pPr>
      <w:r w:rsidRPr="004C3589">
        <w:rPr>
          <w:lang w:val="en-US"/>
        </w:rPr>
        <w:t xml:space="preserve">The inner receptacle of composite </w:t>
      </w:r>
      <w:proofErr w:type="spellStart"/>
      <w:r w:rsidRPr="004C3589">
        <w:rPr>
          <w:lang w:val="en-US"/>
        </w:rPr>
        <w:t>packagings</w:t>
      </w:r>
      <w:proofErr w:type="spellEnd"/>
      <w:r w:rsidRPr="004C3589">
        <w:rPr>
          <w:lang w:val="en-US"/>
        </w:rPr>
        <w:t xml:space="preserve"> may be tested without the outer packaging provided the test results are not affected. </w:t>
      </w:r>
    </w:p>
    <w:p w:rsidR="00825C1B" w:rsidRDefault="00825C1B" w:rsidP="00825C1B">
      <w:pPr>
        <w:pStyle w:val="SingleTxtG"/>
        <w:rPr>
          <w:lang w:val="en-US"/>
        </w:rPr>
      </w:pPr>
      <w:r w:rsidRPr="004C3589">
        <w:rPr>
          <w:lang w:val="en-US"/>
        </w:rPr>
        <w:t>This test is not necessary for</w:t>
      </w:r>
      <w:r>
        <w:rPr>
          <w:lang w:val="en-US"/>
        </w:rPr>
        <w:t>:</w:t>
      </w:r>
    </w:p>
    <w:p w:rsidR="00825C1B" w:rsidRDefault="00825C1B" w:rsidP="00825C1B">
      <w:pPr>
        <w:pStyle w:val="SingleTxtG"/>
        <w:numPr>
          <w:ilvl w:val="0"/>
          <w:numId w:val="19"/>
        </w:numPr>
        <w:rPr>
          <w:lang w:val="en-US"/>
        </w:rPr>
      </w:pPr>
      <w:r>
        <w:rPr>
          <w:lang w:val="en-US"/>
        </w:rPr>
        <w:t>I</w:t>
      </w:r>
      <w:r w:rsidRPr="004C3589">
        <w:rPr>
          <w:lang w:val="en-US"/>
        </w:rPr>
        <w:t xml:space="preserve">nner </w:t>
      </w:r>
      <w:proofErr w:type="spellStart"/>
      <w:r w:rsidRPr="004C3589">
        <w:rPr>
          <w:lang w:val="en-US"/>
        </w:rPr>
        <w:t>packagings</w:t>
      </w:r>
      <w:proofErr w:type="spellEnd"/>
      <w:r w:rsidRPr="004C3589">
        <w:rPr>
          <w:lang w:val="en-US"/>
        </w:rPr>
        <w:t xml:space="preserve"> of combination </w:t>
      </w:r>
      <w:proofErr w:type="spellStart"/>
      <w:r w:rsidRPr="004C3589">
        <w:rPr>
          <w:lang w:val="en-US"/>
        </w:rPr>
        <w:t>packagings</w:t>
      </w:r>
      <w:proofErr w:type="spellEnd"/>
      <w:r w:rsidRPr="004C3589">
        <w:rPr>
          <w:lang w:val="en-US"/>
        </w:rPr>
        <w:t>.</w:t>
      </w:r>
    </w:p>
    <w:p w:rsidR="00825C1B" w:rsidRDefault="00825C1B" w:rsidP="00825C1B">
      <w:pPr>
        <w:pStyle w:val="SingleTxtG"/>
        <w:numPr>
          <w:ilvl w:val="0"/>
          <w:numId w:val="19"/>
        </w:numPr>
        <w:rPr>
          <w:lang w:val="en-US"/>
        </w:rPr>
      </w:pPr>
      <w:r w:rsidRPr="005B3A1C">
        <w:rPr>
          <w:lang w:val="en-US"/>
        </w:rPr>
        <w:t xml:space="preserve">Inner receptacles of composite </w:t>
      </w:r>
      <w:proofErr w:type="spellStart"/>
      <w:r w:rsidRPr="005B3A1C">
        <w:rPr>
          <w:lang w:val="en-US"/>
        </w:rPr>
        <w:t>packagings</w:t>
      </w:r>
      <w:proofErr w:type="spellEnd"/>
      <w:r w:rsidRPr="005B3A1C">
        <w:rPr>
          <w:lang w:val="en-US"/>
        </w:rPr>
        <w:t xml:space="preserve"> (glass, porcelain or stoneware), marked with the symbol “RID/ADR” according to 6.1.3</w:t>
      </w:r>
      <w:r>
        <w:rPr>
          <w:lang w:val="en-US"/>
        </w:rPr>
        <w:t>.1</w:t>
      </w:r>
      <w:r w:rsidRPr="005B3A1C">
        <w:rPr>
          <w:lang w:val="en-US"/>
        </w:rPr>
        <w:t xml:space="preserve">(a)(ii). </w:t>
      </w:r>
    </w:p>
    <w:p w:rsidR="00825C1B" w:rsidRPr="005B3A1C" w:rsidRDefault="00825C1B" w:rsidP="00825C1B">
      <w:pPr>
        <w:pStyle w:val="SingleTxtG"/>
        <w:numPr>
          <w:ilvl w:val="0"/>
          <w:numId w:val="19"/>
        </w:numPr>
        <w:rPr>
          <w:lang w:val="en-US"/>
        </w:rPr>
      </w:pPr>
      <w:r w:rsidRPr="005B3A1C">
        <w:rPr>
          <w:lang w:val="en-US"/>
        </w:rPr>
        <w:t xml:space="preserve">Light gauge metal </w:t>
      </w:r>
      <w:proofErr w:type="spellStart"/>
      <w:r w:rsidRPr="005B3A1C">
        <w:rPr>
          <w:lang w:val="en-US"/>
        </w:rPr>
        <w:t>packagi</w:t>
      </w:r>
      <w:r>
        <w:rPr>
          <w:lang w:val="en-US"/>
        </w:rPr>
        <w:t>n</w:t>
      </w:r>
      <w:r w:rsidRPr="005B3A1C">
        <w:rPr>
          <w:lang w:val="en-US"/>
        </w:rPr>
        <w:t>gs</w:t>
      </w:r>
      <w:proofErr w:type="spellEnd"/>
      <w:r w:rsidRPr="005B3A1C">
        <w:rPr>
          <w:lang w:val="en-US"/>
        </w:rPr>
        <w:t>, marked with the symbol “RID/AD</w:t>
      </w:r>
      <w:r>
        <w:rPr>
          <w:lang w:val="en-US"/>
        </w:rPr>
        <w:t>R” according to 6.1.3.1(a)(ii).”</w:t>
      </w:r>
    </w:p>
    <w:p w:rsidR="00825C1B" w:rsidRDefault="00825C1B" w:rsidP="00825C1B">
      <w:pPr>
        <w:pStyle w:val="SingleTxtG"/>
        <w:numPr>
          <w:ilvl w:val="0"/>
          <w:numId w:val="18"/>
        </w:numPr>
        <w:ind w:left="1134" w:firstLine="0"/>
        <w:rPr>
          <w:lang w:val="en-US"/>
        </w:rPr>
      </w:pPr>
      <w:r>
        <w:rPr>
          <w:lang w:val="en-US"/>
        </w:rPr>
        <w:t>Paragraph</w:t>
      </w:r>
      <w:r w:rsidRPr="009711FB">
        <w:rPr>
          <w:lang w:val="en-US"/>
        </w:rPr>
        <w:t xml:space="preserve"> 6.1.1.3 of</w:t>
      </w:r>
      <w:r>
        <w:rPr>
          <w:lang w:val="en-US"/>
        </w:rPr>
        <w:t xml:space="preserve"> </w:t>
      </w:r>
      <w:r w:rsidRPr="009711FB">
        <w:rPr>
          <w:lang w:val="en-US"/>
        </w:rPr>
        <w:t>RID</w:t>
      </w:r>
      <w:r>
        <w:rPr>
          <w:lang w:val="en-US"/>
        </w:rPr>
        <w:t xml:space="preserve">/ADR </w:t>
      </w:r>
      <w:r w:rsidRPr="009711FB">
        <w:rPr>
          <w:lang w:val="en-US"/>
        </w:rPr>
        <w:t xml:space="preserve">does not </w:t>
      </w:r>
      <w:r>
        <w:rPr>
          <w:lang w:val="en-US"/>
        </w:rPr>
        <w:t xml:space="preserve">refer to </w:t>
      </w:r>
      <w:r w:rsidRPr="009711FB">
        <w:rPr>
          <w:lang w:val="en-US"/>
        </w:rPr>
        <w:t xml:space="preserve">the equipment that does not have to be subject to the </w:t>
      </w:r>
      <w:r w:rsidRPr="00CF0B6C">
        <w:rPr>
          <w:lang w:val="en-US"/>
        </w:rPr>
        <w:t xml:space="preserve">design type </w:t>
      </w:r>
      <w:r w:rsidRPr="009711FB">
        <w:rPr>
          <w:lang w:val="en-US"/>
        </w:rPr>
        <w:t xml:space="preserve">test, but to the </w:t>
      </w:r>
      <w:proofErr w:type="spellStart"/>
      <w:r w:rsidRPr="009711FB">
        <w:rPr>
          <w:lang w:val="en-US"/>
        </w:rPr>
        <w:t>leakproofness</w:t>
      </w:r>
      <w:proofErr w:type="spellEnd"/>
      <w:r w:rsidRPr="009711FB">
        <w:rPr>
          <w:lang w:val="en-US"/>
        </w:rPr>
        <w:t xml:space="preserve"> test</w:t>
      </w:r>
      <w:r>
        <w:rPr>
          <w:lang w:val="en-US"/>
        </w:rPr>
        <w:t xml:space="preserve">, which is independent of the tests for the design type. The last sentence of 4.1.1.3 as written now is confusing, as it </w:t>
      </w:r>
      <w:proofErr w:type="gramStart"/>
      <w:r>
        <w:rPr>
          <w:lang w:val="en-US"/>
        </w:rPr>
        <w:t>does  provide</w:t>
      </w:r>
      <w:proofErr w:type="gramEnd"/>
      <w:r>
        <w:rPr>
          <w:lang w:val="en-US"/>
        </w:rPr>
        <w:t xml:space="preserve"> a cross reference to a non-related information.</w:t>
      </w:r>
    </w:p>
    <w:p w:rsidR="00825C1B" w:rsidRPr="00FF4463" w:rsidRDefault="00825C1B" w:rsidP="00825C1B">
      <w:pPr>
        <w:pStyle w:val="HChG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Pr="00FF4463">
        <w:rPr>
          <w:lang w:val="en-US"/>
        </w:rPr>
        <w:t>Justification</w:t>
      </w:r>
    </w:p>
    <w:p w:rsidR="00825C1B" w:rsidRDefault="00825C1B" w:rsidP="00825C1B">
      <w:pPr>
        <w:pStyle w:val="SingleTxtG"/>
        <w:numPr>
          <w:ilvl w:val="0"/>
          <w:numId w:val="18"/>
        </w:numPr>
        <w:tabs>
          <w:tab w:val="left" w:pos="1701"/>
        </w:tabs>
        <w:spacing w:after="100"/>
        <w:ind w:left="1134" w:firstLine="0"/>
        <w:rPr>
          <w:lang w:val="en-US"/>
        </w:rPr>
      </w:pPr>
      <w:r>
        <w:rPr>
          <w:lang w:val="en-US"/>
        </w:rPr>
        <w:t xml:space="preserve">This last sentence of 4.1.1.3 is part of RID/ADR since before 2001, and has not been modified; perhaps, it </w:t>
      </w:r>
      <w:proofErr w:type="gramStart"/>
      <w:r>
        <w:rPr>
          <w:lang w:val="en-US"/>
        </w:rPr>
        <w:t>made reference</w:t>
      </w:r>
      <w:proofErr w:type="gramEnd"/>
      <w:r>
        <w:rPr>
          <w:lang w:val="en-US"/>
        </w:rPr>
        <w:t xml:space="preserve"> previously to a paragraph with a different content.</w:t>
      </w:r>
    </w:p>
    <w:p w:rsidR="00825C1B" w:rsidRPr="0002286B" w:rsidRDefault="00825C1B" w:rsidP="00825C1B">
      <w:pPr>
        <w:pStyle w:val="SingleTxtG"/>
        <w:numPr>
          <w:ilvl w:val="0"/>
          <w:numId w:val="18"/>
        </w:numPr>
        <w:tabs>
          <w:tab w:val="left" w:pos="1701"/>
        </w:tabs>
        <w:spacing w:after="100"/>
        <w:ind w:left="1134" w:firstLine="0"/>
        <w:rPr>
          <w:lang w:val="en-US"/>
        </w:rPr>
      </w:pPr>
      <w:r w:rsidRPr="0002286B">
        <w:rPr>
          <w:lang w:val="en-US"/>
        </w:rPr>
        <w:t>Additionally,</w:t>
      </w:r>
      <w:r w:rsidR="00B87D36">
        <w:rPr>
          <w:lang w:val="en-US"/>
        </w:rPr>
        <w:t xml:space="preserve"> in other r</w:t>
      </w:r>
      <w:r>
        <w:rPr>
          <w:lang w:val="en-US"/>
        </w:rPr>
        <w:t xml:space="preserve">egulations as the </w:t>
      </w:r>
      <w:r w:rsidR="00B87D36">
        <w:rPr>
          <w:lang w:val="en-US"/>
        </w:rPr>
        <w:t xml:space="preserve">UN </w:t>
      </w:r>
      <w:r w:rsidRPr="0002286B">
        <w:rPr>
          <w:lang w:val="en-US"/>
        </w:rPr>
        <w:t xml:space="preserve">Model Regulations </w:t>
      </w:r>
      <w:r>
        <w:rPr>
          <w:lang w:val="en-US"/>
        </w:rPr>
        <w:t xml:space="preserve">or the </w:t>
      </w:r>
      <w:r w:rsidRPr="0002286B">
        <w:rPr>
          <w:lang w:val="en-US"/>
        </w:rPr>
        <w:t>IMDG Code</w:t>
      </w:r>
      <w:r>
        <w:rPr>
          <w:lang w:val="en-US"/>
        </w:rPr>
        <w:t>, this last</w:t>
      </w:r>
      <w:r w:rsidRPr="0002286B">
        <w:rPr>
          <w:lang w:val="en-US"/>
        </w:rPr>
        <w:t xml:space="preserve"> sentence </w:t>
      </w:r>
      <w:r>
        <w:rPr>
          <w:lang w:val="en-US"/>
        </w:rPr>
        <w:t>of</w:t>
      </w:r>
      <w:r w:rsidRPr="0002286B">
        <w:rPr>
          <w:lang w:val="en-US"/>
        </w:rPr>
        <w:t xml:space="preserve"> 4.1.1.3 is not included.</w:t>
      </w:r>
      <w:r>
        <w:rPr>
          <w:lang w:val="en-US"/>
        </w:rPr>
        <w:t xml:space="preserve"> </w:t>
      </w:r>
    </w:p>
    <w:p w:rsidR="00825C1B" w:rsidRPr="00576C71" w:rsidRDefault="00825C1B" w:rsidP="00825C1B">
      <w:pPr>
        <w:pStyle w:val="HChG"/>
        <w:spacing w:before="320"/>
        <w:rPr>
          <w:rFonts w:eastAsiaTheme="minorEastAsia"/>
          <w:lang w:val="en-US" w:eastAsia="zh-CN"/>
        </w:rPr>
      </w:pPr>
      <w:r w:rsidRPr="00170655">
        <w:rPr>
          <w:rFonts w:eastAsiaTheme="minorEastAsia"/>
          <w:lang w:eastAsia="zh-CN"/>
        </w:rPr>
        <w:tab/>
      </w:r>
      <w:r w:rsidRPr="00170655">
        <w:rPr>
          <w:rFonts w:eastAsiaTheme="minorEastAsia"/>
          <w:lang w:eastAsia="zh-CN"/>
        </w:rPr>
        <w:tab/>
      </w:r>
      <w:r w:rsidRPr="00576C71">
        <w:rPr>
          <w:rFonts w:eastAsiaTheme="minorEastAsia"/>
          <w:lang w:val="en-US" w:eastAsia="zh-CN"/>
        </w:rPr>
        <w:t>Proposal</w:t>
      </w:r>
    </w:p>
    <w:p w:rsidR="00825C1B" w:rsidRDefault="00825C1B" w:rsidP="00825C1B">
      <w:pPr>
        <w:pStyle w:val="SingleTxtG"/>
        <w:spacing w:after="0" w:line="240" w:lineRule="auto"/>
      </w:pPr>
      <w:r>
        <w:t>7.</w:t>
      </w:r>
      <w:r>
        <w:tab/>
        <w:t xml:space="preserve">Spain would suggest deleting the last sentence included in paragraph 4.1.1.3 of RID/ADR to avoid further confusion and to harmonize with the paragraph included into the Model Regulations (deleted </w:t>
      </w:r>
      <w:r w:rsidRPr="00270BA3">
        <w:t xml:space="preserve">text </w:t>
      </w:r>
      <w:r w:rsidRPr="0002286B">
        <w:rPr>
          <w:strike/>
        </w:rPr>
        <w:t>stricken through</w:t>
      </w:r>
      <w:r>
        <w:t xml:space="preserve">): </w:t>
      </w:r>
    </w:p>
    <w:p w:rsidR="00825C1B" w:rsidRDefault="00825C1B" w:rsidP="00825C1B">
      <w:pPr>
        <w:pStyle w:val="SingleTxtG"/>
        <w:spacing w:after="0" w:line="240" w:lineRule="auto"/>
      </w:pPr>
    </w:p>
    <w:p w:rsidR="00825C1B" w:rsidRPr="00FF4D23" w:rsidRDefault="00825C1B" w:rsidP="00825C1B">
      <w:pPr>
        <w:pStyle w:val="SingleTxtG"/>
        <w:ind w:left="1701"/>
        <w:rPr>
          <w:lang w:val="en-US"/>
        </w:rPr>
      </w:pPr>
      <w:r>
        <w:rPr>
          <w:rFonts w:eastAsiaTheme="minorEastAsia"/>
          <w:lang w:val="en-US" w:eastAsia="zh-CN"/>
        </w:rPr>
        <w:lastRenderedPageBreak/>
        <w:t xml:space="preserve">4.1.1.3 “Unless otherwise provided elsewhere in ADR, each packaging, including IBSs and large </w:t>
      </w:r>
      <w:proofErr w:type="spellStart"/>
      <w:r>
        <w:rPr>
          <w:rFonts w:eastAsiaTheme="minorEastAsia"/>
          <w:lang w:val="en-US" w:eastAsia="zh-CN"/>
        </w:rPr>
        <w:t>packagings</w:t>
      </w:r>
      <w:proofErr w:type="spellEnd"/>
      <w:r>
        <w:rPr>
          <w:rFonts w:eastAsiaTheme="minorEastAsia"/>
          <w:lang w:val="en-US" w:eastAsia="zh-CN"/>
        </w:rPr>
        <w:t xml:space="preserve">, except inner </w:t>
      </w:r>
      <w:proofErr w:type="spellStart"/>
      <w:r>
        <w:rPr>
          <w:rFonts w:eastAsiaTheme="minorEastAsia"/>
          <w:lang w:val="en-US" w:eastAsia="zh-CN"/>
        </w:rPr>
        <w:t>packagings</w:t>
      </w:r>
      <w:proofErr w:type="spellEnd"/>
      <w:r>
        <w:rPr>
          <w:rFonts w:eastAsiaTheme="minorEastAsia"/>
          <w:lang w:val="en-US" w:eastAsia="zh-CN"/>
        </w:rPr>
        <w:t xml:space="preserve">, shall conform to a design type successfully tested in accordance with the requirements of 6.1.5, 6.3.5, 6.5.6 or 6.6.5, as applicable. </w:t>
      </w:r>
      <w:r w:rsidRPr="00217A38">
        <w:rPr>
          <w:rFonts w:eastAsiaTheme="minorEastAsia"/>
          <w:strike/>
          <w:lang w:val="en-US" w:eastAsia="zh-CN"/>
        </w:rPr>
        <w:t xml:space="preserve">The </w:t>
      </w:r>
      <w:proofErr w:type="spellStart"/>
      <w:r w:rsidRPr="00217A38">
        <w:rPr>
          <w:rFonts w:eastAsiaTheme="minorEastAsia"/>
          <w:strike/>
          <w:lang w:val="en-US" w:eastAsia="zh-CN"/>
        </w:rPr>
        <w:t>packagings</w:t>
      </w:r>
      <w:proofErr w:type="spellEnd"/>
      <w:r w:rsidRPr="00217A38">
        <w:rPr>
          <w:rFonts w:eastAsiaTheme="minorEastAsia"/>
          <w:strike/>
          <w:lang w:val="en-US" w:eastAsia="zh-CN"/>
        </w:rPr>
        <w:t xml:space="preserve"> for with the test is not required are mentioned under 6.1.1.3</w:t>
      </w:r>
      <w:r>
        <w:rPr>
          <w:rFonts w:eastAsiaTheme="minorEastAsia"/>
          <w:lang w:val="en-US" w:eastAsia="zh-CN"/>
        </w:rPr>
        <w:t>”.</w:t>
      </w:r>
    </w:p>
    <w:p w:rsidR="00825C1B" w:rsidRPr="00FA16BB" w:rsidRDefault="00825C1B" w:rsidP="00825C1B">
      <w:pPr>
        <w:spacing w:before="120" w:line="240" w:lineRule="auto"/>
        <w:ind w:left="1134" w:right="992"/>
        <w:jc w:val="center"/>
        <w:rPr>
          <w:u w:val="single"/>
          <w:lang w:val="en-US"/>
        </w:rPr>
      </w:pPr>
      <w:r>
        <w:t>__________________</w:t>
      </w:r>
    </w:p>
    <w:p w:rsidR="000A74B1" w:rsidRDefault="000A74B1" w:rsidP="000A74B1"/>
    <w:sectPr w:rsidR="000A74B1" w:rsidSect="009D2A5B">
      <w:headerReference w:type="even" r:id="rId9"/>
      <w:headerReference w:type="default" r:id="rId10"/>
      <w:footerReference w:type="even" r:id="rId11"/>
      <w:footerReference w:type="default" r:id="rId12"/>
      <w:endnotePr>
        <w:numFmt w:val="decimal"/>
      </w:endnotePr>
      <w:type w:val="continuous"/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4220" w:rsidRDefault="00FF4220"/>
  </w:endnote>
  <w:endnote w:type="continuationSeparator" w:id="0">
    <w:p w:rsidR="00FF4220" w:rsidRDefault="00FF4220"/>
  </w:endnote>
  <w:endnote w:type="continuationNotice" w:id="1">
    <w:p w:rsidR="00FF4220" w:rsidRDefault="00FF422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29BD" w:rsidRPr="009D2A5B" w:rsidRDefault="00441896" w:rsidP="009D2A5B">
    <w:pPr>
      <w:pStyle w:val="Footer"/>
      <w:tabs>
        <w:tab w:val="right" w:pos="9598"/>
      </w:tabs>
    </w:pPr>
    <w:r w:rsidRPr="009D2A5B">
      <w:rPr>
        <w:b/>
        <w:sz w:val="18"/>
      </w:rPr>
      <w:fldChar w:fldCharType="begin"/>
    </w:r>
    <w:r w:rsidR="00DD29BD" w:rsidRPr="009D2A5B">
      <w:rPr>
        <w:b/>
        <w:sz w:val="18"/>
      </w:rPr>
      <w:instrText xml:space="preserve"> PAGE  \* MERGEFORMAT </w:instrText>
    </w:r>
    <w:r w:rsidRPr="009D2A5B">
      <w:rPr>
        <w:b/>
        <w:sz w:val="18"/>
      </w:rPr>
      <w:fldChar w:fldCharType="separate"/>
    </w:r>
    <w:r w:rsidR="007817B7">
      <w:rPr>
        <w:b/>
        <w:noProof/>
        <w:sz w:val="18"/>
      </w:rPr>
      <w:t>2</w:t>
    </w:r>
    <w:r w:rsidRPr="009D2A5B">
      <w:rPr>
        <w:b/>
        <w:sz w:val="18"/>
      </w:rPr>
      <w:fldChar w:fldCharType="end"/>
    </w:r>
    <w:r w:rsidR="00DD29BD"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29BD" w:rsidRPr="009D2A5B" w:rsidRDefault="00DD29BD" w:rsidP="009D2A5B">
    <w:pPr>
      <w:pStyle w:val="Footer"/>
      <w:tabs>
        <w:tab w:val="right" w:pos="9598"/>
      </w:tabs>
      <w:rPr>
        <w:b/>
        <w:sz w:val="18"/>
      </w:rPr>
    </w:pPr>
    <w:r>
      <w:tab/>
    </w:r>
    <w:r w:rsidR="00441896" w:rsidRPr="009D2A5B">
      <w:rPr>
        <w:b/>
        <w:sz w:val="18"/>
      </w:rPr>
      <w:fldChar w:fldCharType="begin"/>
    </w:r>
    <w:r w:rsidRPr="009D2A5B">
      <w:rPr>
        <w:b/>
        <w:sz w:val="18"/>
      </w:rPr>
      <w:instrText xml:space="preserve"> PAGE  \* MERGEFORMAT </w:instrText>
    </w:r>
    <w:r w:rsidR="00441896" w:rsidRPr="009D2A5B">
      <w:rPr>
        <w:b/>
        <w:sz w:val="18"/>
      </w:rPr>
      <w:fldChar w:fldCharType="separate"/>
    </w:r>
    <w:r w:rsidR="007817B7">
      <w:rPr>
        <w:b/>
        <w:noProof/>
        <w:sz w:val="18"/>
      </w:rPr>
      <w:t>3</w:t>
    </w:r>
    <w:r w:rsidR="00441896" w:rsidRPr="009D2A5B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4220" w:rsidRPr="000B175B" w:rsidRDefault="00FF4220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FF4220" w:rsidRPr="00FC68B7" w:rsidRDefault="00FF4220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FF4220" w:rsidRDefault="00FF4220"/>
  </w:footnote>
  <w:footnote w:id="2">
    <w:p w:rsidR="003A69FF" w:rsidRPr="003A69FF" w:rsidRDefault="003A69FF" w:rsidP="003A69FF">
      <w:pPr>
        <w:pStyle w:val="FootnoteText"/>
        <w:rPr>
          <w:lang w:val="fr-CH"/>
        </w:rPr>
      </w:pPr>
      <w:r>
        <w:tab/>
      </w:r>
      <w:r>
        <w:tab/>
      </w:r>
      <w:r w:rsidRPr="003A69FF">
        <w:rPr>
          <w:rStyle w:val="FootnoteReference"/>
          <w:sz w:val="20"/>
        </w:rPr>
        <w:t>*</w:t>
      </w:r>
      <w:r w:rsidRPr="003A69FF">
        <w:rPr>
          <w:sz w:val="20"/>
        </w:rPr>
        <w:t xml:space="preserve"> </w:t>
      </w:r>
      <w:r>
        <w:t xml:space="preserve">In accordance with the programme of work of the Inland Transport Committee for 2018-2019, </w:t>
      </w:r>
      <w:r>
        <w:rPr>
          <w:szCs w:val="18"/>
        </w:rPr>
        <w:t>(ECE/TRANS</w:t>
      </w:r>
      <w:r w:rsidRPr="004809ED">
        <w:rPr>
          <w:szCs w:val="18"/>
        </w:rPr>
        <w:t>/</w:t>
      </w:r>
      <w:r>
        <w:rPr>
          <w:szCs w:val="18"/>
        </w:rPr>
        <w:t>WP.15/237, annexe V, (</w:t>
      </w:r>
      <w:r w:rsidRPr="004809ED">
        <w:rPr>
          <w:szCs w:val="18"/>
        </w:rPr>
        <w:t>9.2)</w:t>
      </w:r>
      <w:r>
        <w:rPr>
          <w:szCs w:val="18"/>
        </w:rPr>
        <w:t>)</w:t>
      </w:r>
      <w:r w:rsidRPr="004809ED">
        <w:rPr>
          <w:szCs w:val="18"/>
        </w:rPr>
        <w:t>.</w:t>
      </w:r>
    </w:p>
  </w:footnote>
  <w:footnote w:id="3">
    <w:p w:rsidR="003A69FF" w:rsidRPr="00004AD5" w:rsidRDefault="003A69FF" w:rsidP="003A69FF">
      <w:pPr>
        <w:pStyle w:val="FootnoteText"/>
        <w:rPr>
          <w:lang w:val="fr-CH"/>
        </w:rPr>
      </w:pPr>
      <w:r>
        <w:tab/>
      </w:r>
      <w:r>
        <w:tab/>
      </w:r>
      <w:r w:rsidRPr="003A69FF">
        <w:rPr>
          <w:rStyle w:val="FootnoteReference"/>
          <w:sz w:val="20"/>
        </w:rPr>
        <w:t>**</w:t>
      </w:r>
      <w:r>
        <w:t xml:space="preserve"> </w:t>
      </w:r>
      <w:r w:rsidRPr="00F30C99">
        <w:t xml:space="preserve">Circulated by the Intergovernmental Organisation for International Carriage by Rail (OTIF) under the symbol </w:t>
      </w:r>
      <w:r w:rsidRPr="00561474">
        <w:t>OTIF/RID/RC/201</w:t>
      </w:r>
      <w:r w:rsidR="00B87D36">
        <w:t>9</w:t>
      </w:r>
      <w:r w:rsidRPr="00561474">
        <w:t>/</w:t>
      </w:r>
      <w:r>
        <w:t>15</w:t>
      </w:r>
      <w:r w:rsidRPr="00561474">
        <w:t>.</w:t>
      </w:r>
    </w:p>
    <w:p w:rsidR="003A69FF" w:rsidRPr="003A69FF" w:rsidRDefault="003A69FF">
      <w:pPr>
        <w:pStyle w:val="FootnoteText"/>
        <w:rPr>
          <w:lang w:val="fr-CH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29BD" w:rsidRPr="009D2A5B" w:rsidRDefault="00DD29BD" w:rsidP="009D2A5B">
    <w:pPr>
      <w:pStyle w:val="Header"/>
    </w:pPr>
    <w:r w:rsidRPr="009D2A5B">
      <w:t>ECE/TRANS/WP.15/AC.1/201</w:t>
    </w:r>
    <w:r w:rsidR="00C64869">
      <w:t>9</w:t>
    </w:r>
    <w:r w:rsidRPr="009D2A5B">
      <w:t>/</w:t>
    </w:r>
    <w:r w:rsidR="00825C1B">
      <w:t>15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29BD" w:rsidRPr="009D2A5B" w:rsidRDefault="00DD29BD" w:rsidP="009D2A5B">
    <w:pPr>
      <w:pStyle w:val="Header"/>
      <w:jc w:val="right"/>
    </w:pPr>
    <w:r w:rsidRPr="009D2A5B">
      <w:t>ECE/TRANS/WP.15/AC.1/201</w:t>
    </w:r>
    <w:r w:rsidR="00825C1B">
      <w:t>9/15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57E679C2"/>
    <w:lvl w:ilvl="0" w:tplc="075A6416">
      <w:start w:val="1"/>
      <w:numFmt w:val="decimal"/>
      <w:pStyle w:val="ParaNoG"/>
      <w:lvlText w:val="%1."/>
      <w:lvlJc w:val="left"/>
      <w:pPr>
        <w:tabs>
          <w:tab w:val="num" w:pos="1494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E253887"/>
    <w:multiLevelType w:val="hybridMultilevel"/>
    <w:tmpl w:val="497EC7CC"/>
    <w:lvl w:ilvl="0" w:tplc="FAE4B37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4028CF"/>
    <w:multiLevelType w:val="hybridMultilevel"/>
    <w:tmpl w:val="150A8260"/>
    <w:lvl w:ilvl="0" w:tplc="EB967684">
      <w:start w:val="1"/>
      <w:numFmt w:val="bullet"/>
      <w:lvlText w:val=""/>
      <w:lvlJc w:val="left"/>
      <w:pPr>
        <w:ind w:left="206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5" w15:restartNumberingAfterBreak="0">
    <w:nsid w:val="2E6054A8"/>
    <w:multiLevelType w:val="hybridMultilevel"/>
    <w:tmpl w:val="3A380252"/>
    <w:lvl w:ilvl="0" w:tplc="EF64814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214" w:hanging="360"/>
      </w:pPr>
    </w:lvl>
    <w:lvl w:ilvl="2" w:tplc="0C0A001B" w:tentative="1">
      <w:start w:val="1"/>
      <w:numFmt w:val="lowerRoman"/>
      <w:lvlText w:val="%3."/>
      <w:lvlJc w:val="right"/>
      <w:pPr>
        <w:ind w:left="2934" w:hanging="180"/>
      </w:pPr>
    </w:lvl>
    <w:lvl w:ilvl="3" w:tplc="0C0A000F" w:tentative="1">
      <w:start w:val="1"/>
      <w:numFmt w:val="decimal"/>
      <w:lvlText w:val="%4."/>
      <w:lvlJc w:val="left"/>
      <w:pPr>
        <w:ind w:left="3654" w:hanging="360"/>
      </w:pPr>
    </w:lvl>
    <w:lvl w:ilvl="4" w:tplc="0C0A0019" w:tentative="1">
      <w:start w:val="1"/>
      <w:numFmt w:val="lowerLetter"/>
      <w:lvlText w:val="%5."/>
      <w:lvlJc w:val="left"/>
      <w:pPr>
        <w:ind w:left="4374" w:hanging="360"/>
      </w:pPr>
    </w:lvl>
    <w:lvl w:ilvl="5" w:tplc="0C0A001B" w:tentative="1">
      <w:start w:val="1"/>
      <w:numFmt w:val="lowerRoman"/>
      <w:lvlText w:val="%6."/>
      <w:lvlJc w:val="right"/>
      <w:pPr>
        <w:ind w:left="5094" w:hanging="180"/>
      </w:pPr>
    </w:lvl>
    <w:lvl w:ilvl="6" w:tplc="0C0A000F" w:tentative="1">
      <w:start w:val="1"/>
      <w:numFmt w:val="decimal"/>
      <w:lvlText w:val="%7."/>
      <w:lvlJc w:val="left"/>
      <w:pPr>
        <w:ind w:left="5814" w:hanging="360"/>
      </w:pPr>
    </w:lvl>
    <w:lvl w:ilvl="7" w:tplc="0C0A0019" w:tentative="1">
      <w:start w:val="1"/>
      <w:numFmt w:val="lowerLetter"/>
      <w:lvlText w:val="%8."/>
      <w:lvlJc w:val="left"/>
      <w:pPr>
        <w:ind w:left="6534" w:hanging="360"/>
      </w:pPr>
    </w:lvl>
    <w:lvl w:ilvl="8" w:tplc="0C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 w15:restartNumberingAfterBreak="0">
    <w:nsid w:val="31A12325"/>
    <w:multiLevelType w:val="hybridMultilevel"/>
    <w:tmpl w:val="FF0E5B48"/>
    <w:lvl w:ilvl="0" w:tplc="6D5E22D8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DE2E2D"/>
    <w:multiLevelType w:val="hybridMultilevel"/>
    <w:tmpl w:val="2E7A7832"/>
    <w:lvl w:ilvl="0" w:tplc="B58A0C70">
      <w:start w:val="2"/>
      <w:numFmt w:val="bullet"/>
      <w:lvlText w:val="•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7BC6D20E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18600E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66E4D2DC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C6229E3C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CCAEC820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F05483B2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C6D2FFC2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7C3C9064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6"/>
  </w:num>
  <w:num w:numId="12">
    <w:abstractNumId w:val="13"/>
  </w:num>
  <w:num w:numId="13">
    <w:abstractNumId w:val="10"/>
  </w:num>
  <w:num w:numId="14">
    <w:abstractNumId w:val="18"/>
  </w:num>
  <w:num w:numId="15">
    <w:abstractNumId w:val="12"/>
  </w:num>
  <w:num w:numId="16">
    <w:abstractNumId w:val="11"/>
  </w:num>
  <w:num w:numId="17">
    <w:abstractNumId w:val="17"/>
  </w:num>
  <w:num w:numId="18">
    <w:abstractNumId w:val="15"/>
  </w:num>
  <w:num w:numId="19">
    <w:abstractNumId w:val="1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608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D51"/>
    <w:rsid w:val="0003498C"/>
    <w:rsid w:val="00034A36"/>
    <w:rsid w:val="00037F90"/>
    <w:rsid w:val="00046B1F"/>
    <w:rsid w:val="00050F6B"/>
    <w:rsid w:val="0005583C"/>
    <w:rsid w:val="00057E97"/>
    <w:rsid w:val="00072C8C"/>
    <w:rsid w:val="000733B5"/>
    <w:rsid w:val="00080491"/>
    <w:rsid w:val="00081815"/>
    <w:rsid w:val="000931C0"/>
    <w:rsid w:val="000A74B1"/>
    <w:rsid w:val="000B0595"/>
    <w:rsid w:val="000B1333"/>
    <w:rsid w:val="000B175B"/>
    <w:rsid w:val="000B3A0F"/>
    <w:rsid w:val="000B4EF7"/>
    <w:rsid w:val="000C2C03"/>
    <w:rsid w:val="000C2D2E"/>
    <w:rsid w:val="000C4D51"/>
    <w:rsid w:val="000D656A"/>
    <w:rsid w:val="000E0415"/>
    <w:rsid w:val="001103AA"/>
    <w:rsid w:val="0011666B"/>
    <w:rsid w:val="00155068"/>
    <w:rsid w:val="00165F3A"/>
    <w:rsid w:val="001B13A5"/>
    <w:rsid w:val="001B4B04"/>
    <w:rsid w:val="001C6663"/>
    <w:rsid w:val="001C7895"/>
    <w:rsid w:val="001D0C8C"/>
    <w:rsid w:val="001D1419"/>
    <w:rsid w:val="001D26DF"/>
    <w:rsid w:val="001D3A03"/>
    <w:rsid w:val="001D7F46"/>
    <w:rsid w:val="001E0B9E"/>
    <w:rsid w:val="001E7B67"/>
    <w:rsid w:val="001F1D57"/>
    <w:rsid w:val="001F7435"/>
    <w:rsid w:val="00202DA8"/>
    <w:rsid w:val="0021157B"/>
    <w:rsid w:val="00211E0B"/>
    <w:rsid w:val="00237D1C"/>
    <w:rsid w:val="00254269"/>
    <w:rsid w:val="00267F5F"/>
    <w:rsid w:val="00277C12"/>
    <w:rsid w:val="00286B4D"/>
    <w:rsid w:val="002A603B"/>
    <w:rsid w:val="002D4643"/>
    <w:rsid w:val="002D4B6C"/>
    <w:rsid w:val="002E7EEB"/>
    <w:rsid w:val="002F175C"/>
    <w:rsid w:val="00302E18"/>
    <w:rsid w:val="003229D8"/>
    <w:rsid w:val="00352709"/>
    <w:rsid w:val="00371178"/>
    <w:rsid w:val="00381475"/>
    <w:rsid w:val="003A6810"/>
    <w:rsid w:val="003A69FF"/>
    <w:rsid w:val="003C2CC4"/>
    <w:rsid w:val="003D4B23"/>
    <w:rsid w:val="004059B4"/>
    <w:rsid w:val="00410C89"/>
    <w:rsid w:val="00422E03"/>
    <w:rsid w:val="00426B9B"/>
    <w:rsid w:val="004325CB"/>
    <w:rsid w:val="00441896"/>
    <w:rsid w:val="00442A83"/>
    <w:rsid w:val="00443AB5"/>
    <w:rsid w:val="0045495B"/>
    <w:rsid w:val="004665BA"/>
    <w:rsid w:val="0048397A"/>
    <w:rsid w:val="004A12F2"/>
    <w:rsid w:val="004C2461"/>
    <w:rsid w:val="004C7462"/>
    <w:rsid w:val="004D4E04"/>
    <w:rsid w:val="004D5426"/>
    <w:rsid w:val="004E0C05"/>
    <w:rsid w:val="004E77B2"/>
    <w:rsid w:val="00503DEB"/>
    <w:rsid w:val="00504B2D"/>
    <w:rsid w:val="00511A9B"/>
    <w:rsid w:val="0052136D"/>
    <w:rsid w:val="00522B58"/>
    <w:rsid w:val="0052775E"/>
    <w:rsid w:val="00535C90"/>
    <w:rsid w:val="005420F2"/>
    <w:rsid w:val="00545927"/>
    <w:rsid w:val="00546993"/>
    <w:rsid w:val="005628B6"/>
    <w:rsid w:val="00597EDC"/>
    <w:rsid w:val="005A575C"/>
    <w:rsid w:val="005B3DB3"/>
    <w:rsid w:val="005B4E13"/>
    <w:rsid w:val="005B74E2"/>
    <w:rsid w:val="005E6A77"/>
    <w:rsid w:val="005F7B75"/>
    <w:rsid w:val="006001EE"/>
    <w:rsid w:val="00605042"/>
    <w:rsid w:val="00611FC4"/>
    <w:rsid w:val="006176FB"/>
    <w:rsid w:val="00640B26"/>
    <w:rsid w:val="00652D0A"/>
    <w:rsid w:val="006623D5"/>
    <w:rsid w:val="00662BB6"/>
    <w:rsid w:val="00667F8F"/>
    <w:rsid w:val="00675F2F"/>
    <w:rsid w:val="00684C21"/>
    <w:rsid w:val="0069232B"/>
    <w:rsid w:val="00697F42"/>
    <w:rsid w:val="006A2530"/>
    <w:rsid w:val="006C3589"/>
    <w:rsid w:val="006D37AF"/>
    <w:rsid w:val="006D51D0"/>
    <w:rsid w:val="006D5DA3"/>
    <w:rsid w:val="006D66D0"/>
    <w:rsid w:val="006E5117"/>
    <w:rsid w:val="006E564B"/>
    <w:rsid w:val="006E7191"/>
    <w:rsid w:val="00703577"/>
    <w:rsid w:val="00705894"/>
    <w:rsid w:val="00714C9C"/>
    <w:rsid w:val="0072632A"/>
    <w:rsid w:val="00731FF0"/>
    <w:rsid w:val="007327D5"/>
    <w:rsid w:val="007404D2"/>
    <w:rsid w:val="007611CF"/>
    <w:rsid w:val="007629C8"/>
    <w:rsid w:val="0077047D"/>
    <w:rsid w:val="007817B7"/>
    <w:rsid w:val="007B6BA5"/>
    <w:rsid w:val="007C3390"/>
    <w:rsid w:val="007C4F4B"/>
    <w:rsid w:val="007D46D5"/>
    <w:rsid w:val="007E01E9"/>
    <w:rsid w:val="007E63F3"/>
    <w:rsid w:val="007F6611"/>
    <w:rsid w:val="007F7106"/>
    <w:rsid w:val="00811920"/>
    <w:rsid w:val="00815AD0"/>
    <w:rsid w:val="008242D7"/>
    <w:rsid w:val="008257B1"/>
    <w:rsid w:val="00825C1B"/>
    <w:rsid w:val="00843767"/>
    <w:rsid w:val="008521A5"/>
    <w:rsid w:val="008679D9"/>
    <w:rsid w:val="00871389"/>
    <w:rsid w:val="00874CB6"/>
    <w:rsid w:val="00883999"/>
    <w:rsid w:val="008878DE"/>
    <w:rsid w:val="00897362"/>
    <w:rsid w:val="008979B1"/>
    <w:rsid w:val="008A6B25"/>
    <w:rsid w:val="008A6C4F"/>
    <w:rsid w:val="008B2335"/>
    <w:rsid w:val="008B717B"/>
    <w:rsid w:val="008E0678"/>
    <w:rsid w:val="00901B81"/>
    <w:rsid w:val="00914590"/>
    <w:rsid w:val="009201BA"/>
    <w:rsid w:val="0092212D"/>
    <w:rsid w:val="009223CA"/>
    <w:rsid w:val="00940F93"/>
    <w:rsid w:val="0094558F"/>
    <w:rsid w:val="00961690"/>
    <w:rsid w:val="009760F3"/>
    <w:rsid w:val="009A0E8D"/>
    <w:rsid w:val="009B1518"/>
    <w:rsid w:val="009B26E7"/>
    <w:rsid w:val="009B6669"/>
    <w:rsid w:val="009C3EED"/>
    <w:rsid w:val="009C454F"/>
    <w:rsid w:val="009D2A5B"/>
    <w:rsid w:val="00A00A3F"/>
    <w:rsid w:val="00A01489"/>
    <w:rsid w:val="00A3009E"/>
    <w:rsid w:val="00A3026E"/>
    <w:rsid w:val="00A338F1"/>
    <w:rsid w:val="00A72F22"/>
    <w:rsid w:val="00A7360F"/>
    <w:rsid w:val="00A748A6"/>
    <w:rsid w:val="00A769F4"/>
    <w:rsid w:val="00A776B4"/>
    <w:rsid w:val="00A81407"/>
    <w:rsid w:val="00A9093D"/>
    <w:rsid w:val="00A94361"/>
    <w:rsid w:val="00AA293C"/>
    <w:rsid w:val="00AA6995"/>
    <w:rsid w:val="00AE08DA"/>
    <w:rsid w:val="00AF3993"/>
    <w:rsid w:val="00B11BB4"/>
    <w:rsid w:val="00B175D8"/>
    <w:rsid w:val="00B22BC2"/>
    <w:rsid w:val="00B30179"/>
    <w:rsid w:val="00B421C1"/>
    <w:rsid w:val="00B42658"/>
    <w:rsid w:val="00B55C71"/>
    <w:rsid w:val="00B56E4A"/>
    <w:rsid w:val="00B56E9C"/>
    <w:rsid w:val="00B61320"/>
    <w:rsid w:val="00B64B1F"/>
    <w:rsid w:val="00B6553F"/>
    <w:rsid w:val="00B70F1E"/>
    <w:rsid w:val="00B72641"/>
    <w:rsid w:val="00B77D05"/>
    <w:rsid w:val="00B81206"/>
    <w:rsid w:val="00B81E12"/>
    <w:rsid w:val="00B857E8"/>
    <w:rsid w:val="00B87D36"/>
    <w:rsid w:val="00BB4810"/>
    <w:rsid w:val="00BB7CD1"/>
    <w:rsid w:val="00BC3FA0"/>
    <w:rsid w:val="00BC74E9"/>
    <w:rsid w:val="00BF68A8"/>
    <w:rsid w:val="00C10FE6"/>
    <w:rsid w:val="00C11A03"/>
    <w:rsid w:val="00C22C0C"/>
    <w:rsid w:val="00C255AF"/>
    <w:rsid w:val="00C30C61"/>
    <w:rsid w:val="00C35502"/>
    <w:rsid w:val="00C40B11"/>
    <w:rsid w:val="00C4527F"/>
    <w:rsid w:val="00C463DD"/>
    <w:rsid w:val="00C4724C"/>
    <w:rsid w:val="00C629A0"/>
    <w:rsid w:val="00C64629"/>
    <w:rsid w:val="00C64869"/>
    <w:rsid w:val="00C745C3"/>
    <w:rsid w:val="00C76F8B"/>
    <w:rsid w:val="00C92461"/>
    <w:rsid w:val="00CB3E03"/>
    <w:rsid w:val="00CC59A2"/>
    <w:rsid w:val="00CE4A8F"/>
    <w:rsid w:val="00D2031B"/>
    <w:rsid w:val="00D20F56"/>
    <w:rsid w:val="00D25FE2"/>
    <w:rsid w:val="00D43252"/>
    <w:rsid w:val="00D47EEA"/>
    <w:rsid w:val="00D550D4"/>
    <w:rsid w:val="00D773DF"/>
    <w:rsid w:val="00D872AC"/>
    <w:rsid w:val="00D9255F"/>
    <w:rsid w:val="00D95303"/>
    <w:rsid w:val="00D978C6"/>
    <w:rsid w:val="00DA3C1C"/>
    <w:rsid w:val="00DD29BD"/>
    <w:rsid w:val="00DD403E"/>
    <w:rsid w:val="00DF0F1A"/>
    <w:rsid w:val="00E046DF"/>
    <w:rsid w:val="00E15557"/>
    <w:rsid w:val="00E240D2"/>
    <w:rsid w:val="00E27346"/>
    <w:rsid w:val="00E64DB6"/>
    <w:rsid w:val="00E71610"/>
    <w:rsid w:val="00E71BC8"/>
    <w:rsid w:val="00E7260F"/>
    <w:rsid w:val="00E73F5D"/>
    <w:rsid w:val="00E77E4E"/>
    <w:rsid w:val="00E96630"/>
    <w:rsid w:val="00EC106A"/>
    <w:rsid w:val="00EC1E8A"/>
    <w:rsid w:val="00ED7A2A"/>
    <w:rsid w:val="00EE6B3A"/>
    <w:rsid w:val="00EF1D7F"/>
    <w:rsid w:val="00F31E5F"/>
    <w:rsid w:val="00F32BB7"/>
    <w:rsid w:val="00F47EDC"/>
    <w:rsid w:val="00F6100A"/>
    <w:rsid w:val="00F63C9D"/>
    <w:rsid w:val="00F66565"/>
    <w:rsid w:val="00F72D16"/>
    <w:rsid w:val="00F75A16"/>
    <w:rsid w:val="00F92A22"/>
    <w:rsid w:val="00F93781"/>
    <w:rsid w:val="00FB613B"/>
    <w:rsid w:val="00FC68B7"/>
    <w:rsid w:val="00FE106A"/>
    <w:rsid w:val="00FF145D"/>
    <w:rsid w:val="00FF4220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/>
    <o:shapelayout v:ext="edit">
      <o:idmap v:ext="edit" data="1"/>
    </o:shapelayout>
  </w:shapeDefaults>
  <w:decimalSymbol w:val="."/>
  <w:listSeparator w:val=","/>
  <w14:docId w14:val="44F4EF98"/>
  <w15:docId w15:val="{8CC7C582-0B22-468A-8F8F-3B43744B6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56E9C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ED7A2A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ParaNoG">
    <w:name w:val="_ParaNo._G"/>
    <w:basedOn w:val="SingleTxtG"/>
    <w:pPr>
      <w:numPr>
        <w:numId w:val="13"/>
      </w:numPr>
      <w:tabs>
        <w:tab w:val="clear" w:pos="1494"/>
      </w:tabs>
    </w:pPr>
  </w:style>
  <w:style w:type="paragraph" w:customStyle="1" w:styleId="SingleTxtG">
    <w:name w:val="_ Single Txt_G"/>
    <w:basedOn w:val="Normal"/>
    <w:link w:val="SingleTxtGChar"/>
    <w:qFormat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8979B1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E9663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8A6B25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745C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7B6BA5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,4_GR"/>
    <w:qFormat/>
    <w:rsid w:val="007B6BA5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5_GR"/>
    <w:basedOn w:val="Normal"/>
    <w:link w:val="FootnoteTextChar"/>
    <w:qFormat/>
    <w:rsid w:val="0052775E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E041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72632A"/>
    <w:pPr>
      <w:numPr>
        <w:numId w:val="11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7B6BA5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3C2CC4"/>
    <w:pPr>
      <w:numPr>
        <w:numId w:val="1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4"/>
      </w:numPr>
    </w:pPr>
  </w:style>
  <w:style w:type="numbering" w:styleId="1ai">
    <w:name w:val="Outline List 1"/>
    <w:basedOn w:val="NoList"/>
    <w:semiHidden/>
    <w:rsid w:val="008A6C4F"/>
    <w:pPr>
      <w:numPr>
        <w:numId w:val="15"/>
      </w:numPr>
    </w:pPr>
  </w:style>
  <w:style w:type="numbering" w:styleId="ArticleSection">
    <w:name w:val="Outline List 3"/>
    <w:basedOn w:val="NoList"/>
    <w:semiHidden/>
    <w:rsid w:val="008A6C4F"/>
    <w:pPr>
      <w:numPr>
        <w:numId w:val="16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8A6C4F"/>
    <w:rPr>
      <w:color w:val="800080"/>
      <w:u w:val="singl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8A6C4F"/>
    <w:rPr>
      <w:color w:val="0000FF"/>
      <w:u w:val="singl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8878DE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uiPriority w:val="99"/>
    <w:rsid w:val="00050F6B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1GChar">
    <w:name w:val="_ H_1_G Char"/>
    <w:link w:val="H1G"/>
    <w:rsid w:val="001F7435"/>
    <w:rPr>
      <w:b/>
      <w:sz w:val="24"/>
      <w:lang w:val="en-GB" w:eastAsia="en-US" w:bidi="ar-SA"/>
    </w:rPr>
  </w:style>
  <w:style w:type="paragraph" w:styleId="BalloonText">
    <w:name w:val="Balloon Text"/>
    <w:basedOn w:val="Normal"/>
    <w:link w:val="BalloonTextChar"/>
    <w:rsid w:val="00D550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550D4"/>
    <w:rPr>
      <w:rFonts w:ascii="Tahoma" w:hAnsi="Tahoma" w:cs="Tahoma"/>
      <w:sz w:val="16"/>
      <w:szCs w:val="16"/>
      <w:lang w:eastAsia="en-US"/>
    </w:rPr>
  </w:style>
  <w:style w:type="character" w:customStyle="1" w:styleId="FootnoteTextChar">
    <w:name w:val="Footnote Text Char"/>
    <w:aliases w:val="5_G Char,5_GR Char"/>
    <w:link w:val="FootnoteText"/>
    <w:rsid w:val="001D7F46"/>
    <w:rPr>
      <w:sz w:val="18"/>
      <w:lang w:eastAsia="en-US"/>
    </w:rPr>
  </w:style>
  <w:style w:type="character" w:customStyle="1" w:styleId="HChGChar">
    <w:name w:val="_ H _Ch_G Char"/>
    <w:link w:val="HChG"/>
    <w:rsid w:val="00B175D8"/>
    <w:rPr>
      <w:b/>
      <w:sz w:val="28"/>
      <w:lang w:eastAsia="en-US"/>
    </w:rPr>
  </w:style>
  <w:style w:type="character" w:customStyle="1" w:styleId="SingleTxtGChar">
    <w:name w:val="_ Single Txt_G Char"/>
    <w:link w:val="SingleTxtG"/>
    <w:rsid w:val="00B175D8"/>
    <w:rPr>
      <w:lang w:eastAsia="en-US"/>
    </w:rPr>
  </w:style>
  <w:style w:type="character" w:customStyle="1" w:styleId="HeaderChar">
    <w:name w:val="Header Char"/>
    <w:aliases w:val="6_G Char"/>
    <w:basedOn w:val="DefaultParagraphFont"/>
    <w:link w:val="Header"/>
    <w:uiPriority w:val="99"/>
    <w:rsid w:val="00B42658"/>
    <w:rPr>
      <w:b/>
      <w:sz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372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F02E9C-53D0-4889-9C31-8C4E7F537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627</Words>
  <Characters>3408</Characters>
  <Application>Microsoft Office Word</Application>
  <DocSecurity>0</DocSecurity>
  <Lines>77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1126259</vt:lpstr>
    </vt:vector>
  </TitlesOfParts>
  <Company>CSD</Company>
  <LinksUpToDate>false</LinksUpToDate>
  <CharactersWithSpaces>3991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1126259</dc:title>
  <dc:creator>BAC</dc:creator>
  <cp:keywords>ECE/TRANS/WP.15/AC.1/2012/8</cp:keywords>
  <dc:description>Final</dc:description>
  <cp:lastModifiedBy>Christine Barrio-Champeau</cp:lastModifiedBy>
  <cp:revision>7</cp:revision>
  <cp:lastPrinted>2018-12-27T13:32:00Z</cp:lastPrinted>
  <dcterms:created xsi:type="dcterms:W3CDTF">2018-12-27T10:57:00Z</dcterms:created>
  <dcterms:modified xsi:type="dcterms:W3CDTF">2018-12-27T15:42:00Z</dcterms:modified>
</cp:coreProperties>
</file>