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8418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8418F" w:rsidP="00F8418F">
            <w:pPr>
              <w:jc w:val="right"/>
            </w:pPr>
            <w:r w:rsidRPr="00F8418F">
              <w:rPr>
                <w:sz w:val="40"/>
              </w:rPr>
              <w:t>ECE</w:t>
            </w:r>
            <w:r>
              <w:t>/TRANS/WP.15/AC.1/2019/12</w:t>
            </w:r>
          </w:p>
        </w:tc>
      </w:tr>
      <w:tr w:rsidR="002D5AAC" w:rsidRPr="00F8418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F8418F" w:rsidP="00387CD4">
            <w:pPr>
              <w:spacing w:before="240"/>
              <w:rPr>
                <w:lang w:val="en-US"/>
              </w:rPr>
            </w:pPr>
            <w:r>
              <w:rPr>
                <w:lang w:val="en-US"/>
              </w:rPr>
              <w:t>Distr.: General</w:t>
            </w:r>
          </w:p>
          <w:p w:rsidR="00F8418F" w:rsidRDefault="00F8418F" w:rsidP="00F8418F">
            <w:pPr>
              <w:spacing w:line="240" w:lineRule="exact"/>
              <w:rPr>
                <w:lang w:val="en-US"/>
              </w:rPr>
            </w:pPr>
            <w:r>
              <w:rPr>
                <w:lang w:val="en-US"/>
              </w:rPr>
              <w:t>27 December 2018</w:t>
            </w:r>
          </w:p>
          <w:p w:rsidR="00F8418F" w:rsidRDefault="00F8418F" w:rsidP="00F8418F">
            <w:pPr>
              <w:spacing w:line="240" w:lineRule="exact"/>
              <w:rPr>
                <w:lang w:val="en-US"/>
              </w:rPr>
            </w:pPr>
            <w:r>
              <w:rPr>
                <w:lang w:val="en-US"/>
              </w:rPr>
              <w:t>Russian</w:t>
            </w:r>
          </w:p>
          <w:p w:rsidR="00F8418F" w:rsidRPr="003D5C85" w:rsidRDefault="003D5C85" w:rsidP="003D5C85">
            <w:pPr>
              <w:spacing w:line="240" w:lineRule="exact"/>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F8418F" w:rsidRPr="00F8418F" w:rsidRDefault="00F8418F" w:rsidP="00363F15">
      <w:pPr>
        <w:pStyle w:val="SingleTxtGR"/>
        <w:spacing w:before="120"/>
        <w:ind w:left="0"/>
        <w:jc w:val="left"/>
        <w:rPr>
          <w:sz w:val="28"/>
          <w:szCs w:val="28"/>
        </w:rPr>
      </w:pPr>
      <w:r w:rsidRPr="00F8418F">
        <w:rPr>
          <w:sz w:val="28"/>
          <w:szCs w:val="28"/>
        </w:rPr>
        <w:t>Комитет по внутреннему транспорту</w:t>
      </w:r>
    </w:p>
    <w:p w:rsidR="00F8418F" w:rsidRPr="00F8418F" w:rsidRDefault="00F8418F" w:rsidP="00342987">
      <w:pPr>
        <w:pStyle w:val="SingleTxtGR"/>
        <w:ind w:left="0"/>
        <w:jc w:val="left"/>
        <w:rPr>
          <w:b/>
          <w:sz w:val="24"/>
          <w:szCs w:val="24"/>
        </w:rPr>
      </w:pPr>
      <w:r w:rsidRPr="00F8418F">
        <w:rPr>
          <w:b/>
          <w:bCs/>
          <w:sz w:val="24"/>
          <w:szCs w:val="24"/>
        </w:rPr>
        <w:t>Рабочая группа по перевозкам опасных грузов</w:t>
      </w:r>
    </w:p>
    <w:p w:rsidR="00F8418F" w:rsidRPr="00F8418F" w:rsidRDefault="00F8418F" w:rsidP="00363F15">
      <w:pPr>
        <w:pStyle w:val="SingleTxtGR"/>
        <w:spacing w:after="0"/>
        <w:ind w:left="0"/>
        <w:jc w:val="left"/>
        <w:rPr>
          <w:b/>
        </w:rPr>
      </w:pPr>
      <w:r w:rsidRPr="00F8418F">
        <w:rPr>
          <w:b/>
          <w:bCs/>
        </w:rPr>
        <w:t xml:space="preserve">Совместное совещание Комиссии экспертов МПОГ </w:t>
      </w:r>
      <w:r w:rsidR="00363F15">
        <w:rPr>
          <w:b/>
          <w:bCs/>
        </w:rPr>
        <w:br/>
      </w:r>
      <w:r w:rsidRPr="00F8418F">
        <w:rPr>
          <w:b/>
          <w:bCs/>
        </w:rPr>
        <w:t>и Рабочей группы по перевозкам опасных грузов</w:t>
      </w:r>
    </w:p>
    <w:p w:rsidR="00F8418F" w:rsidRPr="00F8418F" w:rsidRDefault="00F8418F" w:rsidP="00363F15">
      <w:pPr>
        <w:pStyle w:val="SingleTxtGR"/>
        <w:spacing w:after="0"/>
        <w:ind w:left="0"/>
        <w:jc w:val="left"/>
      </w:pPr>
      <w:r w:rsidRPr="00F8418F">
        <w:t>Берн, 18–22 марта 2019 года</w:t>
      </w:r>
    </w:p>
    <w:p w:rsidR="00F8418F" w:rsidRPr="00F8418F" w:rsidRDefault="00F8418F" w:rsidP="00363F15">
      <w:pPr>
        <w:pStyle w:val="SingleTxtGR"/>
        <w:spacing w:after="0"/>
        <w:ind w:left="0"/>
        <w:jc w:val="left"/>
      </w:pPr>
      <w:r w:rsidRPr="00F8418F">
        <w:t>Пункт 5 b) предварительной повестки дня</w:t>
      </w:r>
    </w:p>
    <w:p w:rsidR="00F8418F" w:rsidRPr="00F8418F" w:rsidRDefault="00F8418F" w:rsidP="00363F15">
      <w:pPr>
        <w:pStyle w:val="SingleTxtGR"/>
        <w:spacing w:after="0"/>
        <w:ind w:left="0"/>
        <w:jc w:val="left"/>
        <w:rPr>
          <w:b/>
        </w:rPr>
      </w:pPr>
      <w:r w:rsidRPr="00F8418F">
        <w:rPr>
          <w:b/>
          <w:bCs/>
        </w:rPr>
        <w:t xml:space="preserve">Предложения о внесении поправок </w:t>
      </w:r>
      <w:r w:rsidR="00363F15">
        <w:rPr>
          <w:b/>
          <w:bCs/>
        </w:rPr>
        <w:br/>
      </w:r>
      <w:r w:rsidRPr="00F8418F">
        <w:rPr>
          <w:b/>
          <w:bCs/>
        </w:rPr>
        <w:t>в МПОГ/ДОПОГ/ВОПОГ: новые предложения</w:t>
      </w:r>
    </w:p>
    <w:p w:rsidR="00F8418F" w:rsidRPr="00F8418F" w:rsidRDefault="00F8418F" w:rsidP="00363F15">
      <w:pPr>
        <w:pStyle w:val="HChGR"/>
      </w:pPr>
      <w:r w:rsidRPr="00F8418F">
        <w:tab/>
      </w:r>
      <w:r w:rsidRPr="00F8418F">
        <w:tab/>
        <w:t>Пояснительные примечания, касающиеся отнесения к</w:t>
      </w:r>
      <w:r w:rsidR="00363F15">
        <w:rPr>
          <w:lang w:val="en-US"/>
        </w:rPr>
        <w:t> </w:t>
      </w:r>
      <w:r w:rsidRPr="00F8418F">
        <w:t>позиции под № ООН 3363</w:t>
      </w:r>
    </w:p>
    <w:p w:rsidR="00F8418F" w:rsidRDefault="00F8418F" w:rsidP="00363F15">
      <w:pPr>
        <w:pStyle w:val="H1GR"/>
      </w:pPr>
      <w:r w:rsidRPr="00F8418F">
        <w:tab/>
      </w:r>
      <w:r w:rsidRPr="00F8418F">
        <w:tab/>
        <w:t>Передано правительством Швейцарии</w:t>
      </w:r>
      <w:r w:rsidRPr="00363F15">
        <w:rPr>
          <w:b w:val="0"/>
          <w:bCs/>
          <w:sz w:val="20"/>
        </w:rPr>
        <w:footnoteReference w:customMarkFollows="1" w:id="1"/>
        <w:t>*</w:t>
      </w:r>
      <w:r w:rsidR="00363F15">
        <w:rPr>
          <w:bCs/>
          <w:lang w:val="en-US"/>
        </w:rPr>
        <w:t xml:space="preserve"> </w:t>
      </w:r>
      <w:r w:rsidRPr="00363F15">
        <w:rPr>
          <w:b w:val="0"/>
          <w:bCs/>
          <w:sz w:val="20"/>
        </w:rPr>
        <w:footnoteReference w:customMarkFollows="1" w:id="2"/>
        <w:t>**</w:t>
      </w:r>
      <w:r w:rsidRPr="00F8418F">
        <w:t xml:space="preserve"> </w:t>
      </w:r>
    </w:p>
    <w:tbl>
      <w:tblPr>
        <w:tblStyle w:val="TableGrid"/>
        <w:tblW w:w="0" w:type="auto"/>
        <w:jc w:val="center"/>
        <w:tblLook w:val="05E0" w:firstRow="1" w:lastRow="1" w:firstColumn="1" w:lastColumn="1" w:noHBand="0" w:noVBand="1"/>
      </w:tblPr>
      <w:tblGrid>
        <w:gridCol w:w="9628"/>
      </w:tblGrid>
      <w:tr w:rsidR="00363F15" w:rsidRPr="00363F15" w:rsidTr="00850215">
        <w:trPr>
          <w:jc w:val="center"/>
        </w:trPr>
        <w:tc>
          <w:tcPr>
            <w:tcW w:w="9637" w:type="dxa"/>
            <w:tcBorders>
              <w:bottom w:val="nil"/>
            </w:tcBorders>
          </w:tcPr>
          <w:p w:rsidR="00363F15" w:rsidRPr="00363F15" w:rsidRDefault="00363F15" w:rsidP="00850215">
            <w:pPr>
              <w:tabs>
                <w:tab w:val="left" w:pos="255"/>
              </w:tabs>
              <w:spacing w:before="240" w:after="120"/>
              <w:rPr>
                <w:rFonts w:cs="Times New Roman"/>
                <w:sz w:val="24"/>
              </w:rPr>
            </w:pPr>
            <w:r w:rsidRPr="00363F15">
              <w:rPr>
                <w:rFonts w:cs="Times New Roman"/>
              </w:rPr>
              <w:tab/>
            </w:r>
            <w:r w:rsidRPr="00363F15">
              <w:rPr>
                <w:rFonts w:cs="Times New Roman"/>
                <w:i/>
                <w:sz w:val="24"/>
              </w:rPr>
              <w:t>Резюме</w:t>
            </w:r>
          </w:p>
        </w:tc>
      </w:tr>
      <w:tr w:rsidR="00363F15" w:rsidRPr="00363F15" w:rsidTr="00850215">
        <w:trPr>
          <w:jc w:val="center"/>
        </w:trPr>
        <w:tc>
          <w:tcPr>
            <w:tcW w:w="9637" w:type="dxa"/>
            <w:tcBorders>
              <w:top w:val="nil"/>
              <w:bottom w:val="nil"/>
            </w:tcBorders>
            <w:shd w:val="clear" w:color="auto" w:fill="auto"/>
          </w:tcPr>
          <w:p w:rsidR="00363F15" w:rsidRPr="00363F15" w:rsidRDefault="00363F15" w:rsidP="00363F15">
            <w:pPr>
              <w:pStyle w:val="SingleTxtGR"/>
              <w:ind w:left="3969" w:hanging="2835"/>
              <w:jc w:val="left"/>
            </w:pPr>
            <w:r w:rsidRPr="00363F15">
              <w:rPr>
                <w:b/>
                <w:bCs/>
              </w:rPr>
              <w:t>Существо предложения:</w:t>
            </w:r>
            <w:r w:rsidRPr="00363F15">
              <w:rPr>
                <w:b/>
                <w:bCs/>
              </w:rPr>
              <w:tab/>
            </w:r>
            <w:r>
              <w:rPr>
                <w:b/>
                <w:bCs/>
              </w:rPr>
              <w:tab/>
            </w:r>
            <w:r w:rsidRPr="00363F15">
              <w:t>Это предложение направлено на уточнение положений раздела 2.1.5, касающихся классификации.</w:t>
            </w:r>
          </w:p>
        </w:tc>
      </w:tr>
      <w:tr w:rsidR="00363F15" w:rsidRPr="00363F15" w:rsidTr="00850215">
        <w:trPr>
          <w:jc w:val="center"/>
        </w:trPr>
        <w:tc>
          <w:tcPr>
            <w:tcW w:w="9637" w:type="dxa"/>
            <w:tcBorders>
              <w:top w:val="nil"/>
              <w:bottom w:val="nil"/>
            </w:tcBorders>
            <w:shd w:val="clear" w:color="auto" w:fill="auto"/>
          </w:tcPr>
          <w:p w:rsidR="00363F15" w:rsidRPr="00363F15" w:rsidRDefault="00363F15" w:rsidP="00363F15">
            <w:pPr>
              <w:pStyle w:val="SingleTxtGR"/>
              <w:ind w:left="3969" w:hanging="2835"/>
              <w:jc w:val="left"/>
            </w:pPr>
            <w:r w:rsidRPr="00363F15">
              <w:rPr>
                <w:b/>
                <w:bCs/>
              </w:rPr>
              <w:t>Предлагаемое решение:</w:t>
            </w:r>
            <w:r w:rsidRPr="00363F15">
              <w:tab/>
            </w:r>
            <w:r>
              <w:tab/>
            </w:r>
            <w:r w:rsidRPr="00363F15">
              <w:t>Изменить ПРИМЕЧАНИЕ под заголовком раздела</w:t>
            </w:r>
            <w:r>
              <w:rPr>
                <w:lang w:val="en-US"/>
              </w:rPr>
              <w:t> </w:t>
            </w:r>
            <w:r w:rsidRPr="00363F15">
              <w:t>2.1.5 и добавить пояснительное ПРИМЕЧАНИЕ.</w:t>
            </w:r>
          </w:p>
        </w:tc>
      </w:tr>
      <w:tr w:rsidR="00363F15" w:rsidRPr="00363F15" w:rsidTr="00850215">
        <w:trPr>
          <w:jc w:val="center"/>
        </w:trPr>
        <w:tc>
          <w:tcPr>
            <w:tcW w:w="9637" w:type="dxa"/>
            <w:tcBorders>
              <w:top w:val="nil"/>
            </w:tcBorders>
          </w:tcPr>
          <w:p w:rsidR="00363F15" w:rsidRPr="00363F15" w:rsidRDefault="00363F15" w:rsidP="00850215">
            <w:pPr>
              <w:rPr>
                <w:rFonts w:cs="Times New Roman"/>
              </w:rPr>
            </w:pPr>
          </w:p>
        </w:tc>
      </w:tr>
    </w:tbl>
    <w:p w:rsidR="00F8418F" w:rsidRPr="00F8418F" w:rsidRDefault="00F8418F" w:rsidP="00363F15">
      <w:pPr>
        <w:pStyle w:val="HChGR"/>
      </w:pPr>
      <w:r w:rsidRPr="00F8418F">
        <w:tab/>
      </w:r>
      <w:r w:rsidR="00363F15">
        <w:tab/>
      </w:r>
      <w:r w:rsidR="00363F15">
        <w:tab/>
      </w:r>
      <w:r w:rsidRPr="00F8418F">
        <w:t>Введение</w:t>
      </w:r>
    </w:p>
    <w:p w:rsidR="00F8418F" w:rsidRPr="00F8418F" w:rsidRDefault="00F8418F" w:rsidP="00F8418F">
      <w:pPr>
        <w:pStyle w:val="SingleTxtGR"/>
      </w:pPr>
      <w:r w:rsidRPr="00F8418F">
        <w:t>1.</w:t>
      </w:r>
      <w:r w:rsidRPr="00F8418F">
        <w:tab/>
        <w:t>В связи с введением новых позиций под № ООН 3537–3548 у пользователей и органов власти возникают некоторые сомнения. Неясно, каким образом классифицировать данные изделия.</w:t>
      </w:r>
    </w:p>
    <w:p w:rsidR="00F8418F" w:rsidRPr="00F8418F" w:rsidRDefault="00F8418F" w:rsidP="00F8418F">
      <w:pPr>
        <w:pStyle w:val="SingleTxtGR"/>
      </w:pPr>
      <w:r w:rsidRPr="00F8418F">
        <w:t>2.</w:t>
      </w:r>
      <w:r w:rsidRPr="00F8418F">
        <w:tab/>
        <w:t xml:space="preserve">В пункте 2.1.5.1 предоставляется выбор: можно классифицировать эти изделия либо под надлежащим отгрузочным наименованием содержащихся в них опасных грузов, либо в соответствии с разделом 2.1.5. В пункте 2.1.5.3 уточняется, что </w:t>
      </w:r>
      <w:r w:rsidRPr="00F8418F">
        <w:lastRenderedPageBreak/>
        <w:t>раздел</w:t>
      </w:r>
      <w:r w:rsidR="009F3865">
        <w:rPr>
          <w:lang w:val="en-US"/>
        </w:rPr>
        <w:t> </w:t>
      </w:r>
      <w:r w:rsidRPr="00F8418F">
        <w:t xml:space="preserve">2.1.5 не применяется в отношении изделий, для которых более конкретное надлежащее отгрузочное наименование уже имеется в таблице А главы 3.2. </w:t>
      </w:r>
    </w:p>
    <w:p w:rsidR="00F8418F" w:rsidRPr="00F8418F" w:rsidRDefault="00F8418F" w:rsidP="00F8418F">
      <w:pPr>
        <w:pStyle w:val="SingleTxtGR"/>
      </w:pPr>
      <w:r w:rsidRPr="00F8418F">
        <w:t>3.</w:t>
      </w:r>
      <w:r w:rsidRPr="00F8418F">
        <w:tab/>
        <w:t xml:space="preserve">ПРИМЕЧАНИЕ под заголовком раздела 2.1.5 было составлено для того, чтобы подчеркнуть данное правило и пояснить, что в случае изделий, не имеющих надлежащего отгрузочного наименования и содержащих только опасные грузы в пределах ограниченных количеств согласно главе 3.4, должен использоваться </w:t>
      </w:r>
      <w:r w:rsidR="007026DE">
        <w:br/>
      </w:r>
      <w:r w:rsidRPr="00F8418F">
        <w:t>№</w:t>
      </w:r>
      <w:r w:rsidR="000C7390">
        <w:rPr>
          <w:lang w:val="en-US"/>
        </w:rPr>
        <w:t> </w:t>
      </w:r>
      <w:r w:rsidRPr="00F8418F">
        <w:t>ООН</w:t>
      </w:r>
      <w:r w:rsidR="000C7390">
        <w:rPr>
          <w:lang w:val="en-US"/>
        </w:rPr>
        <w:t> </w:t>
      </w:r>
      <w:r w:rsidRPr="00F8418F">
        <w:t xml:space="preserve">3363. Это соответствует правилам приоритета, установленным </w:t>
      </w:r>
      <w:r w:rsidR="007026DE">
        <w:br/>
      </w:r>
      <w:r w:rsidRPr="00F8418F">
        <w:t>в пункте 2.1.2.5.</w:t>
      </w:r>
    </w:p>
    <w:p w:rsidR="00F8418F" w:rsidRPr="00F8418F" w:rsidRDefault="00F8418F" w:rsidP="00F8418F">
      <w:pPr>
        <w:pStyle w:val="SingleTxtGR"/>
      </w:pPr>
      <w:r w:rsidRPr="00F8418F">
        <w:t>4.</w:t>
      </w:r>
      <w:r w:rsidRPr="00F8418F">
        <w:tab/>
        <w:t>Фразу «, за исключением № ООН 3537–3548,» и ПРИМЕЧАНИЕ, включенное в специальное положение 301 на основе неофициального документа INF.47 в ходе сессии Совместного совещания в сентябре 2017 года, крайне трудно понять, и они не достигли цели, которую преследовали их авторы. Из этих текстов явствует, что невозможно использовать № ООН 3363 в случае изделий, которые уже относятся к одной из позиций под № ООН 3537–3548. Как нам представляется, цель, которую преследовали авторы неофициального документа INF.47, т.</w:t>
      </w:r>
      <w:r w:rsidR="000C7390">
        <w:rPr>
          <w:lang w:val="en-US"/>
        </w:rPr>
        <w:t> </w:t>
      </w:r>
      <w:r w:rsidRPr="00F8418F">
        <w:t xml:space="preserve">е. разрешить использовать № ООН 3363 даже в случае позиций с № ООН 3537–3548, не была достигнута с помощью данного текста, а совсем наоборот. </w:t>
      </w:r>
    </w:p>
    <w:p w:rsidR="00F8418F" w:rsidRPr="00F8418F" w:rsidRDefault="00F8418F" w:rsidP="00F8418F">
      <w:pPr>
        <w:pStyle w:val="SingleTxtGR"/>
      </w:pPr>
      <w:r w:rsidRPr="00F8418F">
        <w:t>5.</w:t>
      </w:r>
      <w:r w:rsidRPr="00F8418F">
        <w:tab/>
        <w:t>Позиция под № ООН 3363 ОПАСНЫЕ ГРУЗЫ В ОБОРУДОВАНИИ является обобщенной позицией типа B, предусмотренной в подразделе 2.1.1.2. Согласно принципам классификации, изложенным в пункте 2.1.2.5, данная позиция имеет приоритет по отношению к № ООН 3537–3548, которые являются конкретными позициями типа C. Это обстоятельство запрещает использовать № ООН 3537–3548 в тех случаях, когда количества, содержащиеся в таких изделиях, не превышают значений, указанных в колонке 7а таблицы A главы 3.2. В таких случаях может использоваться только № ООН 3363, когда изделия содержат опасные вещества данных классов опасности.</w:t>
      </w:r>
    </w:p>
    <w:p w:rsidR="00F8418F" w:rsidRPr="00F8418F" w:rsidRDefault="00F8418F" w:rsidP="00F8418F">
      <w:pPr>
        <w:pStyle w:val="SingleTxtGR"/>
      </w:pPr>
      <w:r w:rsidRPr="00F8418F">
        <w:t>6.</w:t>
      </w:r>
      <w:r w:rsidRPr="00F8418F">
        <w:tab/>
        <w:t xml:space="preserve">Кроме того, нынешняя формулировка ПРИМЕЧАНИЯ не решает проблем, которые в некоторых случаях являются более важными для участников. Участники, использующие оборудование, заполняют его опасными грузами (например, чистящими средствами) перед перевозкой, используют их в месте назначения и возвращаются с порожним неочищенным оборудованием. Для первого рейса может использоваться одна из позиций под № ООН 3537–3548, но для обратного рейса </w:t>
      </w:r>
      <w:r w:rsidR="009F3865">
        <w:br/>
      </w:r>
      <w:r w:rsidRPr="00F8418F">
        <w:t>(с порожним неочищенным оборудованием), согласно пункту 2.1.2.5, допускается использовать только позицию под № ООН 3363. Такое изменение классификации одного и того же изделия, в зависимости от содержащегося в нем количества, едва ли является практичным.</w:t>
      </w:r>
    </w:p>
    <w:p w:rsidR="00F8418F" w:rsidRPr="00F8418F" w:rsidRDefault="00F8418F" w:rsidP="00F8418F">
      <w:pPr>
        <w:pStyle w:val="SingleTxtGR"/>
        <w:rPr>
          <w:iCs/>
        </w:rPr>
      </w:pPr>
      <w:r w:rsidRPr="00F8418F">
        <w:t>7.</w:t>
      </w:r>
      <w:r w:rsidRPr="00F8418F">
        <w:tab/>
        <w:t>Что касается ПРИМЕЧАНИЯ в специальном положении 301, то неясно, каков смысл исключения позиций под № ООН 3537–3548 из фразы «для которых надлежащее отгрузочное наименование уже имеется». Повторное исключение этих позиций из фразы «Она не должна использоваться для машин или приборов, для которых надлежащее отгрузочное наименование уже имеется в таблице А главы 3.2» заставляет сделать вывод о том, что позиция под № ООН 3363 должна использоваться вместо № ООН 353</w:t>
      </w:r>
      <w:r w:rsidR="000C7390">
        <w:rPr>
          <w:lang w:val="en-US"/>
        </w:rPr>
        <w:t>7</w:t>
      </w:r>
      <w:r w:rsidRPr="00F8418F">
        <w:t>–3548. Это не было целью данного ПРИМЕЧАНИЯ.</w:t>
      </w:r>
    </w:p>
    <w:p w:rsidR="00F8418F" w:rsidRPr="00F8418F" w:rsidRDefault="00F8418F" w:rsidP="00F8418F">
      <w:pPr>
        <w:pStyle w:val="SingleTxtGR"/>
      </w:pPr>
      <w:r w:rsidRPr="00F8418F">
        <w:t>8.</w:t>
      </w:r>
      <w:r w:rsidRPr="00F8418F">
        <w:tab/>
        <w:t>По этой причине мы предлагаем изменить ПРИМЕЧАНИЕ в разделе 2.1.5 и ПРИМЕЧАНИЕ в специальном положении 301.</w:t>
      </w:r>
    </w:p>
    <w:p w:rsidR="00F8418F" w:rsidRPr="00F8418F" w:rsidRDefault="00F8418F" w:rsidP="009F3865">
      <w:pPr>
        <w:pStyle w:val="H1GR"/>
      </w:pPr>
      <w:r w:rsidRPr="00F8418F">
        <w:tab/>
      </w:r>
      <w:r w:rsidRPr="00F8418F">
        <w:tab/>
        <w:t>Предложение 1</w:t>
      </w:r>
    </w:p>
    <w:p w:rsidR="00F8418F" w:rsidRPr="00F8418F" w:rsidRDefault="00F8418F" w:rsidP="00F8418F">
      <w:pPr>
        <w:pStyle w:val="SingleTxtGR"/>
      </w:pPr>
      <w:r w:rsidRPr="00F8418F">
        <w:t>9.</w:t>
      </w:r>
      <w:r w:rsidRPr="00F8418F">
        <w:tab/>
        <w:t>Исключить фразу «, за исключением № ООН 3537–3548» в ПРИМЕЧАНИИ под заголовком раздела 2.1.5 и пронумеровать ПРИМЕЧАНИЕ как ПРИМЕЧАНИЕ 1 следующего содержания:</w:t>
      </w:r>
    </w:p>
    <w:p w:rsidR="00F8418F" w:rsidRPr="00F8418F" w:rsidRDefault="00F8418F" w:rsidP="00F8418F">
      <w:pPr>
        <w:pStyle w:val="SingleTxtGR"/>
      </w:pPr>
      <w:r w:rsidRPr="00F8418F">
        <w:t>«</w:t>
      </w:r>
      <w:r w:rsidRPr="00F8418F">
        <w:rPr>
          <w:b/>
          <w:bCs/>
          <w:i/>
          <w:iCs/>
        </w:rPr>
        <w:t>ПРИМЕЧАНИЕ 1:</w:t>
      </w:r>
      <w:r w:rsidRPr="00F8418F">
        <w:t xml:space="preserve"> </w:t>
      </w:r>
      <w:r w:rsidRPr="00F8418F">
        <w:rPr>
          <w:i/>
          <w:iCs/>
        </w:rPr>
        <w:t>В отношении изделий, не имеющих надлежащего отгрузочного наименования</w:t>
      </w:r>
      <w:r w:rsidRPr="009F3865">
        <w:rPr>
          <w:i/>
          <w:iCs/>
          <w:strike/>
        </w:rPr>
        <w:t>, за исключением № ООН 3537–3548,</w:t>
      </w:r>
      <w:r w:rsidRPr="00F8418F">
        <w:rPr>
          <w:i/>
          <w:iCs/>
        </w:rPr>
        <w:t xml:space="preserve"> и содержащих только опасные грузы в пределах разрешенных ограниченных количеств, указанных в колонке 7а таблицы А главы 3.2, см. № ООН 3363 и специальные положения 301 и 672 главы 3.3.</w:t>
      </w:r>
      <w:r w:rsidRPr="00F8418F">
        <w:t xml:space="preserve">». </w:t>
      </w:r>
    </w:p>
    <w:p w:rsidR="00F8418F" w:rsidRPr="00F8418F" w:rsidRDefault="00F8418F" w:rsidP="00F8418F">
      <w:pPr>
        <w:pStyle w:val="SingleTxtGR"/>
      </w:pPr>
      <w:r w:rsidRPr="00F8418F">
        <w:lastRenderedPageBreak/>
        <w:t>Добавить ПРИМЕЧАНИЕ 2 следующего содержания:</w:t>
      </w:r>
    </w:p>
    <w:p w:rsidR="00F8418F" w:rsidRPr="00F8418F" w:rsidRDefault="00F8418F" w:rsidP="00F8418F">
      <w:pPr>
        <w:pStyle w:val="SingleTxtGR"/>
        <w:rPr>
          <w:b/>
        </w:rPr>
      </w:pPr>
      <w:r w:rsidRPr="00F8418F">
        <w:t>«</w:t>
      </w:r>
      <w:r w:rsidRPr="00F8418F">
        <w:rPr>
          <w:b/>
          <w:bCs/>
          <w:i/>
          <w:iCs/>
          <w:u w:val="single"/>
        </w:rPr>
        <w:t>ПРИМЕЧАНИЕ 2: В отступление от принципов классификации, изложенных в пункте 2.1.2.5, изделия, имеющие надлежащее отгрузочное наименование в конкретной позиции [под № ООН 3537–3548] и содержащие только опасные грузы в количествах, не превышающих количества, указанные в колонке 7а таблицы</w:t>
      </w:r>
      <w:r w:rsidR="009F3865">
        <w:rPr>
          <w:b/>
          <w:bCs/>
          <w:i/>
          <w:iCs/>
          <w:u w:val="single"/>
          <w:lang w:val="en-US"/>
        </w:rPr>
        <w:t> </w:t>
      </w:r>
      <w:r w:rsidRPr="00F8418F">
        <w:rPr>
          <w:b/>
          <w:bCs/>
          <w:i/>
          <w:iCs/>
          <w:u w:val="single"/>
        </w:rPr>
        <w:t xml:space="preserve">A главы 3.2, могут классифицироваться и перевозиться по условиям соответствующей конкретной позиции вместо обобщенной позиции </w:t>
      </w:r>
      <w:r w:rsidR="009F3865">
        <w:rPr>
          <w:b/>
          <w:bCs/>
          <w:i/>
          <w:iCs/>
          <w:u w:val="single"/>
        </w:rPr>
        <w:br/>
      </w:r>
      <w:r w:rsidRPr="00F8418F">
        <w:rPr>
          <w:b/>
          <w:bCs/>
          <w:i/>
          <w:iCs/>
          <w:u w:val="single"/>
        </w:rPr>
        <w:t>под № ООН 3363.</w:t>
      </w:r>
      <w:r w:rsidRPr="00F8418F">
        <w:t xml:space="preserve">». </w:t>
      </w:r>
    </w:p>
    <w:p w:rsidR="00F8418F" w:rsidRPr="00F8418F" w:rsidRDefault="00F8418F" w:rsidP="00F8418F">
      <w:pPr>
        <w:pStyle w:val="SingleTxtGR"/>
      </w:pPr>
      <w:r w:rsidRPr="00F8418F">
        <w:t xml:space="preserve">10. </w:t>
      </w:r>
      <w:r w:rsidRPr="00F8418F">
        <w:tab/>
        <w:t>Если это предложение будет принято, то, как нам представляется, ПРИМЕЧАНИЕ в специальном положении 301 станет излишним. Текст ПРИМЕЧАНИЯ 2 выше можно, при необходимости, заменить существующим в настоящее время текстом ПРИМЕЧАНИЯ в специальном положении 301.</w:t>
      </w:r>
    </w:p>
    <w:p w:rsidR="00F8418F" w:rsidRPr="00F8418F" w:rsidRDefault="00F8418F" w:rsidP="009F3865">
      <w:pPr>
        <w:pStyle w:val="H1GR"/>
      </w:pPr>
      <w:r w:rsidRPr="00F8418F">
        <w:tab/>
      </w:r>
      <w:r w:rsidRPr="00F8418F">
        <w:tab/>
        <w:t>Предложение 2а</w:t>
      </w:r>
    </w:p>
    <w:p w:rsidR="00F8418F" w:rsidRPr="00F8418F" w:rsidRDefault="00F8418F" w:rsidP="00F8418F">
      <w:pPr>
        <w:pStyle w:val="SingleTxtGR"/>
      </w:pPr>
      <w:r w:rsidRPr="00F8418F">
        <w:t>11.</w:t>
      </w:r>
      <w:r w:rsidRPr="00F8418F">
        <w:tab/>
        <w:t>Исключить ПРИМЕЧАНИЕ в специальном положении 301.</w:t>
      </w:r>
    </w:p>
    <w:p w:rsidR="00F8418F" w:rsidRPr="00F8418F" w:rsidRDefault="00F8418F" w:rsidP="009F3865">
      <w:pPr>
        <w:pStyle w:val="H1GR"/>
      </w:pPr>
      <w:r w:rsidRPr="00F8418F">
        <w:tab/>
      </w:r>
      <w:r w:rsidRPr="00F8418F">
        <w:tab/>
        <w:t>Предложение 2b</w:t>
      </w:r>
    </w:p>
    <w:p w:rsidR="00F8418F" w:rsidRDefault="00F8418F" w:rsidP="00F8418F">
      <w:pPr>
        <w:pStyle w:val="SingleTxtGR"/>
      </w:pPr>
      <w:r w:rsidRPr="00F8418F">
        <w:t>12.</w:t>
      </w:r>
      <w:r w:rsidRPr="00F8418F">
        <w:tab/>
        <w:t>Заменить текст ПРИМЕЧАНИЯ в специальном положении 301 следующим текстом: «</w:t>
      </w:r>
      <w:r w:rsidRPr="00F8418F">
        <w:rPr>
          <w:b/>
          <w:bCs/>
          <w:i/>
          <w:iCs/>
          <w:u w:val="single"/>
        </w:rPr>
        <w:t>ПРИМЕЧАНИЕ: В отступление от принципов классификации, изложенных в пункте 2.1.2.5, изделия, имеющие надлежащее отгрузочное наименование в конкретной позиции [под № ООН 3537–3548] и содержащие только опасные грузы в количествах, не превышающих количества, указанные в колонке 7а таблицы A главы 3.2, могут классифицироваться и перевозиться по условиям соответствующей конкретной позиции вместо обобщенной позиции под № ООН</w:t>
      </w:r>
      <w:r w:rsidRPr="00F8418F">
        <w:rPr>
          <w:u w:val="single"/>
        </w:rPr>
        <w:t xml:space="preserve"> </w:t>
      </w:r>
      <w:r w:rsidRPr="00F8418F">
        <w:rPr>
          <w:b/>
          <w:bCs/>
          <w:i/>
          <w:iCs/>
          <w:u w:val="single"/>
        </w:rPr>
        <w:t>3363.</w:t>
      </w:r>
      <w:r w:rsidRPr="00F8418F">
        <w:t>».</w:t>
      </w:r>
    </w:p>
    <w:p w:rsidR="00F8418F" w:rsidRPr="00F8418F" w:rsidRDefault="00F8418F" w:rsidP="00F8418F">
      <w:pPr>
        <w:pStyle w:val="SingleTxtGR"/>
        <w:spacing w:before="240" w:after="0"/>
        <w:jc w:val="center"/>
        <w:rPr>
          <w:u w:val="single"/>
        </w:rPr>
      </w:pPr>
      <w:r>
        <w:rPr>
          <w:u w:val="single"/>
        </w:rPr>
        <w:tab/>
      </w:r>
      <w:r>
        <w:rPr>
          <w:u w:val="single"/>
        </w:rPr>
        <w:tab/>
      </w:r>
      <w:r>
        <w:rPr>
          <w:u w:val="single"/>
        </w:rPr>
        <w:tab/>
      </w:r>
    </w:p>
    <w:sectPr w:rsidR="00F8418F" w:rsidRPr="00F8418F" w:rsidSect="00F8418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13" w:rsidRPr="00A312BC" w:rsidRDefault="00AE2313" w:rsidP="00A312BC"/>
  </w:endnote>
  <w:endnote w:type="continuationSeparator" w:id="0">
    <w:p w:rsidR="00AE2313" w:rsidRPr="00A312BC" w:rsidRDefault="00AE23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F" w:rsidRPr="00F8418F" w:rsidRDefault="00F8418F">
    <w:pPr>
      <w:pStyle w:val="Footer"/>
    </w:pPr>
    <w:r w:rsidRPr="00F8418F">
      <w:rPr>
        <w:b/>
        <w:sz w:val="18"/>
      </w:rPr>
      <w:fldChar w:fldCharType="begin"/>
    </w:r>
    <w:r w:rsidRPr="00F8418F">
      <w:rPr>
        <w:b/>
        <w:sz w:val="18"/>
      </w:rPr>
      <w:instrText xml:space="preserve"> PAGE  \* MERGEFORMAT </w:instrText>
    </w:r>
    <w:r w:rsidRPr="00F8418F">
      <w:rPr>
        <w:b/>
        <w:sz w:val="18"/>
      </w:rPr>
      <w:fldChar w:fldCharType="separate"/>
    </w:r>
    <w:r w:rsidR="00881F7B">
      <w:rPr>
        <w:b/>
        <w:noProof/>
        <w:sz w:val="18"/>
      </w:rPr>
      <w:t>2</w:t>
    </w:r>
    <w:r w:rsidRPr="00F8418F">
      <w:rPr>
        <w:b/>
        <w:sz w:val="18"/>
      </w:rPr>
      <w:fldChar w:fldCharType="end"/>
    </w:r>
    <w:r>
      <w:rPr>
        <w:b/>
        <w:sz w:val="18"/>
      </w:rPr>
      <w:tab/>
    </w:r>
    <w:r>
      <w:t>GE.18-22768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F" w:rsidRPr="00F8418F" w:rsidRDefault="00F8418F" w:rsidP="00F8418F">
    <w:pPr>
      <w:pStyle w:val="Footer"/>
      <w:tabs>
        <w:tab w:val="clear" w:pos="9639"/>
        <w:tab w:val="right" w:pos="9638"/>
      </w:tabs>
      <w:rPr>
        <w:b/>
        <w:sz w:val="18"/>
      </w:rPr>
    </w:pPr>
    <w:r>
      <w:t>GE.18-22768</w:t>
    </w:r>
    <w:r>
      <w:tab/>
    </w:r>
    <w:r w:rsidRPr="00F8418F">
      <w:rPr>
        <w:b/>
        <w:sz w:val="18"/>
      </w:rPr>
      <w:fldChar w:fldCharType="begin"/>
    </w:r>
    <w:r w:rsidRPr="00F8418F">
      <w:rPr>
        <w:b/>
        <w:sz w:val="18"/>
      </w:rPr>
      <w:instrText xml:space="preserve"> PAGE  \* MERGEFORMAT </w:instrText>
    </w:r>
    <w:r w:rsidRPr="00F8418F">
      <w:rPr>
        <w:b/>
        <w:sz w:val="18"/>
      </w:rPr>
      <w:fldChar w:fldCharType="separate"/>
    </w:r>
    <w:r w:rsidR="00881F7B">
      <w:rPr>
        <w:b/>
        <w:noProof/>
        <w:sz w:val="18"/>
      </w:rPr>
      <w:t>3</w:t>
    </w:r>
    <w:r w:rsidRPr="00F841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F8418F" w:rsidRDefault="00F8418F" w:rsidP="00F8418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18-22768  (R)</w:t>
    </w:r>
    <w:r>
      <w:rPr>
        <w:lang w:val="en-US"/>
      </w:rPr>
      <w:t xml:space="preserve">  040119  070119</w:t>
    </w:r>
    <w:r>
      <w:br/>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sidRPr="00F8418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13" w:rsidRPr="001075E9" w:rsidRDefault="00AE2313" w:rsidP="001075E9">
      <w:pPr>
        <w:tabs>
          <w:tab w:val="right" w:pos="2155"/>
        </w:tabs>
        <w:spacing w:after="80" w:line="240" w:lineRule="auto"/>
        <w:ind w:left="680"/>
        <w:rPr>
          <w:u w:val="single"/>
        </w:rPr>
      </w:pPr>
      <w:r>
        <w:rPr>
          <w:u w:val="single"/>
        </w:rPr>
        <w:tab/>
      </w:r>
    </w:p>
  </w:footnote>
  <w:footnote w:type="continuationSeparator" w:id="0">
    <w:p w:rsidR="00AE2313" w:rsidRDefault="00AE2313" w:rsidP="00407B78">
      <w:pPr>
        <w:tabs>
          <w:tab w:val="right" w:pos="2155"/>
        </w:tabs>
        <w:spacing w:after="80"/>
        <w:ind w:left="680"/>
        <w:rPr>
          <w:u w:val="single"/>
        </w:rPr>
      </w:pPr>
      <w:r>
        <w:rPr>
          <w:u w:val="single"/>
        </w:rPr>
        <w:tab/>
      </w:r>
    </w:p>
  </w:footnote>
  <w:footnote w:id="1">
    <w:p w:rsidR="00F8418F" w:rsidRPr="00DC1BDD" w:rsidRDefault="00F8418F" w:rsidP="00F8418F">
      <w:pPr>
        <w:pStyle w:val="FootnoteText"/>
      </w:pPr>
      <w:r>
        <w:tab/>
      </w:r>
      <w:r w:rsidRPr="00363F15">
        <w:rPr>
          <w:sz w:val="20"/>
        </w:rPr>
        <w:t>*</w:t>
      </w:r>
      <w:r>
        <w:tab/>
        <w:t>В соответствии с программой работы Комитета по внутреннему транспорту на 2018–2019 годы (ECE/TRANS/WP.15/237, приложение V (9.2)).</w:t>
      </w:r>
    </w:p>
  </w:footnote>
  <w:footnote w:id="2">
    <w:p w:rsidR="00F8418F" w:rsidRPr="00DC1BDD" w:rsidRDefault="00F8418F" w:rsidP="00F8418F">
      <w:pPr>
        <w:pStyle w:val="FootnoteText"/>
      </w:pPr>
      <w:r>
        <w:tab/>
      </w:r>
      <w:r w:rsidRPr="00363F15">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OTIF/RID/RC/2019/12.</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F" w:rsidRPr="00F8418F" w:rsidRDefault="00881F7B">
    <w:pPr>
      <w:pStyle w:val="Header"/>
    </w:pPr>
    <w:fldSimple w:instr=" TITLE  \* MERGEFORMAT ">
      <w:r>
        <w:t>ECE/TRANS/WP.15/AC.1/2019/12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F" w:rsidRPr="00F8418F" w:rsidRDefault="00881F7B" w:rsidP="00F8418F">
    <w:pPr>
      <w:pStyle w:val="Header"/>
      <w:jc w:val="right"/>
    </w:pPr>
    <w:fldSimple w:instr=" TITLE  \* MERGEFORMAT ">
      <w:r>
        <w:t>ECE/TRANS/WP.15/AC.1/2019/12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F" w:rsidRDefault="00F8418F" w:rsidP="00F8418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13"/>
    <w:rsid w:val="00033EE1"/>
    <w:rsid w:val="00042B72"/>
    <w:rsid w:val="000558BD"/>
    <w:rsid w:val="000B57E7"/>
    <w:rsid w:val="000B6373"/>
    <w:rsid w:val="000C7390"/>
    <w:rsid w:val="000D6A2E"/>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2987"/>
    <w:rsid w:val="00363F15"/>
    <w:rsid w:val="00381C24"/>
    <w:rsid w:val="00387CD4"/>
    <w:rsid w:val="003958D0"/>
    <w:rsid w:val="003A0D43"/>
    <w:rsid w:val="003A48CE"/>
    <w:rsid w:val="003B00E5"/>
    <w:rsid w:val="003D5C85"/>
    <w:rsid w:val="00407B78"/>
    <w:rsid w:val="00424203"/>
    <w:rsid w:val="00452493"/>
    <w:rsid w:val="00453318"/>
    <w:rsid w:val="00454AF2"/>
    <w:rsid w:val="00454E07"/>
    <w:rsid w:val="00472C5C"/>
    <w:rsid w:val="004E05B7"/>
    <w:rsid w:val="0050108D"/>
    <w:rsid w:val="00513081"/>
    <w:rsid w:val="00517901"/>
    <w:rsid w:val="00526683"/>
    <w:rsid w:val="0053435D"/>
    <w:rsid w:val="005639C1"/>
    <w:rsid w:val="005709E0"/>
    <w:rsid w:val="00572E19"/>
    <w:rsid w:val="005961C8"/>
    <w:rsid w:val="005966F1"/>
    <w:rsid w:val="005B3592"/>
    <w:rsid w:val="005C313B"/>
    <w:rsid w:val="005D7914"/>
    <w:rsid w:val="005E2B41"/>
    <w:rsid w:val="005F0B42"/>
    <w:rsid w:val="00617A43"/>
    <w:rsid w:val="006345DB"/>
    <w:rsid w:val="00640F49"/>
    <w:rsid w:val="00680D03"/>
    <w:rsid w:val="00681A10"/>
    <w:rsid w:val="006A1ED8"/>
    <w:rsid w:val="006C2031"/>
    <w:rsid w:val="006D461A"/>
    <w:rsid w:val="006E6F3A"/>
    <w:rsid w:val="006F35EE"/>
    <w:rsid w:val="007021FF"/>
    <w:rsid w:val="007026DE"/>
    <w:rsid w:val="00712895"/>
    <w:rsid w:val="00734ACB"/>
    <w:rsid w:val="00757357"/>
    <w:rsid w:val="00792497"/>
    <w:rsid w:val="00806737"/>
    <w:rsid w:val="00825F8D"/>
    <w:rsid w:val="00834B71"/>
    <w:rsid w:val="0086445C"/>
    <w:rsid w:val="00881F7B"/>
    <w:rsid w:val="00894693"/>
    <w:rsid w:val="008A08D7"/>
    <w:rsid w:val="008A37C8"/>
    <w:rsid w:val="008B6909"/>
    <w:rsid w:val="008D53B6"/>
    <w:rsid w:val="008F7609"/>
    <w:rsid w:val="00905056"/>
    <w:rsid w:val="00906890"/>
    <w:rsid w:val="00911BE4"/>
    <w:rsid w:val="00951972"/>
    <w:rsid w:val="009608F3"/>
    <w:rsid w:val="00984A01"/>
    <w:rsid w:val="009A24AC"/>
    <w:rsid w:val="009C59D7"/>
    <w:rsid w:val="009C6FE6"/>
    <w:rsid w:val="009D7E7D"/>
    <w:rsid w:val="009F3865"/>
    <w:rsid w:val="00A14DA8"/>
    <w:rsid w:val="00A312BC"/>
    <w:rsid w:val="00A84021"/>
    <w:rsid w:val="00A84D35"/>
    <w:rsid w:val="00A917B3"/>
    <w:rsid w:val="00AB4B51"/>
    <w:rsid w:val="00AE2313"/>
    <w:rsid w:val="00B10CC7"/>
    <w:rsid w:val="00B11C38"/>
    <w:rsid w:val="00B36DF7"/>
    <w:rsid w:val="00B539E7"/>
    <w:rsid w:val="00B62458"/>
    <w:rsid w:val="00BC18B2"/>
    <w:rsid w:val="00BD33EE"/>
    <w:rsid w:val="00BE1CC7"/>
    <w:rsid w:val="00C106D6"/>
    <w:rsid w:val="00C119AE"/>
    <w:rsid w:val="00C60F0C"/>
    <w:rsid w:val="00C805C9"/>
    <w:rsid w:val="00C92939"/>
    <w:rsid w:val="00CA1679"/>
    <w:rsid w:val="00CA3178"/>
    <w:rsid w:val="00CA41BF"/>
    <w:rsid w:val="00CB151C"/>
    <w:rsid w:val="00CE5A1A"/>
    <w:rsid w:val="00CF55F6"/>
    <w:rsid w:val="00D33D63"/>
    <w:rsid w:val="00D428C9"/>
    <w:rsid w:val="00D5253A"/>
    <w:rsid w:val="00D873A8"/>
    <w:rsid w:val="00D90028"/>
    <w:rsid w:val="00D90138"/>
    <w:rsid w:val="00DD78D1"/>
    <w:rsid w:val="00DE32CD"/>
    <w:rsid w:val="00DF5767"/>
    <w:rsid w:val="00DF71B9"/>
    <w:rsid w:val="00E1242D"/>
    <w:rsid w:val="00E12C5F"/>
    <w:rsid w:val="00E73F76"/>
    <w:rsid w:val="00EA2C9F"/>
    <w:rsid w:val="00EA420E"/>
    <w:rsid w:val="00EA6141"/>
    <w:rsid w:val="00ED0BDA"/>
    <w:rsid w:val="00ED18DF"/>
    <w:rsid w:val="00ED394D"/>
    <w:rsid w:val="00EE142A"/>
    <w:rsid w:val="00EF1360"/>
    <w:rsid w:val="00EF3220"/>
    <w:rsid w:val="00F2523A"/>
    <w:rsid w:val="00F43903"/>
    <w:rsid w:val="00F8418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82536C-D2F3-432A-96F7-9C75F41C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Office Word</Application>
  <DocSecurity>0</DocSecurity>
  <Lines>44</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ECE/TRANS/WP.15/AC.1/2019/12</vt:lpstr>
      <vt:lpstr>ECE/TRANS/WP.15/AC.1/2019/12</vt:lpstr>
      <vt:lpstr>A/</vt:lpstr>
    </vt:vector>
  </TitlesOfParts>
  <Company>DCM</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ECE/TRANS/WP.15/AC.1/2019/12</dc:title>
  <dc:subject/>
  <dc:creator>Olga OVTCHINNIKOVA</dc:creator>
  <cp:keywords/>
  <cp:lastModifiedBy>Christine Barrio-Champeau</cp:lastModifiedBy>
  <cp:revision>2</cp:revision>
  <cp:lastPrinted>2019-01-07T14:49:00Z</cp:lastPrinted>
  <dcterms:created xsi:type="dcterms:W3CDTF">2019-01-07T15:18:00Z</dcterms:created>
  <dcterms:modified xsi:type="dcterms:W3CDTF">2019-01-07T15:18:00Z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