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60E7B" w:rsidRPr="00B042C8" w:rsidTr="0038154E">
        <w:trPr>
          <w:cantSplit/>
          <w:trHeight w:hRule="exact" w:val="851"/>
        </w:trPr>
        <w:tc>
          <w:tcPr>
            <w:tcW w:w="1276" w:type="dxa"/>
            <w:tcBorders>
              <w:bottom w:val="single" w:sz="4" w:space="0" w:color="auto"/>
            </w:tcBorders>
            <w:shd w:val="clear" w:color="auto" w:fill="auto"/>
            <w:vAlign w:val="bottom"/>
          </w:tcPr>
          <w:p w:rsidR="00760E7B" w:rsidRPr="00B042C8" w:rsidRDefault="00760E7B" w:rsidP="00760E7B">
            <w:pPr>
              <w:spacing w:after="80"/>
            </w:pPr>
            <w:bookmarkStart w:id="0" w:name="_Hlk3382363"/>
            <w:bookmarkEnd w:id="0"/>
          </w:p>
        </w:tc>
        <w:tc>
          <w:tcPr>
            <w:tcW w:w="2268" w:type="dxa"/>
            <w:tcBorders>
              <w:bottom w:val="single" w:sz="4" w:space="0" w:color="auto"/>
            </w:tcBorders>
            <w:shd w:val="clear" w:color="auto" w:fill="auto"/>
            <w:vAlign w:val="bottom"/>
          </w:tcPr>
          <w:p w:rsidR="00760E7B" w:rsidRPr="00B042C8" w:rsidRDefault="00760E7B" w:rsidP="00760E7B">
            <w:pPr>
              <w:spacing w:after="80" w:line="300" w:lineRule="exact"/>
              <w:rPr>
                <w:b/>
                <w:sz w:val="24"/>
                <w:szCs w:val="24"/>
              </w:rPr>
            </w:pPr>
          </w:p>
        </w:tc>
        <w:tc>
          <w:tcPr>
            <w:tcW w:w="6095" w:type="dxa"/>
            <w:tcBorders>
              <w:bottom w:val="single" w:sz="4" w:space="0" w:color="auto"/>
            </w:tcBorders>
            <w:shd w:val="clear" w:color="auto" w:fill="auto"/>
            <w:vAlign w:val="bottom"/>
          </w:tcPr>
          <w:p w:rsidR="00760E7B" w:rsidRPr="00B042C8" w:rsidRDefault="00760E7B" w:rsidP="00760E7B">
            <w:pPr>
              <w:suppressAutoHyphens w:val="0"/>
              <w:spacing w:after="20"/>
              <w:jc w:val="right"/>
              <w:rPr>
                <w:b/>
                <w:sz w:val="24"/>
                <w:szCs w:val="24"/>
              </w:rPr>
            </w:pPr>
            <w:r w:rsidRPr="00B042C8">
              <w:rPr>
                <w:b/>
                <w:sz w:val="24"/>
                <w:szCs w:val="24"/>
              </w:rPr>
              <w:t>INF.</w:t>
            </w:r>
            <w:r w:rsidR="00DB0112">
              <w:rPr>
                <w:b/>
                <w:sz w:val="24"/>
                <w:szCs w:val="24"/>
              </w:rPr>
              <w:t>3</w:t>
            </w:r>
            <w:r w:rsidR="009813BE">
              <w:rPr>
                <w:b/>
                <w:sz w:val="24"/>
                <w:szCs w:val="24"/>
              </w:rPr>
              <w:t>0</w:t>
            </w:r>
          </w:p>
        </w:tc>
      </w:tr>
    </w:tbl>
    <w:p w:rsidR="00760E7B" w:rsidRPr="00B042C8" w:rsidRDefault="00760E7B" w:rsidP="00760E7B">
      <w:pPr>
        <w:spacing w:before="120"/>
        <w:rPr>
          <w:b/>
          <w:sz w:val="28"/>
          <w:szCs w:val="28"/>
        </w:rPr>
      </w:pPr>
      <w:r w:rsidRPr="00B042C8">
        <w:rPr>
          <w:b/>
          <w:sz w:val="28"/>
          <w:szCs w:val="28"/>
        </w:rPr>
        <w:t>Economic Commission for Europe</w:t>
      </w:r>
    </w:p>
    <w:p w:rsidR="00760E7B" w:rsidRPr="00B042C8" w:rsidRDefault="00760E7B" w:rsidP="00760E7B">
      <w:pPr>
        <w:spacing w:before="120"/>
        <w:rPr>
          <w:sz w:val="28"/>
          <w:szCs w:val="28"/>
        </w:rPr>
      </w:pPr>
      <w:r w:rsidRPr="00B042C8">
        <w:rPr>
          <w:sz w:val="28"/>
          <w:szCs w:val="28"/>
        </w:rPr>
        <w:t>Inland Transport Committee</w:t>
      </w:r>
    </w:p>
    <w:p w:rsidR="00760E7B" w:rsidRPr="00B042C8" w:rsidRDefault="00760E7B" w:rsidP="00760E7B">
      <w:pPr>
        <w:spacing w:before="120" w:after="120"/>
        <w:rPr>
          <w:b/>
          <w:sz w:val="24"/>
          <w:szCs w:val="24"/>
        </w:rPr>
      </w:pPr>
      <w:r w:rsidRPr="00B042C8">
        <w:rPr>
          <w:b/>
          <w:sz w:val="24"/>
          <w:szCs w:val="24"/>
        </w:rPr>
        <w:t>Working Party on the Transport of Dangerous Goods</w:t>
      </w:r>
    </w:p>
    <w:p w:rsidR="00760E7B" w:rsidRPr="00B042C8" w:rsidRDefault="00760E7B" w:rsidP="00760E7B">
      <w:pPr>
        <w:rPr>
          <w:b/>
        </w:rPr>
      </w:pPr>
      <w:r w:rsidRPr="00B042C8">
        <w:rPr>
          <w:b/>
        </w:rPr>
        <w:t>Joint Meeting of the RID Committee of Experts and the</w:t>
      </w:r>
    </w:p>
    <w:p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Pr="00B042C8">
        <w:rPr>
          <w:b/>
        </w:rPr>
        <w:tab/>
      </w:r>
      <w:r w:rsidRPr="00B042C8">
        <w:rPr>
          <w:b/>
        </w:rPr>
        <w:tab/>
      </w:r>
      <w:r w:rsidR="00DB0112">
        <w:rPr>
          <w:b/>
        </w:rPr>
        <w:t>15</w:t>
      </w:r>
      <w:r w:rsidR="00141246">
        <w:rPr>
          <w:b/>
        </w:rPr>
        <w:t xml:space="preserve"> March </w:t>
      </w:r>
      <w:r w:rsidRPr="00B042C8">
        <w:rPr>
          <w:b/>
        </w:rPr>
        <w:t>201</w:t>
      </w:r>
      <w:r>
        <w:rPr>
          <w:b/>
        </w:rPr>
        <w:t>9</w:t>
      </w:r>
    </w:p>
    <w:p w:rsidR="00760E7B" w:rsidRPr="00B042C8" w:rsidRDefault="00760E7B" w:rsidP="00760E7B">
      <w:r>
        <w:t>Bern</w:t>
      </w:r>
      <w:r w:rsidRPr="00B042C8">
        <w:t xml:space="preserve">, </w:t>
      </w:r>
      <w:r>
        <w:t xml:space="preserve">18-22 March </w:t>
      </w:r>
      <w:r w:rsidRPr="00B042C8">
        <w:t>201</w:t>
      </w:r>
      <w:r>
        <w:t>9</w:t>
      </w:r>
    </w:p>
    <w:p w:rsidR="00760E7B" w:rsidRDefault="00760E7B" w:rsidP="00760E7B">
      <w:r>
        <w:t>Item 2 of the provisional agenda</w:t>
      </w:r>
    </w:p>
    <w:p w:rsidR="00FA6DA6" w:rsidRPr="00FA6DA6" w:rsidRDefault="00795C2B" w:rsidP="00B175D8">
      <w:pPr>
        <w:rPr>
          <w:b/>
        </w:rPr>
      </w:pPr>
      <w:r>
        <w:rPr>
          <w:b/>
        </w:rPr>
        <w:t>Tanks</w:t>
      </w:r>
    </w:p>
    <w:p w:rsidR="00E70778" w:rsidRPr="00E70778" w:rsidRDefault="009B1518" w:rsidP="00E70778">
      <w:pPr>
        <w:pStyle w:val="HChG"/>
        <w:rPr>
          <w:bCs/>
        </w:rPr>
      </w:pPr>
      <w:r>
        <w:tab/>
      </w:r>
      <w:r>
        <w:tab/>
      </w:r>
      <w:r w:rsidR="001C1EDB">
        <w:tab/>
      </w:r>
      <w:r w:rsidR="000F239A">
        <w:t>United Kingdom</w:t>
      </w:r>
      <w:r w:rsidR="00141246">
        <w:t xml:space="preserve"> interpretation of construction requirements applicable to the opening ends of Vacuum-Operated Waste Tanks (VOWTs)</w:t>
      </w:r>
      <w:r w:rsidR="00E70778" w:rsidRPr="00E70778">
        <w:rPr>
          <w:bCs/>
        </w:rPr>
        <w:t xml:space="preserve"> </w:t>
      </w:r>
    </w:p>
    <w:p w:rsidR="00881C0C" w:rsidRDefault="00881C0C" w:rsidP="00881C0C">
      <w:pPr>
        <w:pStyle w:val="H1G"/>
      </w:pPr>
      <w:r>
        <w:tab/>
      </w:r>
      <w:r>
        <w:tab/>
      </w:r>
      <w:r w:rsidR="00795C2B" w:rsidRPr="007C7BC4">
        <w:t xml:space="preserve">Transmitted by the Government of the </w:t>
      </w:r>
      <w:r w:rsidR="001C1EDB">
        <w:t>United Kingdom</w:t>
      </w:r>
    </w:p>
    <w:p w:rsidR="001C1EDB" w:rsidRPr="001C1EDB" w:rsidRDefault="001C1EDB" w:rsidP="001C1EDB"/>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50CF1" w:rsidRPr="007C7BC4" w:rsidTr="007E4C3D">
        <w:trPr>
          <w:jc w:val="center"/>
        </w:trPr>
        <w:tc>
          <w:tcPr>
            <w:tcW w:w="9082" w:type="dxa"/>
            <w:shd w:val="clear" w:color="auto" w:fill="auto"/>
          </w:tcPr>
          <w:p w:rsidR="00150CF1" w:rsidRPr="003A39EA" w:rsidRDefault="00150CF1" w:rsidP="007E4C3D">
            <w:pPr>
              <w:spacing w:before="240" w:after="120"/>
              <w:ind w:left="255"/>
              <w:rPr>
                <w:i/>
              </w:rPr>
            </w:pPr>
            <w:r w:rsidRPr="003A39EA">
              <w:rPr>
                <w:i/>
              </w:rPr>
              <w:t>Summary</w:t>
            </w:r>
          </w:p>
        </w:tc>
      </w:tr>
      <w:tr w:rsidR="00150CF1" w:rsidRPr="00585E7B" w:rsidTr="007E4C3D">
        <w:trPr>
          <w:jc w:val="center"/>
        </w:trPr>
        <w:tc>
          <w:tcPr>
            <w:tcW w:w="9082" w:type="dxa"/>
            <w:shd w:val="clear" w:color="auto" w:fill="auto"/>
          </w:tcPr>
          <w:p w:rsidR="00150CF1" w:rsidRPr="003A39EA" w:rsidRDefault="00150CF1" w:rsidP="00462DD9">
            <w:pPr>
              <w:tabs>
                <w:tab w:val="left" w:pos="3260"/>
              </w:tabs>
              <w:spacing w:after="120"/>
              <w:ind w:left="3260" w:right="1134" w:hanging="2126"/>
              <w:jc w:val="both"/>
            </w:pPr>
            <w:r w:rsidRPr="003A39EA">
              <w:rPr>
                <w:b/>
              </w:rPr>
              <w:t xml:space="preserve">Executive summary: </w:t>
            </w:r>
            <w:r w:rsidRPr="003A39EA">
              <w:tab/>
            </w:r>
            <w:r w:rsidR="001A6463">
              <w:t>This paper provides delegates with information on guidance that th</w:t>
            </w:r>
            <w:r w:rsidR="00502140">
              <w:t xml:space="preserve">e </w:t>
            </w:r>
            <w:r w:rsidR="000F239A">
              <w:t>United Kingdom</w:t>
            </w:r>
            <w:r w:rsidR="00502140">
              <w:t xml:space="preserve"> intends to provide to its inspection bodies and m</w:t>
            </w:r>
            <w:r w:rsidR="001A6463">
              <w:t>anufacturer’s regarding compliance with ADR 6.10.3.5</w:t>
            </w:r>
            <w:r w:rsidR="001A6463" w:rsidRPr="00F04EEF">
              <w:t>.</w:t>
            </w:r>
          </w:p>
        </w:tc>
      </w:tr>
      <w:tr w:rsidR="00150CF1" w:rsidRPr="00585E7B" w:rsidTr="007E4C3D">
        <w:trPr>
          <w:jc w:val="center"/>
        </w:trPr>
        <w:tc>
          <w:tcPr>
            <w:tcW w:w="9082" w:type="dxa"/>
            <w:shd w:val="clear" w:color="auto" w:fill="auto"/>
          </w:tcPr>
          <w:p w:rsidR="00150CF1" w:rsidRDefault="00150CF1" w:rsidP="001A6463">
            <w:pPr>
              <w:tabs>
                <w:tab w:val="left" w:pos="3260"/>
              </w:tabs>
              <w:ind w:left="3260" w:right="1134" w:hanging="2126"/>
              <w:rPr>
                <w:lang w:val="en-US"/>
              </w:rPr>
            </w:pPr>
            <w:r w:rsidRPr="003A39EA">
              <w:rPr>
                <w:b/>
              </w:rPr>
              <w:t>Action to be taken:</w:t>
            </w:r>
            <w:r w:rsidRPr="003A39EA">
              <w:rPr>
                <w:b/>
              </w:rPr>
              <w:tab/>
            </w:r>
            <w:r w:rsidR="001A6463" w:rsidRPr="001A6463">
              <w:t xml:space="preserve">The </w:t>
            </w:r>
            <w:r w:rsidR="000F239A">
              <w:t>United Kingdom</w:t>
            </w:r>
            <w:r w:rsidR="001A6463">
              <w:t xml:space="preserve"> would</w:t>
            </w:r>
            <w:r w:rsidR="00502140">
              <w:t xml:space="preserve"> welcome an exchange of views </w:t>
            </w:r>
            <w:r w:rsidR="001A6463" w:rsidRPr="00502140">
              <w:t>on the UK interpretation of ADR 6.10.3.5.</w:t>
            </w:r>
          </w:p>
          <w:p w:rsidR="001A6463" w:rsidRPr="001A6463" w:rsidRDefault="001A6463" w:rsidP="001A6463">
            <w:pPr>
              <w:tabs>
                <w:tab w:val="left" w:pos="3260"/>
              </w:tabs>
              <w:ind w:left="3260" w:right="1134" w:hanging="2126"/>
              <w:rPr>
                <w:lang w:val="en-US"/>
              </w:rPr>
            </w:pPr>
          </w:p>
        </w:tc>
      </w:tr>
      <w:tr w:rsidR="00150CF1" w:rsidRPr="00585E7B" w:rsidTr="007E4C3D">
        <w:trPr>
          <w:jc w:val="center"/>
        </w:trPr>
        <w:tc>
          <w:tcPr>
            <w:tcW w:w="9082" w:type="dxa"/>
            <w:shd w:val="clear" w:color="auto" w:fill="auto"/>
          </w:tcPr>
          <w:p w:rsidR="00713BE4" w:rsidRPr="003A39EA" w:rsidRDefault="00150CF1" w:rsidP="006E069B">
            <w:pPr>
              <w:tabs>
                <w:tab w:val="left" w:pos="3260"/>
              </w:tabs>
              <w:ind w:left="3260" w:right="1134" w:hanging="2126"/>
              <w:rPr>
                <w:b/>
                <w:lang w:val="en-US"/>
              </w:rPr>
            </w:pPr>
            <w:r w:rsidRPr="003A39EA">
              <w:rPr>
                <w:b/>
              </w:rPr>
              <w:t>Related documents:</w:t>
            </w:r>
            <w:r w:rsidRPr="003A39EA">
              <w:rPr>
                <w:b/>
              </w:rPr>
              <w:tab/>
            </w:r>
            <w:r w:rsidR="00F160BB">
              <w:rPr>
                <w:bCs/>
              </w:rPr>
              <w:t xml:space="preserve">None. </w:t>
            </w:r>
          </w:p>
        </w:tc>
      </w:tr>
      <w:tr w:rsidR="00150CF1" w:rsidRPr="00585E7B" w:rsidTr="007E4C3D">
        <w:trPr>
          <w:jc w:val="center"/>
        </w:trPr>
        <w:tc>
          <w:tcPr>
            <w:tcW w:w="9082" w:type="dxa"/>
            <w:shd w:val="clear" w:color="auto" w:fill="auto"/>
          </w:tcPr>
          <w:p w:rsidR="00150CF1" w:rsidRPr="007C7BC4" w:rsidRDefault="00150CF1" w:rsidP="007E4C3D">
            <w:pPr>
              <w:rPr>
                <w:lang w:val="en-US"/>
              </w:rPr>
            </w:pPr>
          </w:p>
        </w:tc>
      </w:tr>
    </w:tbl>
    <w:p w:rsidR="00150CF1" w:rsidRPr="007C7BC4" w:rsidRDefault="00150CF1" w:rsidP="008D6CB9">
      <w:pPr>
        <w:pStyle w:val="HChG"/>
        <w:jc w:val="both"/>
      </w:pPr>
      <w:r>
        <w:rPr>
          <w:lang w:val="en-US"/>
        </w:rPr>
        <w:tab/>
      </w:r>
      <w:bookmarkStart w:id="1" w:name="_Hlk532555907"/>
      <w:r>
        <w:rPr>
          <w:lang w:val="en-US"/>
        </w:rPr>
        <w:tab/>
      </w:r>
      <w:r w:rsidR="00FA35AF">
        <w:rPr>
          <w:lang w:val="en-US"/>
        </w:rPr>
        <w:t>Introduction</w:t>
      </w:r>
      <w:bookmarkEnd w:id="1"/>
    </w:p>
    <w:p w:rsidR="00A26487" w:rsidRDefault="00F90641" w:rsidP="00F90641">
      <w:pPr>
        <w:pStyle w:val="SingleTxtG"/>
        <w:ind w:right="621"/>
        <w:rPr>
          <w:lang w:val="en-US"/>
        </w:rPr>
      </w:pPr>
      <w:r w:rsidRPr="008D6CB9">
        <w:rPr>
          <w:lang w:val="en-US"/>
        </w:rPr>
        <w:t>1.</w:t>
      </w:r>
      <w:r w:rsidR="00502140">
        <w:rPr>
          <w:lang w:val="en-US"/>
        </w:rPr>
        <w:tab/>
        <w:t>Following concerns raised by inspection b</w:t>
      </w:r>
      <w:r>
        <w:rPr>
          <w:lang w:val="en-US"/>
        </w:rPr>
        <w:t xml:space="preserve">odies in the </w:t>
      </w:r>
      <w:r w:rsidR="000F239A">
        <w:t>United Kingdom</w:t>
      </w:r>
      <w:r>
        <w:rPr>
          <w:lang w:val="en-US"/>
        </w:rPr>
        <w:t xml:space="preserve"> regarding </w:t>
      </w:r>
      <w:r w:rsidR="00A26487">
        <w:rPr>
          <w:lang w:val="en-US"/>
        </w:rPr>
        <w:t xml:space="preserve">different </w:t>
      </w:r>
      <w:r w:rsidR="00304A55">
        <w:rPr>
          <w:lang w:val="en-US"/>
        </w:rPr>
        <w:t>interpretations</w:t>
      </w:r>
      <w:r w:rsidR="00A26487">
        <w:rPr>
          <w:lang w:val="en-US"/>
        </w:rPr>
        <w:t xml:space="preserve"> </w:t>
      </w:r>
      <w:r w:rsidR="00304A55">
        <w:rPr>
          <w:lang w:val="en-US"/>
        </w:rPr>
        <w:t xml:space="preserve">of the </w:t>
      </w:r>
      <w:r w:rsidR="00A26487">
        <w:rPr>
          <w:lang w:val="en-US"/>
        </w:rPr>
        <w:t xml:space="preserve">construction requirements for </w:t>
      </w:r>
      <w:r w:rsidR="00A26487">
        <w:t>Vacuum-Operated Waste Tanks (VOWTs)</w:t>
      </w:r>
      <w:r w:rsidR="00A26487">
        <w:rPr>
          <w:lang w:val="en-US"/>
        </w:rPr>
        <w:t xml:space="preserve"> in </w:t>
      </w:r>
      <w:r>
        <w:rPr>
          <w:lang w:val="en-US"/>
        </w:rPr>
        <w:t>Chapter 6.10 of ADR,</w:t>
      </w:r>
      <w:r w:rsidR="00476932">
        <w:rPr>
          <w:lang w:val="en-US"/>
        </w:rPr>
        <w:t xml:space="preserve"> the </w:t>
      </w:r>
      <w:r w:rsidR="000F239A">
        <w:t>United Kingdom</w:t>
      </w:r>
      <w:r w:rsidR="00476932">
        <w:rPr>
          <w:lang w:val="en-US"/>
        </w:rPr>
        <w:t xml:space="preserve"> has been looking closely at the construction requirements for </w:t>
      </w:r>
      <w:r w:rsidR="0009594B" w:rsidRPr="00502140">
        <w:rPr>
          <w:lang w:val="en-US"/>
        </w:rPr>
        <w:t>VOWT</w:t>
      </w:r>
      <w:r w:rsidR="00E9567E">
        <w:rPr>
          <w:lang w:val="en-US"/>
        </w:rPr>
        <w:t xml:space="preserve"> vehicles</w:t>
      </w:r>
      <w:r w:rsidR="00476932" w:rsidRPr="00502140">
        <w:rPr>
          <w:lang w:val="en-US"/>
        </w:rPr>
        <w:t>.</w:t>
      </w:r>
      <w:r>
        <w:rPr>
          <w:lang w:val="en-US"/>
        </w:rPr>
        <w:t xml:space="preserve"> </w:t>
      </w:r>
    </w:p>
    <w:p w:rsidR="00476932" w:rsidRDefault="00502140" w:rsidP="00476932">
      <w:pPr>
        <w:pStyle w:val="SingleTxtG"/>
        <w:ind w:right="621"/>
        <w:rPr>
          <w:lang w:val="en-US"/>
        </w:rPr>
      </w:pPr>
      <w:r>
        <w:rPr>
          <w:lang w:val="en-US"/>
        </w:rPr>
        <w:t>2</w:t>
      </w:r>
      <w:r w:rsidR="00902EA5">
        <w:rPr>
          <w:lang w:val="en-US"/>
        </w:rPr>
        <w:t>.</w:t>
      </w:r>
      <w:r w:rsidR="00902EA5">
        <w:rPr>
          <w:lang w:val="en-US"/>
        </w:rPr>
        <w:tab/>
      </w:r>
      <w:r w:rsidR="00304A55">
        <w:rPr>
          <w:lang w:val="en-US"/>
        </w:rPr>
        <w:t xml:space="preserve">Accordingly, the </w:t>
      </w:r>
      <w:r w:rsidR="000F239A">
        <w:t>United Kingdom</w:t>
      </w:r>
      <w:r w:rsidR="00476932">
        <w:rPr>
          <w:lang w:val="en-US"/>
        </w:rPr>
        <w:t xml:space="preserve"> is </w:t>
      </w:r>
      <w:r w:rsidR="00B8002A">
        <w:rPr>
          <w:lang w:val="en-US"/>
        </w:rPr>
        <w:t>developing</w:t>
      </w:r>
      <w:r w:rsidR="00476932">
        <w:rPr>
          <w:lang w:val="en-US"/>
        </w:rPr>
        <w:t xml:space="preserve"> guidance that </w:t>
      </w:r>
      <w:r w:rsidR="00253284">
        <w:rPr>
          <w:lang w:val="en-US"/>
        </w:rPr>
        <w:t xml:space="preserve">seeks to </w:t>
      </w:r>
      <w:r w:rsidR="00476932">
        <w:rPr>
          <w:lang w:val="en-US"/>
        </w:rPr>
        <w:t xml:space="preserve">assist </w:t>
      </w:r>
      <w:r w:rsidR="00E9567E">
        <w:rPr>
          <w:lang w:val="en-US"/>
        </w:rPr>
        <w:t>i</w:t>
      </w:r>
      <w:r w:rsidR="00476932">
        <w:rPr>
          <w:lang w:val="en-US"/>
        </w:rPr>
        <w:t xml:space="preserve">nspection </w:t>
      </w:r>
      <w:r w:rsidR="00E9567E">
        <w:rPr>
          <w:lang w:val="en-US"/>
        </w:rPr>
        <w:t>bodies and m</w:t>
      </w:r>
      <w:r w:rsidR="00476932">
        <w:rPr>
          <w:lang w:val="en-US"/>
        </w:rPr>
        <w:t xml:space="preserve">anufacturers in the interpretation of </w:t>
      </w:r>
      <w:r w:rsidR="008E14AC">
        <w:rPr>
          <w:lang w:val="en-US"/>
        </w:rPr>
        <w:t xml:space="preserve">Chapter </w:t>
      </w:r>
      <w:r w:rsidR="00253284">
        <w:rPr>
          <w:lang w:val="en-US"/>
        </w:rPr>
        <w:t>6.10</w:t>
      </w:r>
      <w:r w:rsidR="008E14AC">
        <w:rPr>
          <w:lang w:val="en-US"/>
        </w:rPr>
        <w:t xml:space="preserve"> of ADR</w:t>
      </w:r>
      <w:r w:rsidR="00476932">
        <w:rPr>
          <w:lang w:val="en-US"/>
        </w:rPr>
        <w:t>.</w:t>
      </w:r>
      <w:r w:rsidR="008E14AC">
        <w:rPr>
          <w:lang w:val="en-US"/>
        </w:rPr>
        <w:t xml:space="preserve"> </w:t>
      </w:r>
      <w:r w:rsidR="003B6EC4">
        <w:rPr>
          <w:lang w:val="en-US"/>
        </w:rPr>
        <w:t xml:space="preserve">However, in developing this guidance, the </w:t>
      </w:r>
      <w:r w:rsidR="000F239A">
        <w:t>United Kingdom</w:t>
      </w:r>
      <w:r w:rsidR="003B6EC4">
        <w:rPr>
          <w:lang w:val="en-US"/>
        </w:rPr>
        <w:t xml:space="preserve"> would appreciate the views of other </w:t>
      </w:r>
      <w:r w:rsidR="003B6EC4" w:rsidRPr="00F90641">
        <w:t>member countries as to whether</w:t>
      </w:r>
      <w:r w:rsidR="003B6EC4">
        <w:t xml:space="preserve">, in their </w:t>
      </w:r>
      <w:r w:rsidR="003B6EC4" w:rsidRPr="00F90641">
        <w:t>opinion</w:t>
      </w:r>
      <w:r w:rsidR="003B6EC4">
        <w:t xml:space="preserve">, the </w:t>
      </w:r>
      <w:r w:rsidR="000F239A">
        <w:t>United Kingdom</w:t>
      </w:r>
      <w:r w:rsidR="003B6EC4">
        <w:t xml:space="preserve"> interpretation of certain aspects of Chapter 6.10 concurs with their understanding and application of the requirements.</w:t>
      </w:r>
    </w:p>
    <w:p w:rsidR="00A4734E" w:rsidRDefault="00502140" w:rsidP="00F90641">
      <w:pPr>
        <w:pStyle w:val="SingleTxtG"/>
        <w:ind w:right="621"/>
        <w:rPr>
          <w:lang w:val="en-US"/>
        </w:rPr>
      </w:pPr>
      <w:r>
        <w:rPr>
          <w:lang w:val="en-US"/>
        </w:rPr>
        <w:t>3</w:t>
      </w:r>
      <w:r w:rsidR="00476932">
        <w:rPr>
          <w:lang w:val="en-US"/>
        </w:rPr>
        <w:t>.</w:t>
      </w:r>
      <w:r w:rsidR="00476932">
        <w:rPr>
          <w:lang w:val="en-US"/>
        </w:rPr>
        <w:tab/>
      </w:r>
      <w:r w:rsidR="00253284">
        <w:rPr>
          <w:lang w:val="en-US"/>
        </w:rPr>
        <w:t xml:space="preserve">In respect </w:t>
      </w:r>
      <w:r w:rsidR="00B8002A">
        <w:rPr>
          <w:lang w:val="en-US"/>
        </w:rPr>
        <w:t>of</w:t>
      </w:r>
      <w:r w:rsidR="00253284">
        <w:rPr>
          <w:lang w:val="en-US"/>
        </w:rPr>
        <w:t xml:space="preserve"> ADR 6.10.3.5 (“openable ends” of VOWT</w:t>
      </w:r>
      <w:r w:rsidR="00B8002A">
        <w:rPr>
          <w:lang w:val="en-US"/>
        </w:rPr>
        <w:t>s</w:t>
      </w:r>
      <w:r w:rsidR="00253284">
        <w:rPr>
          <w:lang w:val="en-US"/>
        </w:rPr>
        <w:t xml:space="preserve">), our intention is to include </w:t>
      </w:r>
      <w:r w:rsidR="00902EA5">
        <w:rPr>
          <w:lang w:val="en-US"/>
        </w:rPr>
        <w:t xml:space="preserve">guidance on the </w:t>
      </w:r>
      <w:r w:rsidR="00253284">
        <w:rPr>
          <w:lang w:val="en-US"/>
        </w:rPr>
        <w:t xml:space="preserve">interpretation of this paragraph by including examples of locking devices that are considered to meet the </w:t>
      </w:r>
      <w:r w:rsidR="00902EA5">
        <w:rPr>
          <w:lang w:val="en-US"/>
        </w:rPr>
        <w:t xml:space="preserve">requirements </w:t>
      </w:r>
      <w:r w:rsidR="00253284">
        <w:rPr>
          <w:lang w:val="en-US"/>
        </w:rPr>
        <w:t xml:space="preserve">of this section. The guidance will of course, </w:t>
      </w:r>
      <w:r w:rsidR="003B6EC4">
        <w:rPr>
          <w:lang w:val="en-US"/>
        </w:rPr>
        <w:t>also</w:t>
      </w:r>
      <w:r w:rsidR="00253284">
        <w:rPr>
          <w:lang w:val="en-US"/>
        </w:rPr>
        <w:t xml:space="preserve"> recognize that other designs may be acceptable if they offer an equivalent (i.e. the same or </w:t>
      </w:r>
      <w:r w:rsidR="00E9567E">
        <w:rPr>
          <w:lang w:val="en-US"/>
        </w:rPr>
        <w:t>better) level of safety and i</w:t>
      </w:r>
      <w:r w:rsidR="003B6EC4">
        <w:rPr>
          <w:lang w:val="en-US"/>
        </w:rPr>
        <w:t xml:space="preserve">nspection </w:t>
      </w:r>
      <w:r w:rsidR="00E9567E">
        <w:rPr>
          <w:lang w:val="en-US"/>
        </w:rPr>
        <w:t>b</w:t>
      </w:r>
      <w:r w:rsidR="003B6EC4">
        <w:rPr>
          <w:lang w:val="en-US"/>
        </w:rPr>
        <w:t>odies will be expected t</w:t>
      </w:r>
      <w:r w:rsidR="00B8002A">
        <w:rPr>
          <w:lang w:val="en-US"/>
        </w:rPr>
        <w:t>o make an e</w:t>
      </w:r>
      <w:r w:rsidR="00253284">
        <w:rPr>
          <w:lang w:val="en-US"/>
        </w:rPr>
        <w:t>ngineering judgement</w:t>
      </w:r>
      <w:r w:rsidR="00A4734E">
        <w:rPr>
          <w:lang w:val="en-US"/>
        </w:rPr>
        <w:t xml:space="preserve">, on a case by case basis, </w:t>
      </w:r>
      <w:r w:rsidR="00253284">
        <w:rPr>
          <w:lang w:val="en-US"/>
        </w:rPr>
        <w:t xml:space="preserve">as to whether </w:t>
      </w:r>
      <w:r w:rsidR="00B8002A">
        <w:rPr>
          <w:lang w:val="en-US"/>
        </w:rPr>
        <w:t>an alternative design may be appropriate</w:t>
      </w:r>
      <w:r w:rsidR="00A4734E">
        <w:rPr>
          <w:lang w:val="en-US"/>
        </w:rPr>
        <w:t>.</w:t>
      </w:r>
    </w:p>
    <w:p w:rsidR="009813BE" w:rsidRDefault="009813BE">
      <w:pPr>
        <w:suppressAutoHyphens w:val="0"/>
        <w:spacing w:line="240" w:lineRule="auto"/>
        <w:rPr>
          <w:b/>
          <w:sz w:val="28"/>
          <w:szCs w:val="28"/>
        </w:rPr>
      </w:pPr>
      <w:r>
        <w:rPr>
          <w:b/>
          <w:sz w:val="28"/>
          <w:szCs w:val="28"/>
        </w:rPr>
        <w:br w:type="page"/>
      </w:r>
    </w:p>
    <w:p w:rsidR="00A4734E" w:rsidRDefault="008F52BC" w:rsidP="00A4734E">
      <w:pPr>
        <w:pStyle w:val="SingleTxtG"/>
        <w:ind w:right="621"/>
        <w:rPr>
          <w:b/>
          <w:sz w:val="28"/>
          <w:szCs w:val="28"/>
        </w:rPr>
      </w:pPr>
      <w:r>
        <w:rPr>
          <w:b/>
          <w:sz w:val="28"/>
          <w:szCs w:val="28"/>
        </w:rPr>
        <w:lastRenderedPageBreak/>
        <w:t>Requirements for ‘openable ends’</w:t>
      </w:r>
    </w:p>
    <w:p w:rsidR="008F52BC" w:rsidRDefault="00502140" w:rsidP="008F52BC">
      <w:pPr>
        <w:pStyle w:val="SingleTxtG"/>
        <w:ind w:right="621"/>
        <w:rPr>
          <w:bCs/>
          <w:lang w:val="en-US"/>
        </w:rPr>
      </w:pPr>
      <w:r>
        <w:rPr>
          <w:bCs/>
          <w:lang w:val="en-US"/>
        </w:rPr>
        <w:t>4</w:t>
      </w:r>
      <w:r w:rsidR="008F52BC">
        <w:rPr>
          <w:bCs/>
          <w:lang w:val="en-US"/>
        </w:rPr>
        <w:t>.</w:t>
      </w:r>
      <w:r w:rsidR="008F52BC">
        <w:rPr>
          <w:bCs/>
          <w:lang w:val="en-US"/>
        </w:rPr>
        <w:tab/>
        <w:t xml:space="preserve">ADR </w:t>
      </w:r>
      <w:bookmarkStart w:id="2" w:name="_Hlk3453308"/>
      <w:r w:rsidR="008F52BC">
        <w:rPr>
          <w:bCs/>
          <w:lang w:val="en-US"/>
        </w:rPr>
        <w:t xml:space="preserve">6.10.3.5 </w:t>
      </w:r>
      <w:bookmarkEnd w:id="2"/>
      <w:r w:rsidR="008F52BC">
        <w:rPr>
          <w:bCs/>
          <w:lang w:val="en-US"/>
        </w:rPr>
        <w:t>states:</w:t>
      </w:r>
    </w:p>
    <w:p w:rsidR="008F52BC" w:rsidRPr="008F52BC" w:rsidRDefault="008F52BC" w:rsidP="008F52BC">
      <w:pPr>
        <w:pStyle w:val="SingleTxtG"/>
        <w:ind w:left="1985" w:right="621" w:hanging="851"/>
        <w:rPr>
          <w:bCs/>
          <w:lang w:val="en-US"/>
        </w:rPr>
      </w:pPr>
      <w:r>
        <w:rPr>
          <w:bCs/>
          <w:lang w:val="en-US"/>
        </w:rPr>
        <w:t>“</w:t>
      </w:r>
      <w:r w:rsidRPr="008F52BC">
        <w:rPr>
          <w:bCs/>
          <w:lang w:val="en-US"/>
        </w:rPr>
        <w:t>6.10.3.5</w:t>
      </w:r>
      <w:r w:rsidRPr="008F52BC">
        <w:rPr>
          <w:bCs/>
          <w:lang w:val="en-US"/>
        </w:rPr>
        <w:tab/>
        <w:t>The tanks may be equipped with openable ends. Openable ends shall comply</w:t>
      </w:r>
      <w:r>
        <w:rPr>
          <w:bCs/>
          <w:lang w:val="en-US"/>
        </w:rPr>
        <w:t xml:space="preserve"> with the following conditions:</w:t>
      </w:r>
    </w:p>
    <w:p w:rsidR="008F52BC" w:rsidRPr="008F52BC" w:rsidRDefault="008F52BC" w:rsidP="008F52BC">
      <w:pPr>
        <w:pStyle w:val="SingleTxtG"/>
        <w:ind w:left="2410" w:right="621" w:hanging="425"/>
        <w:rPr>
          <w:bCs/>
          <w:lang w:val="en-US"/>
        </w:rPr>
      </w:pPr>
      <w:r w:rsidRPr="008F52BC">
        <w:rPr>
          <w:bCs/>
          <w:lang w:val="en-US"/>
        </w:rPr>
        <w:t>(a)</w:t>
      </w:r>
      <w:r w:rsidRPr="008F52BC">
        <w:rPr>
          <w:bCs/>
          <w:lang w:val="en-US"/>
        </w:rPr>
        <w:tab/>
        <w:t>The ends shall be designed to be</w:t>
      </w:r>
      <w:r>
        <w:rPr>
          <w:bCs/>
          <w:lang w:val="en-US"/>
        </w:rPr>
        <w:t xml:space="preserve"> secured </w:t>
      </w:r>
      <w:proofErr w:type="spellStart"/>
      <w:r>
        <w:rPr>
          <w:bCs/>
          <w:lang w:val="en-US"/>
        </w:rPr>
        <w:t>leaktight</w:t>
      </w:r>
      <w:proofErr w:type="spellEnd"/>
      <w:r>
        <w:rPr>
          <w:bCs/>
          <w:lang w:val="en-US"/>
        </w:rPr>
        <w:t xml:space="preserve"> when closed;</w:t>
      </w:r>
    </w:p>
    <w:p w:rsidR="008F52BC" w:rsidRPr="008F52BC" w:rsidRDefault="008F52BC" w:rsidP="008F52BC">
      <w:pPr>
        <w:pStyle w:val="SingleTxtG"/>
        <w:ind w:left="2410" w:right="621" w:hanging="425"/>
        <w:rPr>
          <w:bCs/>
          <w:lang w:val="en-US"/>
        </w:rPr>
      </w:pPr>
      <w:r w:rsidRPr="008F52BC">
        <w:rPr>
          <w:bCs/>
          <w:lang w:val="en-US"/>
        </w:rPr>
        <w:t>(b)</w:t>
      </w:r>
      <w:r w:rsidRPr="008F52BC">
        <w:rPr>
          <w:bCs/>
          <w:lang w:val="en-US"/>
        </w:rPr>
        <w:tab/>
        <w:t>Unintentional</w:t>
      </w:r>
      <w:r>
        <w:rPr>
          <w:bCs/>
          <w:lang w:val="en-US"/>
        </w:rPr>
        <w:t xml:space="preserve"> opening shall not be possible;</w:t>
      </w:r>
    </w:p>
    <w:p w:rsidR="008F52BC" w:rsidRPr="008F52BC" w:rsidRDefault="008F52BC" w:rsidP="008F52BC">
      <w:pPr>
        <w:pStyle w:val="SingleTxtG"/>
        <w:ind w:left="2410" w:right="621" w:hanging="425"/>
        <w:rPr>
          <w:bCs/>
          <w:lang w:val="en-US"/>
        </w:rPr>
      </w:pPr>
      <w:r w:rsidRPr="008F52BC">
        <w:rPr>
          <w:bCs/>
          <w:lang w:val="en-US"/>
        </w:rPr>
        <w:t>(c)</w:t>
      </w:r>
      <w:r w:rsidRPr="008F52BC">
        <w:rPr>
          <w:bCs/>
          <w:lang w:val="en-US"/>
        </w:rPr>
        <w:tab/>
        <w:t xml:space="preserve">Where the opening mechanism is power operated the end shall remain </w:t>
      </w:r>
      <w:r>
        <w:rPr>
          <w:bCs/>
          <w:lang w:val="en-US"/>
        </w:rPr>
        <w:t xml:space="preserve">   </w:t>
      </w:r>
      <w:r w:rsidRPr="008F52BC">
        <w:rPr>
          <w:bCs/>
          <w:lang w:val="en-US"/>
        </w:rPr>
        <w:t>securely closed in</w:t>
      </w:r>
      <w:r>
        <w:rPr>
          <w:bCs/>
          <w:lang w:val="en-US"/>
        </w:rPr>
        <w:t xml:space="preserve"> the event of a power failure; </w:t>
      </w:r>
    </w:p>
    <w:p w:rsidR="008F52BC" w:rsidRPr="008F52BC" w:rsidRDefault="008F52BC" w:rsidP="008F52BC">
      <w:pPr>
        <w:pStyle w:val="SingleTxtG"/>
        <w:ind w:left="2410" w:right="621" w:hanging="425"/>
        <w:rPr>
          <w:bCs/>
          <w:lang w:val="en-US"/>
        </w:rPr>
      </w:pPr>
      <w:r w:rsidRPr="008F52BC">
        <w:rPr>
          <w:bCs/>
          <w:lang w:val="en-US"/>
        </w:rPr>
        <w:t>(d)</w:t>
      </w:r>
      <w:r w:rsidRPr="008F52BC">
        <w:rPr>
          <w:bCs/>
          <w:lang w:val="en-US"/>
        </w:rPr>
        <w:tab/>
        <w:t xml:space="preserve">A safety or </w:t>
      </w:r>
      <w:proofErr w:type="spellStart"/>
      <w:r w:rsidRPr="008F52BC">
        <w:rPr>
          <w:bCs/>
          <w:lang w:val="en-US"/>
        </w:rPr>
        <w:t>breakseal</w:t>
      </w:r>
      <w:proofErr w:type="spellEnd"/>
      <w:r w:rsidRPr="008F52BC">
        <w:rPr>
          <w:bCs/>
          <w:lang w:val="en-US"/>
        </w:rPr>
        <w:t xml:space="preserve"> device shall be incorporated to ensure that the openable end cannot be opened when there is still a residual over pressure in the tank. This requirement does not apply to openable ends which are power-operated, where the movement is positively controlled. In this case the controls shall be of the dead-man type and be so positioned that the operator can observe the movement of the openable end </w:t>
      </w:r>
      <w:proofErr w:type="gramStart"/>
      <w:r w:rsidRPr="008F52BC">
        <w:rPr>
          <w:bCs/>
          <w:lang w:val="en-US"/>
        </w:rPr>
        <w:t>at all times</w:t>
      </w:r>
      <w:proofErr w:type="gramEnd"/>
      <w:r w:rsidRPr="008F52BC">
        <w:rPr>
          <w:bCs/>
          <w:lang w:val="en-US"/>
        </w:rPr>
        <w:t xml:space="preserve"> and is not endangered during opening and c</w:t>
      </w:r>
      <w:r>
        <w:rPr>
          <w:bCs/>
          <w:lang w:val="en-US"/>
        </w:rPr>
        <w:t>losing of the openable end; and</w:t>
      </w:r>
    </w:p>
    <w:p w:rsidR="00A4734E" w:rsidRPr="008F52BC" w:rsidRDefault="008F52BC" w:rsidP="008F52BC">
      <w:pPr>
        <w:pStyle w:val="SingleTxtG"/>
        <w:ind w:left="2410" w:right="621" w:hanging="425"/>
        <w:rPr>
          <w:bCs/>
          <w:lang w:val="en-US"/>
        </w:rPr>
      </w:pPr>
      <w:r w:rsidRPr="008F52BC">
        <w:rPr>
          <w:bCs/>
          <w:lang w:val="en-US"/>
        </w:rPr>
        <w:t>(e)</w:t>
      </w:r>
      <w:r w:rsidRPr="008F52BC">
        <w:rPr>
          <w:bCs/>
          <w:lang w:val="en-US"/>
        </w:rPr>
        <w:tab/>
        <w:t>Provisions shall be made to protect the openable end and prevent it from being forced open during a roll-over of the vehicle, tank-container or tank swap body.</w:t>
      </w:r>
      <w:r>
        <w:rPr>
          <w:bCs/>
          <w:lang w:val="en-US"/>
        </w:rPr>
        <w:t>”</w:t>
      </w:r>
    </w:p>
    <w:p w:rsidR="008556E6" w:rsidRPr="008556E6" w:rsidRDefault="00437C85" w:rsidP="008556E6">
      <w:pPr>
        <w:pStyle w:val="SingleTxtG"/>
        <w:ind w:right="621"/>
        <w:rPr>
          <w:b/>
          <w:bCs/>
          <w:sz w:val="28"/>
          <w:szCs w:val="28"/>
        </w:rPr>
      </w:pPr>
      <w:r>
        <w:rPr>
          <w:b/>
          <w:bCs/>
          <w:sz w:val="28"/>
          <w:szCs w:val="28"/>
        </w:rPr>
        <w:t>I</w:t>
      </w:r>
      <w:r w:rsidR="008F52BC">
        <w:rPr>
          <w:b/>
          <w:bCs/>
          <w:sz w:val="28"/>
          <w:szCs w:val="28"/>
        </w:rPr>
        <w:t xml:space="preserve">nterpretation </w:t>
      </w:r>
      <w:r w:rsidR="008556E6" w:rsidRPr="008556E6">
        <w:rPr>
          <w:b/>
          <w:bCs/>
          <w:sz w:val="28"/>
          <w:szCs w:val="28"/>
        </w:rPr>
        <w:t xml:space="preserve"> </w:t>
      </w:r>
      <w:r w:rsidR="003F01D4" w:rsidRPr="004850BD">
        <w:rPr>
          <w:bCs/>
        </w:rPr>
        <w:t xml:space="preserve"> </w:t>
      </w:r>
    </w:p>
    <w:p w:rsidR="001672AD" w:rsidRDefault="00502140" w:rsidP="008F52BC">
      <w:pPr>
        <w:pStyle w:val="SingleTxtG"/>
        <w:ind w:right="621"/>
        <w:rPr>
          <w:bCs/>
        </w:rPr>
      </w:pPr>
      <w:r>
        <w:rPr>
          <w:bCs/>
        </w:rPr>
        <w:t>5</w:t>
      </w:r>
      <w:r w:rsidR="008F52BC">
        <w:rPr>
          <w:bCs/>
        </w:rPr>
        <w:t>.</w:t>
      </w:r>
      <w:r w:rsidR="0009594B">
        <w:rPr>
          <w:bCs/>
        </w:rPr>
        <w:tab/>
      </w:r>
      <w:r w:rsidR="006B09CF">
        <w:rPr>
          <w:bCs/>
        </w:rPr>
        <w:t xml:space="preserve">The </w:t>
      </w:r>
      <w:r w:rsidR="000F239A">
        <w:t>United Kingdom</w:t>
      </w:r>
      <w:r w:rsidR="0009594B">
        <w:rPr>
          <w:bCs/>
        </w:rPr>
        <w:t xml:space="preserve"> interpretation is that </w:t>
      </w:r>
      <w:r w:rsidR="008B7241">
        <w:rPr>
          <w:bCs/>
        </w:rPr>
        <w:t xml:space="preserve">robust design solutions </w:t>
      </w:r>
      <w:r w:rsidR="0009594B">
        <w:rPr>
          <w:bCs/>
        </w:rPr>
        <w:t xml:space="preserve">must be </w:t>
      </w:r>
      <w:r w:rsidR="008B7241">
        <w:rPr>
          <w:bCs/>
        </w:rPr>
        <w:t xml:space="preserve">in place </w:t>
      </w:r>
      <w:r w:rsidR="0009594B">
        <w:rPr>
          <w:bCs/>
        </w:rPr>
        <w:t xml:space="preserve">to ensure the requirements of 6.10.3.5 are met with respect to the locking mechanisms fitted to openable ends. </w:t>
      </w:r>
      <w:r w:rsidR="001672AD">
        <w:rPr>
          <w:bCs/>
        </w:rPr>
        <w:t xml:space="preserve">Our understanding is that there are three types of locking mechanism commonly fitted to the openable ends of VOWTs: </w:t>
      </w:r>
    </w:p>
    <w:p w:rsidR="006C208B" w:rsidRDefault="00DB0112" w:rsidP="00DB0112">
      <w:pPr>
        <w:pStyle w:val="SingleTxtG"/>
        <w:ind w:right="621" w:firstLine="567"/>
        <w:rPr>
          <w:bCs/>
        </w:rPr>
      </w:pPr>
      <w:r>
        <w:rPr>
          <w:bCs/>
        </w:rPr>
        <w:t>(a)</w:t>
      </w:r>
      <w:r>
        <w:rPr>
          <w:bCs/>
        </w:rPr>
        <w:tab/>
      </w:r>
      <w:r w:rsidR="001672AD">
        <w:rPr>
          <w:bCs/>
        </w:rPr>
        <w:t>M</w:t>
      </w:r>
      <w:r w:rsidR="001672AD" w:rsidRPr="001672AD">
        <w:rPr>
          <w:bCs/>
        </w:rPr>
        <w:t>anual hand wheel door clamps.</w:t>
      </w:r>
      <w:r w:rsidR="001672AD">
        <w:rPr>
          <w:bCs/>
        </w:rPr>
        <w:t xml:space="preserve"> </w:t>
      </w:r>
    </w:p>
    <w:p w:rsidR="001672AD" w:rsidRPr="001672AD" w:rsidRDefault="001672AD" w:rsidP="009813BE">
      <w:pPr>
        <w:pStyle w:val="SingleTxtG"/>
        <w:ind w:left="2268" w:right="621"/>
        <w:rPr>
          <w:bCs/>
        </w:rPr>
      </w:pPr>
      <w:r w:rsidRPr="001672AD">
        <w:rPr>
          <w:bCs/>
        </w:rPr>
        <w:t>The clamps are protected by the substantial brackets on the tank and door from damage during a roll</w:t>
      </w:r>
      <w:r w:rsidR="00E9567E">
        <w:rPr>
          <w:bCs/>
        </w:rPr>
        <w:t>-</w:t>
      </w:r>
      <w:r w:rsidRPr="001672AD">
        <w:rPr>
          <w:bCs/>
        </w:rPr>
        <w:t xml:space="preserve">over. </w:t>
      </w:r>
      <w:r>
        <w:rPr>
          <w:bCs/>
        </w:rPr>
        <w:t>In the event of a roll-over occurring, t</w:t>
      </w:r>
      <w:r w:rsidRPr="001672AD">
        <w:rPr>
          <w:bCs/>
        </w:rPr>
        <w:t xml:space="preserve">he hand wheels </w:t>
      </w:r>
      <w:r>
        <w:rPr>
          <w:bCs/>
        </w:rPr>
        <w:t>are designed to fracture and leave a n</w:t>
      </w:r>
      <w:r w:rsidRPr="001672AD">
        <w:rPr>
          <w:bCs/>
        </w:rPr>
        <w:t>ut securing the door in place.</w:t>
      </w:r>
    </w:p>
    <w:p w:rsidR="001672AD" w:rsidRPr="001672AD" w:rsidRDefault="001672AD" w:rsidP="001672AD">
      <w:pPr>
        <w:pStyle w:val="SingleTxtG"/>
        <w:ind w:right="621"/>
        <w:rPr>
          <w:bCs/>
        </w:rPr>
      </w:pPr>
    </w:p>
    <w:p w:rsidR="001672AD" w:rsidRPr="001672AD" w:rsidRDefault="001672AD" w:rsidP="00775DFD">
      <w:pPr>
        <w:pStyle w:val="SingleTxtG"/>
        <w:ind w:right="621" w:firstLine="1418"/>
        <w:rPr>
          <w:bCs/>
        </w:rPr>
      </w:pPr>
      <w:r w:rsidRPr="001672AD">
        <w:rPr>
          <w:bCs/>
          <w:noProof/>
          <w:lang w:eastAsia="zh-CN"/>
        </w:rPr>
        <w:drawing>
          <wp:inline distT="0" distB="0" distL="0" distR="0">
            <wp:extent cx="2120027" cy="2825750"/>
            <wp:effectExtent l="19050" t="19050" r="13970" b="12700"/>
            <wp:docPr id="26" name="Picture 26" descr="DSCF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F0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651" cy="2849241"/>
                    </a:xfrm>
                    <a:prstGeom prst="rect">
                      <a:avLst/>
                    </a:prstGeom>
                    <a:noFill/>
                    <a:ln w="19050">
                      <a:solidFill>
                        <a:sysClr val="windowText" lastClr="000000"/>
                      </a:solidFill>
                    </a:ln>
                  </pic:spPr>
                </pic:pic>
              </a:graphicData>
            </a:graphic>
          </wp:inline>
        </w:drawing>
      </w:r>
      <w:r w:rsidRPr="001672AD">
        <w:rPr>
          <w:bCs/>
        </w:rPr>
        <w:t xml:space="preserve"> </w:t>
      </w:r>
      <w:r w:rsidR="006C208B">
        <w:rPr>
          <w:bCs/>
        </w:rPr>
        <w:t xml:space="preserve">                         </w:t>
      </w:r>
    </w:p>
    <w:p w:rsidR="001672AD" w:rsidRPr="001672AD" w:rsidRDefault="001672AD" w:rsidP="001672AD">
      <w:pPr>
        <w:pStyle w:val="SingleTxtG"/>
        <w:ind w:right="621"/>
        <w:rPr>
          <w:bCs/>
        </w:rPr>
      </w:pPr>
      <w:r w:rsidRPr="001672AD">
        <w:rPr>
          <w:bCs/>
        </w:rPr>
        <w:lastRenderedPageBreak/>
        <w:t xml:space="preserve"> </w:t>
      </w:r>
      <w:bookmarkStart w:id="3" w:name="_GoBack"/>
      <w:bookmarkEnd w:id="3"/>
    </w:p>
    <w:p w:rsidR="001672AD" w:rsidRPr="001672AD" w:rsidRDefault="006C208B" w:rsidP="009813BE">
      <w:pPr>
        <w:pStyle w:val="SingleTxtG"/>
        <w:ind w:left="2268" w:right="621"/>
        <w:rPr>
          <w:bCs/>
        </w:rPr>
      </w:pPr>
      <w:r>
        <w:rPr>
          <w:bCs/>
        </w:rPr>
        <w:t xml:space="preserve">It should be noted that, as required by ADR 6.10.3.5 (d), the above locking arrangement incorporates a </w:t>
      </w:r>
      <w:r w:rsidR="001672AD" w:rsidRPr="001672AD">
        <w:rPr>
          <w:bCs/>
        </w:rPr>
        <w:t xml:space="preserve">safety device to prevent the door opening when there is still residual pressure in the tank. </w:t>
      </w:r>
    </w:p>
    <w:p w:rsidR="001672AD" w:rsidRPr="001672AD" w:rsidRDefault="001672AD" w:rsidP="001672AD">
      <w:pPr>
        <w:pStyle w:val="SingleTxtG"/>
        <w:ind w:right="621"/>
        <w:rPr>
          <w:bCs/>
        </w:rPr>
      </w:pPr>
    </w:p>
    <w:p w:rsidR="001672AD" w:rsidRPr="001672AD" w:rsidRDefault="001672AD" w:rsidP="001A6463">
      <w:pPr>
        <w:pStyle w:val="SingleTxtG"/>
        <w:ind w:right="621" w:firstLine="1134"/>
        <w:rPr>
          <w:bCs/>
        </w:rPr>
      </w:pPr>
      <w:r w:rsidRPr="001672AD">
        <w:rPr>
          <w:bCs/>
          <w:noProof/>
          <w:lang w:eastAsia="zh-CN"/>
        </w:rPr>
        <mc:AlternateContent>
          <mc:Choice Requires="wps">
            <w:drawing>
              <wp:anchor distT="0" distB="0" distL="114300" distR="114300" simplePos="0" relativeHeight="251667456" behindDoc="0" locked="0" layoutInCell="1" allowOverlap="1" wp14:anchorId="51DDB47B" wp14:editId="4161C2DA">
                <wp:simplePos x="0" y="0"/>
                <wp:positionH relativeFrom="column">
                  <wp:posOffset>3883660</wp:posOffset>
                </wp:positionH>
                <wp:positionV relativeFrom="paragraph">
                  <wp:posOffset>1243965</wp:posOffset>
                </wp:positionV>
                <wp:extent cx="952500" cy="288290"/>
                <wp:effectExtent l="1314450" t="0" r="19050" b="16510"/>
                <wp:wrapNone/>
                <wp:docPr id="13" name="Rectangular Callout 13"/>
                <wp:cNvGraphicFramePr/>
                <a:graphic xmlns:a="http://schemas.openxmlformats.org/drawingml/2006/main">
                  <a:graphicData uri="http://schemas.microsoft.com/office/word/2010/wordprocessingShape">
                    <wps:wsp>
                      <wps:cNvSpPr/>
                      <wps:spPr>
                        <a:xfrm>
                          <a:off x="0" y="0"/>
                          <a:ext cx="952500" cy="288290"/>
                        </a:xfrm>
                        <a:prstGeom prst="wedgeRectCallout">
                          <a:avLst>
                            <a:gd name="adj1" fmla="val -186718"/>
                            <a:gd name="adj2" fmla="val 9256"/>
                          </a:avLst>
                        </a:prstGeom>
                      </wps:spPr>
                      <wps:style>
                        <a:lnRef idx="2">
                          <a:schemeClr val="dk1"/>
                        </a:lnRef>
                        <a:fillRef idx="1">
                          <a:schemeClr val="lt1"/>
                        </a:fillRef>
                        <a:effectRef idx="0">
                          <a:schemeClr val="dk1"/>
                        </a:effectRef>
                        <a:fontRef idx="minor">
                          <a:schemeClr val="dk1"/>
                        </a:fontRef>
                      </wps:style>
                      <wps:txbx>
                        <w:txbxContent>
                          <w:p w:rsidR="001672AD" w:rsidRDefault="001672AD" w:rsidP="001672AD">
                            <w:pPr>
                              <w:jc w:val="center"/>
                            </w:pPr>
                            <w:r>
                              <w:t>Safety Catch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DDB4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 o:spid="_x0000_s1026" type="#_x0000_t61" style="position:absolute;left:0;text-align:left;margin-left:305.8pt;margin-top:97.95pt;width:7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" adj="-29531,12799" fillcolor="white [3201]" strokecolor="black [3200]" strokeweight="2pt">
                <v:textbox>
                  <w:txbxContent>
                    <w:p w:rsidR="001672AD" w:rsidRDefault="001672AD" w:rsidP="001672AD">
                      <w:pPr>
                        <w:jc w:val="center"/>
                      </w:pPr>
                      <w:r>
                        <w:t>Safety Catch</w:t>
                      </w:r>
                    </w:p>
                  </w:txbxContent>
                </v:textbox>
              </v:shape>
            </w:pict>
          </mc:Fallback>
        </mc:AlternateContent>
      </w:r>
      <w:r w:rsidRPr="001672AD">
        <w:rPr>
          <w:bCs/>
          <w:noProof/>
          <w:lang w:eastAsia="zh-CN"/>
        </w:rPr>
        <w:drawing>
          <wp:inline distT="0" distB="0" distL="0" distR="0" wp14:anchorId="5E7D0746" wp14:editId="7D8CFFB6">
            <wp:extent cx="3145790" cy="1739686"/>
            <wp:effectExtent l="19050" t="19050" r="16510" b="13335"/>
            <wp:docPr id="1" name="Picture 1" descr="DSCF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F0022"/>
                    <pic:cNvPicPr>
                      <a:picLocks noChangeAspect="1" noChangeArrowheads="1"/>
                    </pic:cNvPicPr>
                  </pic:nvPicPr>
                  <pic:blipFill rotWithShape="1">
                    <a:blip r:embed="rId8">
                      <a:extLst>
                        <a:ext uri="{28A0092B-C50C-407E-A947-70E740481C1C}">
                          <a14:useLocalDpi xmlns:a14="http://schemas.microsoft.com/office/drawing/2010/main" val="0"/>
                        </a:ext>
                      </a:extLst>
                    </a:blip>
                    <a:srcRect l="16935" t="22122" b="43454"/>
                    <a:stretch/>
                  </pic:blipFill>
                  <pic:spPr bwMode="auto">
                    <a:xfrm>
                      <a:off x="0" y="0"/>
                      <a:ext cx="3157270" cy="1746035"/>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C208B" w:rsidRDefault="006C208B" w:rsidP="001672AD">
      <w:pPr>
        <w:pStyle w:val="SingleTxtG"/>
        <w:ind w:right="621"/>
        <w:rPr>
          <w:b/>
          <w:bCs/>
        </w:rPr>
      </w:pPr>
    </w:p>
    <w:p w:rsidR="006C208B" w:rsidRDefault="00DB0112" w:rsidP="00DB0112">
      <w:pPr>
        <w:pStyle w:val="SingleTxtG"/>
        <w:ind w:right="621" w:firstLine="567"/>
        <w:rPr>
          <w:bCs/>
        </w:rPr>
      </w:pPr>
      <w:r>
        <w:rPr>
          <w:bCs/>
        </w:rPr>
        <w:t>(b)</w:t>
      </w:r>
      <w:r>
        <w:rPr>
          <w:bCs/>
        </w:rPr>
        <w:tab/>
      </w:r>
      <w:r w:rsidR="001672AD" w:rsidRPr="006C208B">
        <w:rPr>
          <w:bCs/>
        </w:rPr>
        <w:t>H</w:t>
      </w:r>
      <w:r w:rsidR="006C208B">
        <w:rPr>
          <w:bCs/>
        </w:rPr>
        <w:t xml:space="preserve">ydraulic wedge type door clamps. </w:t>
      </w:r>
    </w:p>
    <w:p w:rsidR="001672AD" w:rsidRDefault="001672AD" w:rsidP="009813BE">
      <w:pPr>
        <w:pStyle w:val="SingleTxtG"/>
        <w:ind w:left="2268" w:right="621"/>
        <w:rPr>
          <w:bCs/>
        </w:rPr>
      </w:pPr>
      <w:r w:rsidRPr="001672AD">
        <w:rPr>
          <w:bCs/>
        </w:rPr>
        <w:t>This type of clamp is fully automatic, controlled by hydraulic linear actuators. The wedge on the end of the ram is guided though slotted brackets on the door and the end of the tank vessel and the wedge pulls the seal tight onto the sealing face. The hydraulic oil is locked in the rams preventing the rams from opening.</w:t>
      </w:r>
      <w:r w:rsidR="006C208B">
        <w:rPr>
          <w:bCs/>
        </w:rPr>
        <w:t xml:space="preserve"> </w:t>
      </w:r>
      <w:r w:rsidRPr="001672AD">
        <w:rPr>
          <w:bCs/>
        </w:rPr>
        <w:t xml:space="preserve">The position of the rams around the door ring </w:t>
      </w:r>
      <w:r w:rsidR="006F7223">
        <w:rPr>
          <w:bCs/>
        </w:rPr>
        <w:t xml:space="preserve">is likely to ensure </w:t>
      </w:r>
      <w:r w:rsidR="003B6EC4">
        <w:rPr>
          <w:bCs/>
        </w:rPr>
        <w:t xml:space="preserve">that the openable end is not forced open </w:t>
      </w:r>
      <w:r w:rsidRPr="001672AD">
        <w:rPr>
          <w:bCs/>
        </w:rPr>
        <w:t>in the event of a roll</w:t>
      </w:r>
      <w:r w:rsidR="003B6EC4">
        <w:rPr>
          <w:bCs/>
        </w:rPr>
        <w:t>-</w:t>
      </w:r>
      <w:r w:rsidRPr="001672AD">
        <w:rPr>
          <w:bCs/>
        </w:rPr>
        <w:t xml:space="preserve">over </w:t>
      </w:r>
      <w:r w:rsidR="00080820">
        <w:rPr>
          <w:bCs/>
        </w:rPr>
        <w:t xml:space="preserve">and allow the loss of </w:t>
      </w:r>
      <w:r w:rsidR="006F7223">
        <w:rPr>
          <w:bCs/>
        </w:rPr>
        <w:t xml:space="preserve">any </w:t>
      </w:r>
      <w:r w:rsidR="00080820">
        <w:rPr>
          <w:bCs/>
        </w:rPr>
        <w:t>product</w:t>
      </w:r>
      <w:r w:rsidR="006F7223">
        <w:rPr>
          <w:bCs/>
        </w:rPr>
        <w:t>s</w:t>
      </w:r>
      <w:r w:rsidR="00080820">
        <w:rPr>
          <w:bCs/>
        </w:rPr>
        <w:t xml:space="preserve"> being carried</w:t>
      </w:r>
      <w:r w:rsidRPr="001672AD">
        <w:rPr>
          <w:bCs/>
        </w:rPr>
        <w:t>.</w:t>
      </w:r>
    </w:p>
    <w:p w:rsidR="006C208B" w:rsidRPr="001672AD" w:rsidRDefault="006C208B" w:rsidP="009813BE">
      <w:pPr>
        <w:pStyle w:val="SingleTxtG"/>
        <w:ind w:left="2268" w:right="621"/>
        <w:rPr>
          <w:bCs/>
        </w:rPr>
      </w:pPr>
    </w:p>
    <w:p w:rsidR="001672AD" w:rsidRPr="001672AD" w:rsidRDefault="001672AD" w:rsidP="00775DFD">
      <w:pPr>
        <w:pStyle w:val="SingleTxtG"/>
        <w:ind w:right="621" w:firstLine="1134"/>
        <w:rPr>
          <w:bCs/>
        </w:rPr>
      </w:pPr>
      <w:r w:rsidRPr="001672AD">
        <w:rPr>
          <w:bCs/>
          <w:noProof/>
          <w:lang w:eastAsia="zh-CN"/>
        </w:rPr>
        <w:drawing>
          <wp:inline distT="0" distB="0" distL="0" distR="0">
            <wp:extent cx="2855768" cy="3079750"/>
            <wp:effectExtent l="19050" t="19050" r="20955" b="25400"/>
            <wp:docPr id="25" name="Picture 25" descr="IMG_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1202"/>
                    <pic:cNvPicPr>
                      <a:picLocks noChangeAspect="1" noChangeArrowheads="1"/>
                    </pic:cNvPicPr>
                  </pic:nvPicPr>
                  <pic:blipFill>
                    <a:blip r:embed="rId9" cstate="print">
                      <a:extLst>
                        <a:ext uri="{28A0092B-C50C-407E-A947-70E740481C1C}">
                          <a14:useLocalDpi xmlns:a14="http://schemas.microsoft.com/office/drawing/2010/main" val="0"/>
                        </a:ext>
                      </a:extLst>
                    </a:blip>
                    <a:srcRect b="19087"/>
                    <a:stretch>
                      <a:fillRect/>
                    </a:stretch>
                  </pic:blipFill>
                  <pic:spPr bwMode="auto">
                    <a:xfrm>
                      <a:off x="0" y="0"/>
                      <a:ext cx="2858598" cy="3082802"/>
                    </a:xfrm>
                    <a:prstGeom prst="rect">
                      <a:avLst/>
                    </a:prstGeom>
                    <a:noFill/>
                    <a:ln w="19050">
                      <a:solidFill>
                        <a:srgbClr val="000000"/>
                      </a:solidFill>
                    </a:ln>
                  </pic:spPr>
                </pic:pic>
              </a:graphicData>
            </a:graphic>
          </wp:inline>
        </w:drawing>
      </w:r>
    </w:p>
    <w:p w:rsidR="00775DFD" w:rsidRPr="00775DFD" w:rsidRDefault="00775DFD" w:rsidP="009813BE">
      <w:pPr>
        <w:pStyle w:val="SingleTxtG"/>
        <w:ind w:right="621" w:firstLine="567"/>
        <w:rPr>
          <w:bCs/>
        </w:rPr>
      </w:pPr>
      <w:r w:rsidRPr="00775DFD">
        <w:rPr>
          <w:bCs/>
        </w:rPr>
        <w:t>(c</w:t>
      </w:r>
      <w:r w:rsidR="009813BE">
        <w:rPr>
          <w:bCs/>
        </w:rPr>
        <w:t>)</w:t>
      </w:r>
      <w:r w:rsidR="009813BE">
        <w:rPr>
          <w:bCs/>
        </w:rPr>
        <w:tab/>
      </w:r>
      <w:r w:rsidRPr="00775DFD">
        <w:rPr>
          <w:bCs/>
        </w:rPr>
        <w:t>Hydraulic over centre type clamps</w:t>
      </w:r>
    </w:p>
    <w:p w:rsidR="001672AD" w:rsidRPr="001672AD" w:rsidRDefault="001672AD" w:rsidP="009813BE">
      <w:pPr>
        <w:pStyle w:val="SingleTxtG"/>
        <w:ind w:left="2268" w:right="621"/>
        <w:rPr>
          <w:bCs/>
        </w:rPr>
      </w:pPr>
      <w:r w:rsidRPr="001672AD">
        <w:rPr>
          <w:bCs/>
        </w:rPr>
        <w:t xml:space="preserve">This type of clamp is fully automatic, controlled by hydraulic linear actuators. A hook style clamp is connected to a hydraulic ram with a series of linkages. </w:t>
      </w:r>
      <w:r w:rsidRPr="001672AD">
        <w:rPr>
          <w:bCs/>
        </w:rPr>
        <w:lastRenderedPageBreak/>
        <w:t>When the ram extends</w:t>
      </w:r>
      <w:r w:rsidR="00775DFD">
        <w:rPr>
          <w:bCs/>
        </w:rPr>
        <w:t>,</w:t>
      </w:r>
      <w:r w:rsidRPr="001672AD">
        <w:rPr>
          <w:bCs/>
        </w:rPr>
        <w:t xml:space="preserve"> the hook clamp rotates on a pivot and clamps the door shut. </w:t>
      </w:r>
    </w:p>
    <w:p w:rsidR="001672AD" w:rsidRPr="001672AD" w:rsidRDefault="001672AD" w:rsidP="001672AD">
      <w:pPr>
        <w:pStyle w:val="SingleTxtG"/>
        <w:ind w:right="621"/>
        <w:rPr>
          <w:bCs/>
        </w:rPr>
      </w:pPr>
    </w:p>
    <w:p w:rsidR="00080820" w:rsidRDefault="001672AD" w:rsidP="00080820">
      <w:pPr>
        <w:pStyle w:val="SingleTxtG"/>
        <w:ind w:right="621" w:firstLine="426"/>
        <w:rPr>
          <w:bCs/>
        </w:rPr>
      </w:pPr>
      <w:r w:rsidRPr="001672AD">
        <w:rPr>
          <w:bCs/>
          <w:noProof/>
          <w:lang w:eastAsia="zh-CN"/>
        </w:rPr>
        <w:drawing>
          <wp:inline distT="0" distB="0" distL="0" distR="0">
            <wp:extent cx="3619500" cy="1346174"/>
            <wp:effectExtent l="19050" t="19050" r="19050" b="26035"/>
            <wp:docPr id="24" name="Picture 24" descr="Over Centre Clamp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ver Centre Clamps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04" r="2397"/>
                    <a:stretch/>
                  </pic:blipFill>
                  <pic:spPr bwMode="auto">
                    <a:xfrm>
                      <a:off x="0" y="0"/>
                      <a:ext cx="3619500" cy="1346174"/>
                    </a:xfrm>
                    <a:prstGeom prst="rect">
                      <a:avLst/>
                    </a:prstGeom>
                    <a:noFill/>
                    <a:ln w="190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380694" w:rsidRDefault="00502140" w:rsidP="00BD2F64">
      <w:pPr>
        <w:pStyle w:val="SingleTxtG"/>
        <w:ind w:right="621"/>
        <w:rPr>
          <w:bCs/>
          <w:lang w:val="en-US"/>
        </w:rPr>
      </w:pPr>
      <w:r>
        <w:rPr>
          <w:bCs/>
        </w:rPr>
        <w:t>6</w:t>
      </w:r>
      <w:r w:rsidR="00380694">
        <w:rPr>
          <w:bCs/>
        </w:rPr>
        <w:t>.</w:t>
      </w:r>
      <w:r w:rsidR="00380694">
        <w:rPr>
          <w:bCs/>
        </w:rPr>
        <w:tab/>
      </w:r>
      <w:r w:rsidR="009D612A">
        <w:rPr>
          <w:bCs/>
        </w:rPr>
        <w:t xml:space="preserve">In our opinion the </w:t>
      </w:r>
      <w:r w:rsidR="00380694">
        <w:rPr>
          <w:bCs/>
        </w:rPr>
        <w:t>examples shown in (a) and (b) above</w:t>
      </w:r>
      <w:r w:rsidR="00BD2F64">
        <w:rPr>
          <w:bCs/>
        </w:rPr>
        <w:t xml:space="preserve"> would seem to meet the requirements of </w:t>
      </w:r>
      <w:r w:rsidR="00BD2F64" w:rsidRPr="00BD2F64">
        <w:rPr>
          <w:bCs/>
          <w:lang w:val="en-US"/>
        </w:rPr>
        <w:t>6.10.3.5</w:t>
      </w:r>
      <w:r w:rsidR="00BD2F64">
        <w:rPr>
          <w:bCs/>
          <w:lang w:val="en-US"/>
        </w:rPr>
        <w:t xml:space="preserve"> (e). In respect to example (c) however, </w:t>
      </w:r>
      <w:r w:rsidR="00BD2F64">
        <w:rPr>
          <w:bCs/>
        </w:rPr>
        <w:t>given the door clamping mechanism would appear to be vulnerable to damage and allow the door to be forced open</w:t>
      </w:r>
      <w:r w:rsidR="00BD2F64" w:rsidRPr="00BD2F64">
        <w:rPr>
          <w:bCs/>
        </w:rPr>
        <w:t xml:space="preserve"> </w:t>
      </w:r>
      <w:r w:rsidR="00BD2F64">
        <w:rPr>
          <w:bCs/>
        </w:rPr>
        <w:t xml:space="preserve">in the event of a roll-over incident, in our view this design would not seem to meet the requirements of </w:t>
      </w:r>
      <w:r w:rsidR="00BD2F64" w:rsidRPr="00BD2F64">
        <w:rPr>
          <w:bCs/>
          <w:lang w:val="en-US"/>
        </w:rPr>
        <w:t>6.10.3.5</w:t>
      </w:r>
      <w:r w:rsidR="00BD2F64">
        <w:rPr>
          <w:bCs/>
          <w:lang w:val="en-US"/>
        </w:rPr>
        <w:t xml:space="preserve"> (e) unless additional measures </w:t>
      </w:r>
      <w:r w:rsidR="00B8002A">
        <w:rPr>
          <w:bCs/>
          <w:lang w:val="en-US"/>
        </w:rPr>
        <w:t xml:space="preserve">were to </w:t>
      </w:r>
      <w:r w:rsidR="00BD2F64">
        <w:rPr>
          <w:bCs/>
          <w:lang w:val="en-US"/>
        </w:rPr>
        <w:t xml:space="preserve">be put in place to </w:t>
      </w:r>
      <w:r w:rsidR="00BD2F64">
        <w:rPr>
          <w:bCs/>
        </w:rPr>
        <w:t>protect the locking mechanism</w:t>
      </w:r>
      <w:r w:rsidR="00BD2F64">
        <w:rPr>
          <w:bCs/>
          <w:lang w:val="en-US"/>
        </w:rPr>
        <w:t>.</w:t>
      </w:r>
    </w:p>
    <w:p w:rsidR="00BC437C" w:rsidRPr="008556E6" w:rsidRDefault="00BC437C" w:rsidP="00BC437C">
      <w:pPr>
        <w:pStyle w:val="SingleTxtG"/>
        <w:ind w:right="621"/>
        <w:rPr>
          <w:b/>
          <w:bCs/>
          <w:sz w:val="28"/>
          <w:szCs w:val="28"/>
        </w:rPr>
      </w:pPr>
      <w:r>
        <w:rPr>
          <w:b/>
          <w:bCs/>
          <w:sz w:val="28"/>
          <w:szCs w:val="28"/>
        </w:rPr>
        <w:t xml:space="preserve">Conclusion  </w:t>
      </w:r>
      <w:r w:rsidRPr="008556E6">
        <w:rPr>
          <w:b/>
          <w:bCs/>
          <w:sz w:val="28"/>
          <w:szCs w:val="28"/>
        </w:rPr>
        <w:t xml:space="preserve"> </w:t>
      </w:r>
      <w:r w:rsidRPr="004850BD">
        <w:rPr>
          <w:bCs/>
        </w:rPr>
        <w:t xml:space="preserve"> </w:t>
      </w:r>
    </w:p>
    <w:p w:rsidR="00BC437C" w:rsidRDefault="00502140" w:rsidP="00BC437C">
      <w:pPr>
        <w:pStyle w:val="SingleTxtG"/>
        <w:ind w:right="621"/>
        <w:rPr>
          <w:lang w:val="en-US"/>
        </w:rPr>
      </w:pPr>
      <w:r>
        <w:rPr>
          <w:bCs/>
        </w:rPr>
        <w:t>7</w:t>
      </w:r>
      <w:r w:rsidR="00BD2F64">
        <w:rPr>
          <w:bCs/>
        </w:rPr>
        <w:t>.</w:t>
      </w:r>
      <w:r w:rsidR="00BD2F64">
        <w:rPr>
          <w:bCs/>
        </w:rPr>
        <w:tab/>
        <w:t xml:space="preserve">To ensure a consistent approach to </w:t>
      </w:r>
      <w:r w:rsidR="00BC437C">
        <w:rPr>
          <w:bCs/>
        </w:rPr>
        <w:t>interpreting the requirements of 6.10.3.5</w:t>
      </w:r>
      <w:r w:rsidR="008B7241">
        <w:rPr>
          <w:bCs/>
        </w:rPr>
        <w:t xml:space="preserve"> (e)</w:t>
      </w:r>
      <w:r w:rsidR="00BC437C">
        <w:rPr>
          <w:bCs/>
        </w:rPr>
        <w:t xml:space="preserve">, we </w:t>
      </w:r>
      <w:r w:rsidR="00BC437C">
        <w:rPr>
          <w:lang w:val="en-US"/>
        </w:rPr>
        <w:t xml:space="preserve">would </w:t>
      </w:r>
      <w:r>
        <w:rPr>
          <w:lang w:val="en-US"/>
        </w:rPr>
        <w:t xml:space="preserve">welcome an exchange of views </w:t>
      </w:r>
      <w:r w:rsidR="00E9567E">
        <w:rPr>
          <w:lang w:val="en-US"/>
        </w:rPr>
        <w:t xml:space="preserve">with </w:t>
      </w:r>
      <w:r w:rsidR="00BC437C">
        <w:rPr>
          <w:lang w:val="en-US"/>
        </w:rPr>
        <w:t xml:space="preserve">other </w:t>
      </w:r>
      <w:r w:rsidR="00BC437C" w:rsidRPr="00F90641">
        <w:t>member countries as to whether</w:t>
      </w:r>
      <w:r w:rsidR="00BC437C">
        <w:t xml:space="preserve">, in their </w:t>
      </w:r>
      <w:r w:rsidR="00BC437C" w:rsidRPr="00F90641">
        <w:t>opinion</w:t>
      </w:r>
      <w:r w:rsidR="00BC437C">
        <w:t>, the UK interpretation of this section concurs with their understanding of the requirements.</w:t>
      </w:r>
    </w:p>
    <w:p w:rsidR="00A11D2E" w:rsidRPr="00A11D2E" w:rsidRDefault="00A11D2E" w:rsidP="00E70778">
      <w:pPr>
        <w:pStyle w:val="SingleTxtG"/>
        <w:spacing w:before="240" w:after="0"/>
        <w:jc w:val="center"/>
        <w:rPr>
          <w:b/>
          <w:u w:val="single"/>
        </w:rPr>
      </w:pPr>
      <w:r>
        <w:rPr>
          <w:b/>
          <w:u w:val="single"/>
        </w:rPr>
        <w:tab/>
      </w:r>
      <w:r>
        <w:rPr>
          <w:b/>
          <w:u w:val="single"/>
        </w:rPr>
        <w:tab/>
      </w:r>
      <w:r>
        <w:rPr>
          <w:b/>
          <w:u w:val="single"/>
        </w:rPr>
        <w:tab/>
      </w:r>
    </w:p>
    <w:sectPr w:rsidR="00A11D2E" w:rsidRPr="00A11D2E" w:rsidSect="001A6463">
      <w:headerReference w:type="even" r:id="rId11"/>
      <w:headerReference w:type="default" r:id="rId12"/>
      <w:footerReference w:type="even" r:id="rId13"/>
      <w:footerReference w:type="default" r:id="rId14"/>
      <w:footnotePr>
        <w:numFmt w:val="chicago"/>
      </w:footnotePr>
      <w:endnotePr>
        <w:numFmt w:val="decimal"/>
      </w:endnotePr>
      <w:type w:val="continuous"/>
      <w:pgSz w:w="11907" w:h="16840" w:code="9"/>
      <w:pgMar w:top="1701" w:right="1647"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E1" w:rsidRDefault="00792EE1"/>
  </w:endnote>
  <w:endnote w:type="continuationSeparator" w:id="0">
    <w:p w:rsidR="00792EE1" w:rsidRDefault="00792EE1"/>
  </w:endnote>
  <w:endnote w:type="continuationNotice" w:id="1">
    <w:p w:rsidR="00792EE1" w:rsidRDefault="00792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1468C">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1468C">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E1" w:rsidRPr="000B175B" w:rsidRDefault="00792EE1" w:rsidP="000B175B">
      <w:pPr>
        <w:tabs>
          <w:tab w:val="right" w:pos="2155"/>
        </w:tabs>
        <w:spacing w:after="80"/>
        <w:ind w:left="680"/>
        <w:rPr>
          <w:u w:val="single"/>
        </w:rPr>
      </w:pPr>
      <w:r>
        <w:rPr>
          <w:u w:val="single"/>
        </w:rPr>
        <w:tab/>
      </w:r>
    </w:p>
  </w:footnote>
  <w:footnote w:type="continuationSeparator" w:id="0">
    <w:p w:rsidR="00792EE1" w:rsidRPr="00FC68B7" w:rsidRDefault="00792EE1" w:rsidP="00FC68B7">
      <w:pPr>
        <w:tabs>
          <w:tab w:val="left" w:pos="2155"/>
        </w:tabs>
        <w:spacing w:after="80"/>
        <w:ind w:left="680"/>
        <w:rPr>
          <w:u w:val="single"/>
        </w:rPr>
      </w:pPr>
      <w:r>
        <w:rPr>
          <w:u w:val="single"/>
        </w:rPr>
        <w:tab/>
      </w:r>
    </w:p>
  </w:footnote>
  <w:footnote w:type="continuationNotice" w:id="1">
    <w:p w:rsidR="00792EE1" w:rsidRDefault="00792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48" w:rsidRPr="009D2A5B" w:rsidRDefault="00DB0112" w:rsidP="008D6CB9">
    <w:pPr>
      <w:pStyle w:val="Header"/>
      <w:tabs>
        <w:tab w:val="right" w:pos="9126"/>
      </w:tabs>
    </w:pPr>
    <w:r>
      <w:t>INF.3</w:t>
    </w:r>
    <w:r w:rsidR="009813BE">
      <w:t>0</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48" w:rsidRPr="00DB0112" w:rsidRDefault="00DB0112" w:rsidP="009D2A5B">
    <w:pPr>
      <w:pStyle w:val="Header"/>
      <w:jc w:val="right"/>
      <w:rPr>
        <w:lang w:val="fr-CH"/>
      </w:rPr>
    </w:pPr>
    <w:r>
      <w:rPr>
        <w:lang w:val="fr-CH"/>
      </w:rPr>
      <w:t>INF.3</w:t>
    </w:r>
    <w:r w:rsidR="00E1468C">
      <w:rPr>
        <w:lang w:val="fr-CH"/>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23"/>
  </w:num>
  <w:num w:numId="15">
    <w:abstractNumId w:val="14"/>
  </w:num>
  <w:num w:numId="16">
    <w:abstractNumId w:val="11"/>
  </w:num>
  <w:num w:numId="17">
    <w:abstractNumId w:val="22"/>
  </w:num>
  <w:num w:numId="18">
    <w:abstractNumId w:val="28"/>
  </w:num>
  <w:num w:numId="19">
    <w:abstractNumId w:val="25"/>
  </w:num>
  <w:num w:numId="20">
    <w:abstractNumId w:val="12"/>
  </w:num>
  <w:num w:numId="21">
    <w:abstractNumId w:val="15"/>
  </w:num>
  <w:num w:numId="22">
    <w:abstractNumId w:val="18"/>
  </w:num>
  <w:num w:numId="23">
    <w:abstractNumId w:val="26"/>
  </w:num>
  <w:num w:numId="24">
    <w:abstractNumId w:val="19"/>
  </w:num>
  <w:num w:numId="25">
    <w:abstractNumId w:val="27"/>
  </w:num>
  <w:num w:numId="26">
    <w:abstractNumId w:val="24"/>
  </w:num>
  <w:num w:numId="27">
    <w:abstractNumId w:val="17"/>
  </w:num>
  <w:num w:numId="28">
    <w:abstractNumId w:val="13"/>
  </w:num>
  <w:num w:numId="2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0BE8"/>
    <w:rsid w:val="00016292"/>
    <w:rsid w:val="0003441A"/>
    <w:rsid w:val="00034A36"/>
    <w:rsid w:val="00037F90"/>
    <w:rsid w:val="00041F40"/>
    <w:rsid w:val="00046B1F"/>
    <w:rsid w:val="000509A7"/>
    <w:rsid w:val="00050F6B"/>
    <w:rsid w:val="000525CD"/>
    <w:rsid w:val="0005583C"/>
    <w:rsid w:val="00057E97"/>
    <w:rsid w:val="00060E4C"/>
    <w:rsid w:val="000705A8"/>
    <w:rsid w:val="00072C8C"/>
    <w:rsid w:val="000733B5"/>
    <w:rsid w:val="00076E7D"/>
    <w:rsid w:val="00077F21"/>
    <w:rsid w:val="00080491"/>
    <w:rsid w:val="00080820"/>
    <w:rsid w:val="0008179C"/>
    <w:rsid w:val="00081815"/>
    <w:rsid w:val="00084FD7"/>
    <w:rsid w:val="00085B9E"/>
    <w:rsid w:val="000931C0"/>
    <w:rsid w:val="0009594B"/>
    <w:rsid w:val="000B0595"/>
    <w:rsid w:val="000B1333"/>
    <w:rsid w:val="000B175B"/>
    <w:rsid w:val="000B3A0F"/>
    <w:rsid w:val="000B4EF7"/>
    <w:rsid w:val="000B642F"/>
    <w:rsid w:val="000C03FF"/>
    <w:rsid w:val="000C2C03"/>
    <w:rsid w:val="000C2D2E"/>
    <w:rsid w:val="000C3415"/>
    <w:rsid w:val="000C4D51"/>
    <w:rsid w:val="000E0415"/>
    <w:rsid w:val="000F239A"/>
    <w:rsid w:val="000F7C0B"/>
    <w:rsid w:val="001103AA"/>
    <w:rsid w:val="00113658"/>
    <w:rsid w:val="0011666B"/>
    <w:rsid w:val="001338CE"/>
    <w:rsid w:val="00141246"/>
    <w:rsid w:val="00150CF1"/>
    <w:rsid w:val="00153B2F"/>
    <w:rsid w:val="00155068"/>
    <w:rsid w:val="0015746D"/>
    <w:rsid w:val="00157732"/>
    <w:rsid w:val="001640D7"/>
    <w:rsid w:val="00165F3A"/>
    <w:rsid w:val="001672AD"/>
    <w:rsid w:val="00174607"/>
    <w:rsid w:val="00174858"/>
    <w:rsid w:val="0017587F"/>
    <w:rsid w:val="001837B1"/>
    <w:rsid w:val="001A0A4C"/>
    <w:rsid w:val="001A6463"/>
    <w:rsid w:val="001A713B"/>
    <w:rsid w:val="001B13A5"/>
    <w:rsid w:val="001B4B04"/>
    <w:rsid w:val="001C0B30"/>
    <w:rsid w:val="001C0FF0"/>
    <w:rsid w:val="001C1EDB"/>
    <w:rsid w:val="001C5FB3"/>
    <w:rsid w:val="001C6663"/>
    <w:rsid w:val="001C7895"/>
    <w:rsid w:val="001D0C8C"/>
    <w:rsid w:val="001D1419"/>
    <w:rsid w:val="001D26DF"/>
    <w:rsid w:val="001D3A03"/>
    <w:rsid w:val="001D5F7D"/>
    <w:rsid w:val="001D7665"/>
    <w:rsid w:val="001D7F46"/>
    <w:rsid w:val="001E0B9E"/>
    <w:rsid w:val="001E6236"/>
    <w:rsid w:val="001E7B67"/>
    <w:rsid w:val="001F3504"/>
    <w:rsid w:val="001F7435"/>
    <w:rsid w:val="00202DA8"/>
    <w:rsid w:val="0021157B"/>
    <w:rsid w:val="00211E0B"/>
    <w:rsid w:val="00212021"/>
    <w:rsid w:val="00212864"/>
    <w:rsid w:val="00217CC1"/>
    <w:rsid w:val="002315E8"/>
    <w:rsid w:val="00253284"/>
    <w:rsid w:val="00256C0A"/>
    <w:rsid w:val="002627D6"/>
    <w:rsid w:val="00267F5F"/>
    <w:rsid w:val="00277C12"/>
    <w:rsid w:val="0028148A"/>
    <w:rsid w:val="00286B4D"/>
    <w:rsid w:val="0029159C"/>
    <w:rsid w:val="002A603B"/>
    <w:rsid w:val="002C3EB2"/>
    <w:rsid w:val="002C69C0"/>
    <w:rsid w:val="002D0A44"/>
    <w:rsid w:val="002D285D"/>
    <w:rsid w:val="002D4643"/>
    <w:rsid w:val="002D4B6C"/>
    <w:rsid w:val="002D79D8"/>
    <w:rsid w:val="002F175C"/>
    <w:rsid w:val="00302E18"/>
    <w:rsid w:val="00304A55"/>
    <w:rsid w:val="00312506"/>
    <w:rsid w:val="003126C9"/>
    <w:rsid w:val="003229D8"/>
    <w:rsid w:val="00324232"/>
    <w:rsid w:val="00324416"/>
    <w:rsid w:val="00351974"/>
    <w:rsid w:val="00352709"/>
    <w:rsid w:val="00371178"/>
    <w:rsid w:val="00380694"/>
    <w:rsid w:val="00381475"/>
    <w:rsid w:val="00392D7D"/>
    <w:rsid w:val="003A39EA"/>
    <w:rsid w:val="003A6810"/>
    <w:rsid w:val="003B095A"/>
    <w:rsid w:val="003B5431"/>
    <w:rsid w:val="003B6EC4"/>
    <w:rsid w:val="003C2CC4"/>
    <w:rsid w:val="003D4B23"/>
    <w:rsid w:val="003D5E89"/>
    <w:rsid w:val="003F01D4"/>
    <w:rsid w:val="003F78E2"/>
    <w:rsid w:val="004059B4"/>
    <w:rsid w:val="00410C89"/>
    <w:rsid w:val="00422E03"/>
    <w:rsid w:val="00426B9B"/>
    <w:rsid w:val="00430EFE"/>
    <w:rsid w:val="004325CB"/>
    <w:rsid w:val="00437C85"/>
    <w:rsid w:val="00441896"/>
    <w:rsid w:val="00442A83"/>
    <w:rsid w:val="00443AB5"/>
    <w:rsid w:val="00452A4C"/>
    <w:rsid w:val="0045495B"/>
    <w:rsid w:val="00462DD9"/>
    <w:rsid w:val="00476932"/>
    <w:rsid w:val="00483694"/>
    <w:rsid w:val="0048397A"/>
    <w:rsid w:val="004850BD"/>
    <w:rsid w:val="004937E8"/>
    <w:rsid w:val="00494398"/>
    <w:rsid w:val="004A12F2"/>
    <w:rsid w:val="004B31D0"/>
    <w:rsid w:val="004C023F"/>
    <w:rsid w:val="004C2461"/>
    <w:rsid w:val="004C7462"/>
    <w:rsid w:val="004D4561"/>
    <w:rsid w:val="004D4E04"/>
    <w:rsid w:val="004D5426"/>
    <w:rsid w:val="004E0C05"/>
    <w:rsid w:val="004E77B2"/>
    <w:rsid w:val="00502140"/>
    <w:rsid w:val="00503DEB"/>
    <w:rsid w:val="00503E2F"/>
    <w:rsid w:val="00504B2D"/>
    <w:rsid w:val="00511A9B"/>
    <w:rsid w:val="0051779B"/>
    <w:rsid w:val="0052136D"/>
    <w:rsid w:val="00522B58"/>
    <w:rsid w:val="005230F9"/>
    <w:rsid w:val="0052775E"/>
    <w:rsid w:val="00535C90"/>
    <w:rsid w:val="00536489"/>
    <w:rsid w:val="005420F2"/>
    <w:rsid w:val="00543785"/>
    <w:rsid w:val="00545927"/>
    <w:rsid w:val="00546993"/>
    <w:rsid w:val="005469E1"/>
    <w:rsid w:val="00546AD4"/>
    <w:rsid w:val="005628B6"/>
    <w:rsid w:val="00570F9C"/>
    <w:rsid w:val="00584EA7"/>
    <w:rsid w:val="00597EDC"/>
    <w:rsid w:val="005A575C"/>
    <w:rsid w:val="005A5FB7"/>
    <w:rsid w:val="005B3DB3"/>
    <w:rsid w:val="005B4E13"/>
    <w:rsid w:val="005B6F2D"/>
    <w:rsid w:val="005E0180"/>
    <w:rsid w:val="005E6A77"/>
    <w:rsid w:val="005F58C6"/>
    <w:rsid w:val="005F7B75"/>
    <w:rsid w:val="006001EE"/>
    <w:rsid w:val="00605042"/>
    <w:rsid w:val="00606EFA"/>
    <w:rsid w:val="00611FC4"/>
    <w:rsid w:val="006176FB"/>
    <w:rsid w:val="00622F39"/>
    <w:rsid w:val="00623FE6"/>
    <w:rsid w:val="00630417"/>
    <w:rsid w:val="00640B26"/>
    <w:rsid w:val="00652831"/>
    <w:rsid w:val="00652D0A"/>
    <w:rsid w:val="006560FB"/>
    <w:rsid w:val="00656B98"/>
    <w:rsid w:val="006623D5"/>
    <w:rsid w:val="00662BB6"/>
    <w:rsid w:val="00667F8F"/>
    <w:rsid w:val="00673CF4"/>
    <w:rsid w:val="00684C21"/>
    <w:rsid w:val="0069232B"/>
    <w:rsid w:val="006928C7"/>
    <w:rsid w:val="006A2530"/>
    <w:rsid w:val="006A435E"/>
    <w:rsid w:val="006A4452"/>
    <w:rsid w:val="006B09CF"/>
    <w:rsid w:val="006C18C7"/>
    <w:rsid w:val="006C208B"/>
    <w:rsid w:val="006C3589"/>
    <w:rsid w:val="006D37AF"/>
    <w:rsid w:val="006D51D0"/>
    <w:rsid w:val="006E069B"/>
    <w:rsid w:val="006E5117"/>
    <w:rsid w:val="006E564B"/>
    <w:rsid w:val="006E5A69"/>
    <w:rsid w:val="006E6941"/>
    <w:rsid w:val="006E7191"/>
    <w:rsid w:val="006F074A"/>
    <w:rsid w:val="006F7223"/>
    <w:rsid w:val="00703577"/>
    <w:rsid w:val="00705894"/>
    <w:rsid w:val="007106C3"/>
    <w:rsid w:val="00713BE4"/>
    <w:rsid w:val="00716C3D"/>
    <w:rsid w:val="0072632A"/>
    <w:rsid w:val="00731EF3"/>
    <w:rsid w:val="00731FF0"/>
    <w:rsid w:val="007327D5"/>
    <w:rsid w:val="00743B51"/>
    <w:rsid w:val="0074739F"/>
    <w:rsid w:val="00760E7B"/>
    <w:rsid w:val="007611CF"/>
    <w:rsid w:val="007629C8"/>
    <w:rsid w:val="007646F7"/>
    <w:rsid w:val="0077047D"/>
    <w:rsid w:val="0077061D"/>
    <w:rsid w:val="007718A1"/>
    <w:rsid w:val="00775DFD"/>
    <w:rsid w:val="00792EE1"/>
    <w:rsid w:val="00795C2B"/>
    <w:rsid w:val="007A5CCB"/>
    <w:rsid w:val="007B14B1"/>
    <w:rsid w:val="007B6BA5"/>
    <w:rsid w:val="007C12D9"/>
    <w:rsid w:val="007C1348"/>
    <w:rsid w:val="007C24DA"/>
    <w:rsid w:val="007C3390"/>
    <w:rsid w:val="007C4F4B"/>
    <w:rsid w:val="007D1478"/>
    <w:rsid w:val="007D46D5"/>
    <w:rsid w:val="007E01E9"/>
    <w:rsid w:val="007E4C3D"/>
    <w:rsid w:val="007E63F3"/>
    <w:rsid w:val="007F6611"/>
    <w:rsid w:val="007F7106"/>
    <w:rsid w:val="008039B7"/>
    <w:rsid w:val="00811920"/>
    <w:rsid w:val="00815AD0"/>
    <w:rsid w:val="008242D7"/>
    <w:rsid w:val="00824B23"/>
    <w:rsid w:val="008257B1"/>
    <w:rsid w:val="008426D9"/>
    <w:rsid w:val="00843767"/>
    <w:rsid w:val="008521A5"/>
    <w:rsid w:val="00853682"/>
    <w:rsid w:val="00855088"/>
    <w:rsid w:val="008556E6"/>
    <w:rsid w:val="00860BAA"/>
    <w:rsid w:val="008679D9"/>
    <w:rsid w:val="00871389"/>
    <w:rsid w:val="00874CB6"/>
    <w:rsid w:val="008761C5"/>
    <w:rsid w:val="00881C0C"/>
    <w:rsid w:val="00883999"/>
    <w:rsid w:val="008878DE"/>
    <w:rsid w:val="00897832"/>
    <w:rsid w:val="008979B1"/>
    <w:rsid w:val="008A6B25"/>
    <w:rsid w:val="008A6C4F"/>
    <w:rsid w:val="008B2335"/>
    <w:rsid w:val="008B44AB"/>
    <w:rsid w:val="008B6EE5"/>
    <w:rsid w:val="008B717B"/>
    <w:rsid w:val="008B7241"/>
    <w:rsid w:val="008B7D57"/>
    <w:rsid w:val="008D36FF"/>
    <w:rsid w:val="008D6CB9"/>
    <w:rsid w:val="008E0678"/>
    <w:rsid w:val="008E14AC"/>
    <w:rsid w:val="008E1D08"/>
    <w:rsid w:val="008E7526"/>
    <w:rsid w:val="008E7654"/>
    <w:rsid w:val="008F52BC"/>
    <w:rsid w:val="008F6783"/>
    <w:rsid w:val="009001A0"/>
    <w:rsid w:val="00901B81"/>
    <w:rsid w:val="00902EA5"/>
    <w:rsid w:val="00922084"/>
    <w:rsid w:val="0092212D"/>
    <w:rsid w:val="009223CA"/>
    <w:rsid w:val="0092412B"/>
    <w:rsid w:val="00940F93"/>
    <w:rsid w:val="0094558F"/>
    <w:rsid w:val="00955B0D"/>
    <w:rsid w:val="00961690"/>
    <w:rsid w:val="00966FD5"/>
    <w:rsid w:val="0097204D"/>
    <w:rsid w:val="009760F3"/>
    <w:rsid w:val="00977008"/>
    <w:rsid w:val="0098016D"/>
    <w:rsid w:val="009813BE"/>
    <w:rsid w:val="009A0E8D"/>
    <w:rsid w:val="009B1518"/>
    <w:rsid w:val="009B26E7"/>
    <w:rsid w:val="009B6669"/>
    <w:rsid w:val="009C2DFB"/>
    <w:rsid w:val="009C3EED"/>
    <w:rsid w:val="009C454F"/>
    <w:rsid w:val="009C7219"/>
    <w:rsid w:val="009D2A5B"/>
    <w:rsid w:val="009D43AC"/>
    <w:rsid w:val="009D612A"/>
    <w:rsid w:val="009E5F33"/>
    <w:rsid w:val="009F1C6D"/>
    <w:rsid w:val="00A00A3F"/>
    <w:rsid w:val="00A01489"/>
    <w:rsid w:val="00A11B59"/>
    <w:rsid w:val="00A11D2E"/>
    <w:rsid w:val="00A24ABC"/>
    <w:rsid w:val="00A26487"/>
    <w:rsid w:val="00A264FA"/>
    <w:rsid w:val="00A3009E"/>
    <w:rsid w:val="00A3026E"/>
    <w:rsid w:val="00A32E6D"/>
    <w:rsid w:val="00A338F1"/>
    <w:rsid w:val="00A4734E"/>
    <w:rsid w:val="00A52B16"/>
    <w:rsid w:val="00A57E6F"/>
    <w:rsid w:val="00A65F4C"/>
    <w:rsid w:val="00A72F22"/>
    <w:rsid w:val="00A7360F"/>
    <w:rsid w:val="00A748A6"/>
    <w:rsid w:val="00A7668A"/>
    <w:rsid w:val="00A769F4"/>
    <w:rsid w:val="00A776B4"/>
    <w:rsid w:val="00A81407"/>
    <w:rsid w:val="00A9093D"/>
    <w:rsid w:val="00A9142D"/>
    <w:rsid w:val="00A94361"/>
    <w:rsid w:val="00A968DB"/>
    <w:rsid w:val="00AA293C"/>
    <w:rsid w:val="00AD37BF"/>
    <w:rsid w:val="00AD5A18"/>
    <w:rsid w:val="00AD73D1"/>
    <w:rsid w:val="00AE08DA"/>
    <w:rsid w:val="00AE6935"/>
    <w:rsid w:val="00AF15D0"/>
    <w:rsid w:val="00AF3993"/>
    <w:rsid w:val="00AF4CF2"/>
    <w:rsid w:val="00B0251C"/>
    <w:rsid w:val="00B11BB4"/>
    <w:rsid w:val="00B135D4"/>
    <w:rsid w:val="00B175D8"/>
    <w:rsid w:val="00B20AAE"/>
    <w:rsid w:val="00B22BC2"/>
    <w:rsid w:val="00B30179"/>
    <w:rsid w:val="00B36283"/>
    <w:rsid w:val="00B421C1"/>
    <w:rsid w:val="00B42658"/>
    <w:rsid w:val="00B451A0"/>
    <w:rsid w:val="00B55C71"/>
    <w:rsid w:val="00B56E4A"/>
    <w:rsid w:val="00B56E9C"/>
    <w:rsid w:val="00B61320"/>
    <w:rsid w:val="00B63647"/>
    <w:rsid w:val="00B64B1F"/>
    <w:rsid w:val="00B6553F"/>
    <w:rsid w:val="00B70F1E"/>
    <w:rsid w:val="00B77D05"/>
    <w:rsid w:val="00B8002A"/>
    <w:rsid w:val="00B81206"/>
    <w:rsid w:val="00B81E12"/>
    <w:rsid w:val="00B857E8"/>
    <w:rsid w:val="00B85EB1"/>
    <w:rsid w:val="00BA152C"/>
    <w:rsid w:val="00BB7CD1"/>
    <w:rsid w:val="00BC3FA0"/>
    <w:rsid w:val="00BC437C"/>
    <w:rsid w:val="00BC74E9"/>
    <w:rsid w:val="00BD2F64"/>
    <w:rsid w:val="00BD4443"/>
    <w:rsid w:val="00BE3639"/>
    <w:rsid w:val="00BE41CB"/>
    <w:rsid w:val="00BF68A8"/>
    <w:rsid w:val="00C04CD6"/>
    <w:rsid w:val="00C10368"/>
    <w:rsid w:val="00C10584"/>
    <w:rsid w:val="00C10FE6"/>
    <w:rsid w:val="00C11A03"/>
    <w:rsid w:val="00C22C0C"/>
    <w:rsid w:val="00C22E7F"/>
    <w:rsid w:val="00C255AF"/>
    <w:rsid w:val="00C30C61"/>
    <w:rsid w:val="00C35502"/>
    <w:rsid w:val="00C37D52"/>
    <w:rsid w:val="00C40B11"/>
    <w:rsid w:val="00C4527F"/>
    <w:rsid w:val="00C463DD"/>
    <w:rsid w:val="00C4724C"/>
    <w:rsid w:val="00C629A0"/>
    <w:rsid w:val="00C64629"/>
    <w:rsid w:val="00C745C3"/>
    <w:rsid w:val="00C75A77"/>
    <w:rsid w:val="00C76F8B"/>
    <w:rsid w:val="00C92461"/>
    <w:rsid w:val="00CB3A2F"/>
    <w:rsid w:val="00CB3E03"/>
    <w:rsid w:val="00CC2494"/>
    <w:rsid w:val="00CD2761"/>
    <w:rsid w:val="00CE4A8F"/>
    <w:rsid w:val="00CF1EA8"/>
    <w:rsid w:val="00D2031B"/>
    <w:rsid w:val="00D25FE2"/>
    <w:rsid w:val="00D31CEE"/>
    <w:rsid w:val="00D3660A"/>
    <w:rsid w:val="00D43252"/>
    <w:rsid w:val="00D43F92"/>
    <w:rsid w:val="00D47EEA"/>
    <w:rsid w:val="00D550D4"/>
    <w:rsid w:val="00D773DF"/>
    <w:rsid w:val="00D872AC"/>
    <w:rsid w:val="00D90675"/>
    <w:rsid w:val="00D9255F"/>
    <w:rsid w:val="00D95303"/>
    <w:rsid w:val="00D978C6"/>
    <w:rsid w:val="00DA3C1C"/>
    <w:rsid w:val="00DA3C83"/>
    <w:rsid w:val="00DB0112"/>
    <w:rsid w:val="00DB56EC"/>
    <w:rsid w:val="00DD29BD"/>
    <w:rsid w:val="00DE1D53"/>
    <w:rsid w:val="00DF0F0B"/>
    <w:rsid w:val="00DF0F1A"/>
    <w:rsid w:val="00E046DF"/>
    <w:rsid w:val="00E1468C"/>
    <w:rsid w:val="00E15557"/>
    <w:rsid w:val="00E22613"/>
    <w:rsid w:val="00E240D2"/>
    <w:rsid w:val="00E27346"/>
    <w:rsid w:val="00E32D7C"/>
    <w:rsid w:val="00E70778"/>
    <w:rsid w:val="00E71610"/>
    <w:rsid w:val="00E71BC8"/>
    <w:rsid w:val="00E7260F"/>
    <w:rsid w:val="00E73F5D"/>
    <w:rsid w:val="00E77E4E"/>
    <w:rsid w:val="00E804F1"/>
    <w:rsid w:val="00E8771C"/>
    <w:rsid w:val="00E902CF"/>
    <w:rsid w:val="00E9567E"/>
    <w:rsid w:val="00E96630"/>
    <w:rsid w:val="00E97AFF"/>
    <w:rsid w:val="00EA63D6"/>
    <w:rsid w:val="00EB2D92"/>
    <w:rsid w:val="00EB67CF"/>
    <w:rsid w:val="00EC106A"/>
    <w:rsid w:val="00EC1E8A"/>
    <w:rsid w:val="00EC3A21"/>
    <w:rsid w:val="00EC61CF"/>
    <w:rsid w:val="00ED076E"/>
    <w:rsid w:val="00ED3F68"/>
    <w:rsid w:val="00ED7A2A"/>
    <w:rsid w:val="00EE6B3A"/>
    <w:rsid w:val="00EF0973"/>
    <w:rsid w:val="00EF1D7F"/>
    <w:rsid w:val="00F04EEF"/>
    <w:rsid w:val="00F160BB"/>
    <w:rsid w:val="00F31E5F"/>
    <w:rsid w:val="00F32BB7"/>
    <w:rsid w:val="00F47EDC"/>
    <w:rsid w:val="00F51146"/>
    <w:rsid w:val="00F6100A"/>
    <w:rsid w:val="00F63C9D"/>
    <w:rsid w:val="00F66565"/>
    <w:rsid w:val="00F75A16"/>
    <w:rsid w:val="00F90522"/>
    <w:rsid w:val="00F90641"/>
    <w:rsid w:val="00F92A22"/>
    <w:rsid w:val="00F93781"/>
    <w:rsid w:val="00FA35AF"/>
    <w:rsid w:val="00FA6DA6"/>
    <w:rsid w:val="00FB613B"/>
    <w:rsid w:val="00FC3058"/>
    <w:rsid w:val="00FC68B7"/>
    <w:rsid w:val="00FD2318"/>
    <w:rsid w:val="00FE106A"/>
    <w:rsid w:val="00FE297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4C0330"/>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10EB-888E-4F0F-AE43-C46AAB0F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2019-03-15T14:04:00Z</cp:lastPrinted>
  <dcterms:created xsi:type="dcterms:W3CDTF">2019-03-15T14:48:00Z</dcterms:created>
  <dcterms:modified xsi:type="dcterms:W3CDTF">2019-03-15T14:51:00Z</dcterms:modified>
</cp:coreProperties>
</file>