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C072C"/>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C072C" w:rsidP="006C072C">
            <w:pPr>
              <w:jc w:val="right"/>
            </w:pPr>
            <w:r w:rsidRPr="006C072C">
              <w:rPr>
                <w:sz w:val="40"/>
              </w:rPr>
              <w:t>ECE</w:t>
            </w:r>
            <w:r>
              <w:t>/TRANS/WP.15/2019/16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C072C" w:rsidP="00C97039">
            <w:pPr>
              <w:spacing w:before="240"/>
            </w:pPr>
            <w:r>
              <w:t xml:space="preserve">Distr. </w:t>
            </w:r>
            <w:proofErr w:type="gramStart"/>
            <w:r>
              <w:t>générale</w:t>
            </w:r>
            <w:proofErr w:type="gramEnd"/>
          </w:p>
          <w:p w:rsidR="006C072C" w:rsidRDefault="006C072C" w:rsidP="006C072C">
            <w:pPr>
              <w:spacing w:line="240" w:lineRule="exact"/>
            </w:pPr>
            <w:r>
              <w:t>16 août 2019</w:t>
            </w:r>
          </w:p>
          <w:p w:rsidR="006C072C" w:rsidRDefault="006C072C" w:rsidP="006C072C">
            <w:pPr>
              <w:spacing w:line="240" w:lineRule="exact"/>
            </w:pPr>
            <w:r>
              <w:t>Français</w:t>
            </w:r>
          </w:p>
          <w:p w:rsidR="006C072C" w:rsidRPr="00DB58B5" w:rsidRDefault="006C072C" w:rsidP="006C072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6256B6">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6C072C" w:rsidRPr="00300BD6" w:rsidRDefault="006C072C" w:rsidP="006C072C">
      <w:pPr>
        <w:spacing w:before="120" w:after="120" w:line="240" w:lineRule="auto"/>
        <w:rPr>
          <w:b/>
          <w:sz w:val="24"/>
          <w:szCs w:val="24"/>
          <w:lang w:val="fr-FR"/>
        </w:rPr>
      </w:pPr>
      <w:r w:rsidRPr="00445FAD">
        <w:rPr>
          <w:b/>
          <w:bCs/>
          <w:sz w:val="24"/>
          <w:szCs w:val="24"/>
          <w:lang w:val="fr-FR"/>
        </w:rPr>
        <w:t>Groupe de travail des transports de marchandises dangereuses</w:t>
      </w:r>
    </w:p>
    <w:p w:rsidR="006C072C" w:rsidRPr="00300BD6" w:rsidRDefault="006C072C" w:rsidP="006C072C">
      <w:pPr>
        <w:spacing w:line="240" w:lineRule="auto"/>
        <w:rPr>
          <w:b/>
          <w:bCs/>
          <w:lang w:val="fr-FR"/>
        </w:rPr>
      </w:pPr>
      <w:r>
        <w:rPr>
          <w:b/>
          <w:bCs/>
          <w:lang w:val="fr-FR"/>
        </w:rPr>
        <w:t>107</w:t>
      </w:r>
      <w:r w:rsidRPr="006C072C">
        <w:rPr>
          <w:b/>
          <w:bCs/>
          <w:vertAlign w:val="superscript"/>
          <w:lang w:val="fr-FR"/>
        </w:rPr>
        <w:t>e</w:t>
      </w:r>
      <w:r>
        <w:rPr>
          <w:b/>
          <w:bCs/>
          <w:vertAlign w:val="superscript"/>
          <w:lang w:val="fr-FR"/>
        </w:rPr>
        <w:t> </w:t>
      </w:r>
      <w:r>
        <w:rPr>
          <w:b/>
          <w:bCs/>
          <w:lang w:val="fr-FR"/>
        </w:rPr>
        <w:t>session</w:t>
      </w:r>
      <w:r>
        <w:rPr>
          <w:lang w:val="fr-FR"/>
        </w:rPr>
        <w:t xml:space="preserve"> </w:t>
      </w:r>
    </w:p>
    <w:p w:rsidR="006C072C" w:rsidRPr="00300BD6" w:rsidRDefault="006C072C" w:rsidP="006C072C">
      <w:pPr>
        <w:spacing w:line="240" w:lineRule="auto"/>
        <w:rPr>
          <w:lang w:val="fr-FR"/>
        </w:rPr>
      </w:pPr>
      <w:r>
        <w:rPr>
          <w:lang w:val="fr-FR"/>
        </w:rPr>
        <w:t>Genève, 11-15</w:t>
      </w:r>
      <w:r w:rsidR="00DC758D">
        <w:rPr>
          <w:lang w:val="fr-FR"/>
        </w:rPr>
        <w:t> </w:t>
      </w:r>
      <w:r>
        <w:rPr>
          <w:lang w:val="fr-FR"/>
        </w:rPr>
        <w:t>novembre 2019</w:t>
      </w:r>
    </w:p>
    <w:p w:rsidR="006C072C" w:rsidRPr="00300BD6" w:rsidRDefault="006C072C" w:rsidP="006C072C">
      <w:pPr>
        <w:spacing w:line="240" w:lineRule="auto"/>
        <w:rPr>
          <w:lang w:val="fr-FR"/>
        </w:rPr>
      </w:pPr>
      <w:r>
        <w:rPr>
          <w:lang w:val="fr-FR"/>
        </w:rPr>
        <w:t>Point 5 b) de l</w:t>
      </w:r>
      <w:r w:rsidR="006256B6">
        <w:rPr>
          <w:lang w:val="fr-FR"/>
        </w:rPr>
        <w:t>’</w:t>
      </w:r>
      <w:r>
        <w:rPr>
          <w:lang w:val="fr-FR"/>
        </w:rPr>
        <w:t>ordre du jour provisoire</w:t>
      </w:r>
    </w:p>
    <w:p w:rsidR="00F9573C" w:rsidRDefault="006C072C" w:rsidP="006C072C">
      <w:pPr>
        <w:spacing w:line="240" w:lineRule="auto"/>
        <w:rPr>
          <w:b/>
          <w:bCs/>
          <w:lang w:val="fr-FR"/>
        </w:rPr>
      </w:pPr>
      <w:r>
        <w:rPr>
          <w:b/>
          <w:bCs/>
          <w:lang w:val="fr-FR"/>
        </w:rPr>
        <w:t>Propositions d</w:t>
      </w:r>
      <w:r w:rsidR="006256B6">
        <w:rPr>
          <w:b/>
          <w:bCs/>
          <w:lang w:val="fr-FR"/>
        </w:rPr>
        <w:t>’</w:t>
      </w:r>
      <w:r>
        <w:rPr>
          <w:b/>
          <w:bCs/>
          <w:lang w:val="fr-FR"/>
        </w:rPr>
        <w:t>amendement aux annexes</w:t>
      </w:r>
      <w:r w:rsidR="00DC758D">
        <w:rPr>
          <w:b/>
          <w:bCs/>
          <w:lang w:val="fr-FR"/>
        </w:rPr>
        <w:t> </w:t>
      </w:r>
      <w:r>
        <w:rPr>
          <w:b/>
          <w:bCs/>
          <w:lang w:val="fr-FR"/>
        </w:rPr>
        <w:t>A et</w:t>
      </w:r>
      <w:r w:rsidR="00DC758D">
        <w:rPr>
          <w:b/>
          <w:bCs/>
          <w:lang w:val="fr-FR"/>
        </w:rPr>
        <w:t> </w:t>
      </w:r>
      <w:r>
        <w:rPr>
          <w:b/>
          <w:bCs/>
          <w:lang w:val="fr-FR"/>
        </w:rPr>
        <w:t>B de l</w:t>
      </w:r>
      <w:r w:rsidR="006256B6">
        <w:rPr>
          <w:b/>
          <w:bCs/>
          <w:lang w:val="fr-FR"/>
        </w:rPr>
        <w:t>’</w:t>
      </w:r>
      <w:r>
        <w:rPr>
          <w:b/>
          <w:bCs/>
          <w:lang w:val="fr-FR"/>
        </w:rPr>
        <w:t xml:space="preserve">ADR : </w:t>
      </w:r>
      <w:r>
        <w:rPr>
          <w:b/>
          <w:bCs/>
          <w:lang w:val="fr-FR"/>
        </w:rPr>
        <w:br/>
        <w:t>Propositions diverses</w:t>
      </w:r>
    </w:p>
    <w:p w:rsidR="006C072C" w:rsidRPr="00300BD6" w:rsidRDefault="006C072C" w:rsidP="006C072C">
      <w:pPr>
        <w:pStyle w:val="HChG"/>
        <w:rPr>
          <w:lang w:val="fr-FR"/>
        </w:rPr>
      </w:pPr>
      <w:r>
        <w:rPr>
          <w:lang w:val="fr-FR"/>
        </w:rPr>
        <w:tab/>
      </w:r>
      <w:r>
        <w:rPr>
          <w:lang w:val="fr-FR"/>
        </w:rPr>
        <w:tab/>
        <w:t>Chapitre</w:t>
      </w:r>
      <w:r w:rsidR="00DC758D">
        <w:rPr>
          <w:lang w:val="fr-FR"/>
        </w:rPr>
        <w:t> </w:t>
      </w:r>
      <w:r>
        <w:rPr>
          <w:lang w:val="fr-FR"/>
        </w:rPr>
        <w:t xml:space="preserve">8.5 </w:t>
      </w:r>
      <w:r>
        <w:rPr>
          <w:lang w:val="fr-FR"/>
        </w:rPr>
        <w:tab/>
        <w:t xml:space="preserve">Prescriptions relatives à la surveillance </w:t>
      </w:r>
      <w:r w:rsidR="00DC758D">
        <w:rPr>
          <w:lang w:val="fr-FR"/>
        </w:rPr>
        <w:br/>
      </w:r>
      <w:r>
        <w:rPr>
          <w:lang w:val="fr-FR"/>
        </w:rPr>
        <w:t>des véhicules dans les dispositions S1(6), S16 et S21</w:t>
      </w:r>
    </w:p>
    <w:p w:rsidR="006C072C" w:rsidRDefault="006C072C" w:rsidP="00DC758D">
      <w:pPr>
        <w:pStyle w:val="H1G"/>
        <w:rPr>
          <w:lang w:val="fr-FR"/>
        </w:rPr>
      </w:pPr>
      <w:r>
        <w:rPr>
          <w:lang w:val="fr-FR"/>
        </w:rPr>
        <w:tab/>
      </w:r>
      <w:r>
        <w:rPr>
          <w:lang w:val="fr-FR"/>
        </w:rPr>
        <w:tab/>
        <w:t>Communication du Gouvernement suédois</w:t>
      </w:r>
      <w:r w:rsidRPr="00DC758D">
        <w:rPr>
          <w:b w:val="0"/>
          <w:sz w:val="20"/>
          <w:lang w:val="fr-FR"/>
        </w:rPr>
        <w:footnoteReference w:customMarkFollows="1" w:id="2"/>
        <w:sym w:font="Symbol" w:char="F02A"/>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6C072C">
        <w:trPr>
          <w:jc w:val="center"/>
        </w:trPr>
        <w:tc>
          <w:tcPr>
            <w:tcW w:w="9637" w:type="dxa"/>
            <w:shd w:val="clear" w:color="auto" w:fill="auto"/>
          </w:tcPr>
          <w:p w:rsidR="006C072C" w:rsidRDefault="006C072C">
            <w:pPr>
              <w:spacing w:before="240" w:after="120"/>
              <w:ind w:left="255"/>
              <w:rPr>
                <w:i/>
                <w:sz w:val="24"/>
              </w:rPr>
            </w:pPr>
            <w:r>
              <w:rPr>
                <w:i/>
                <w:sz w:val="24"/>
              </w:rPr>
              <w:t>Résumé</w:t>
            </w:r>
          </w:p>
        </w:tc>
      </w:tr>
      <w:tr w:rsidR="006C072C">
        <w:trPr>
          <w:jc w:val="center"/>
        </w:trPr>
        <w:tc>
          <w:tcPr>
            <w:tcW w:w="9637" w:type="dxa"/>
            <w:shd w:val="clear" w:color="auto" w:fill="auto"/>
          </w:tcPr>
          <w:p w:rsidR="006C072C" w:rsidRDefault="006C072C" w:rsidP="006C072C">
            <w:pPr>
              <w:pStyle w:val="SingleTxtG"/>
              <w:ind w:left="3402" w:hanging="2268"/>
            </w:pPr>
            <w:r w:rsidRPr="00661033">
              <w:rPr>
                <w:b/>
                <w:lang w:val="fr-FR"/>
              </w:rPr>
              <w:t xml:space="preserve">Résumé </w:t>
            </w:r>
            <w:r>
              <w:rPr>
                <w:b/>
                <w:lang w:val="fr-FR"/>
              </w:rPr>
              <w:t>analytique</w:t>
            </w:r>
            <w:r w:rsidRPr="00661033">
              <w:rPr>
                <w:b/>
                <w:lang w:val="fr-FR"/>
              </w:rPr>
              <w:t> </w:t>
            </w:r>
            <w:r w:rsidRPr="006C072C">
              <w:t>:</w:t>
            </w:r>
            <w:r w:rsidRPr="00661033">
              <w:rPr>
                <w:lang w:val="fr-FR"/>
              </w:rPr>
              <w:tab/>
              <w:t>Préciser les prescriptions relatives à la surveillance dans les</w:t>
            </w:r>
            <w:r w:rsidR="00496420">
              <w:rPr>
                <w:lang w:val="fr-FR"/>
              </w:rPr>
              <w:t> </w:t>
            </w:r>
            <w:r w:rsidRPr="00661033">
              <w:rPr>
                <w:lang w:val="fr-FR"/>
              </w:rPr>
              <w:t>dispositions S1(6), S16 et S21 du chapitre</w:t>
            </w:r>
            <w:r w:rsidR="00DC758D">
              <w:rPr>
                <w:lang w:val="fr-FR"/>
              </w:rPr>
              <w:t> </w:t>
            </w:r>
            <w:r w:rsidRPr="00661033">
              <w:rPr>
                <w:lang w:val="fr-FR"/>
              </w:rPr>
              <w:t>8.5.</w:t>
            </w:r>
          </w:p>
        </w:tc>
      </w:tr>
      <w:tr w:rsidR="006C072C">
        <w:trPr>
          <w:jc w:val="center"/>
        </w:trPr>
        <w:tc>
          <w:tcPr>
            <w:tcW w:w="9637" w:type="dxa"/>
            <w:shd w:val="clear" w:color="auto" w:fill="auto"/>
          </w:tcPr>
          <w:p w:rsidR="006C072C" w:rsidRDefault="006C072C">
            <w:pPr>
              <w:pStyle w:val="SingleTxtG"/>
            </w:pPr>
            <w:r w:rsidRPr="00661033">
              <w:rPr>
                <w:b/>
                <w:bCs/>
                <w:lang w:val="fr-FR"/>
              </w:rPr>
              <w:t>Mesure à prendre</w:t>
            </w:r>
            <w:r>
              <w:rPr>
                <w:b/>
                <w:bCs/>
                <w:lang w:val="fr-FR"/>
              </w:rPr>
              <w:t> </w:t>
            </w:r>
            <w:r>
              <w:t>:</w:t>
            </w:r>
            <w:r>
              <w:tab/>
            </w:r>
            <w:r>
              <w:rPr>
                <w:lang w:val="fr-FR"/>
              </w:rPr>
              <w:tab/>
            </w:r>
            <w:r w:rsidRPr="00661033">
              <w:rPr>
                <w:lang w:val="fr-FR"/>
              </w:rPr>
              <w:t>Examiner les propositions et se prononcer à leur sujet.</w:t>
            </w:r>
          </w:p>
        </w:tc>
      </w:tr>
      <w:tr w:rsidR="006C072C">
        <w:trPr>
          <w:jc w:val="center"/>
        </w:trPr>
        <w:tc>
          <w:tcPr>
            <w:tcW w:w="9637" w:type="dxa"/>
            <w:shd w:val="clear" w:color="auto" w:fill="auto"/>
          </w:tcPr>
          <w:p w:rsidR="006C072C" w:rsidRDefault="006C072C" w:rsidP="006C072C">
            <w:pPr>
              <w:pStyle w:val="SingleTxtG"/>
              <w:ind w:left="3402" w:hanging="2268"/>
              <w:jc w:val="left"/>
            </w:pPr>
            <w:r w:rsidRPr="00661033">
              <w:rPr>
                <w:b/>
                <w:bCs/>
                <w:lang w:val="fr-FR"/>
              </w:rPr>
              <w:t>Documents de référence</w:t>
            </w:r>
            <w:r>
              <w:rPr>
                <w:b/>
                <w:bCs/>
                <w:lang w:val="fr-FR"/>
              </w:rPr>
              <w:t> </w:t>
            </w:r>
            <w:r>
              <w:t>:</w:t>
            </w:r>
            <w:r w:rsidRPr="00661033">
              <w:rPr>
                <w:lang w:val="fr-FR"/>
              </w:rPr>
              <w:tab/>
              <w:t>Document informel INF.7 de la 103</w:t>
            </w:r>
            <w:r w:rsidRPr="006C072C">
              <w:rPr>
                <w:vertAlign w:val="superscript"/>
                <w:lang w:val="fr-FR"/>
              </w:rPr>
              <w:t>e</w:t>
            </w:r>
            <w:r w:rsidR="00DC758D">
              <w:rPr>
                <w:vertAlign w:val="superscript"/>
                <w:lang w:val="fr-FR"/>
              </w:rPr>
              <w:t> </w:t>
            </w:r>
            <w:r w:rsidRPr="00661033">
              <w:rPr>
                <w:lang w:val="fr-FR"/>
              </w:rPr>
              <w:t>session du Groupe de</w:t>
            </w:r>
            <w:r>
              <w:rPr>
                <w:lang w:val="fr-FR"/>
              </w:rPr>
              <w:t> </w:t>
            </w:r>
            <w:r w:rsidRPr="00661033">
              <w:rPr>
                <w:lang w:val="fr-FR"/>
              </w:rPr>
              <w:t>travail (WP.15)</w:t>
            </w:r>
            <w:r>
              <w:rPr>
                <w:lang w:val="fr-FR"/>
              </w:rPr>
              <w:t>.</w:t>
            </w:r>
          </w:p>
        </w:tc>
      </w:tr>
      <w:tr w:rsidR="006C072C">
        <w:trPr>
          <w:jc w:val="center"/>
        </w:trPr>
        <w:tc>
          <w:tcPr>
            <w:tcW w:w="9637" w:type="dxa"/>
            <w:shd w:val="clear" w:color="auto" w:fill="auto"/>
          </w:tcPr>
          <w:p w:rsidR="006C072C" w:rsidRPr="00300BD6" w:rsidRDefault="006C072C" w:rsidP="006C072C">
            <w:pPr>
              <w:suppressAutoHyphens w:val="0"/>
              <w:spacing w:line="240" w:lineRule="auto"/>
              <w:ind w:left="3402" w:firstLine="6"/>
              <w:rPr>
                <w:rFonts w:eastAsia="Arial"/>
                <w:lang w:val="fr-FR"/>
              </w:rPr>
            </w:pPr>
            <w:r w:rsidRPr="00661033">
              <w:rPr>
                <w:lang w:val="fr-FR"/>
              </w:rPr>
              <w:t>ECE/TRANS/WP.15/239 (rapport de la 103</w:t>
            </w:r>
            <w:r w:rsidRPr="006C072C">
              <w:rPr>
                <w:vertAlign w:val="superscript"/>
                <w:lang w:val="fr-FR"/>
              </w:rPr>
              <w:t>e</w:t>
            </w:r>
            <w:r w:rsidR="00DC758D">
              <w:rPr>
                <w:vertAlign w:val="superscript"/>
                <w:lang w:val="fr-FR"/>
              </w:rPr>
              <w:t> </w:t>
            </w:r>
            <w:r w:rsidRPr="00661033">
              <w:rPr>
                <w:lang w:val="fr-FR"/>
              </w:rPr>
              <w:t>session), par.</w:t>
            </w:r>
            <w:r>
              <w:rPr>
                <w:lang w:val="fr-FR"/>
              </w:rPr>
              <w:t> </w:t>
            </w:r>
            <w:r w:rsidRPr="00661033">
              <w:rPr>
                <w:lang w:val="fr-FR"/>
              </w:rPr>
              <w:t>61 à 65</w:t>
            </w:r>
            <w:r>
              <w:rPr>
                <w:lang w:val="fr-FR"/>
              </w:rPr>
              <w:t> ;</w:t>
            </w:r>
            <w:r w:rsidRPr="00661033">
              <w:rPr>
                <w:lang w:val="fr-FR"/>
              </w:rPr>
              <w:t xml:space="preserve"> </w:t>
            </w:r>
          </w:p>
          <w:p w:rsidR="006C072C" w:rsidRDefault="006C072C" w:rsidP="006C072C">
            <w:pPr>
              <w:pStyle w:val="SingleTxtG"/>
              <w:ind w:left="3402" w:hanging="2268"/>
              <w:jc w:val="left"/>
            </w:pPr>
            <w:r w:rsidRPr="00661033">
              <w:rPr>
                <w:lang w:val="fr-FR"/>
              </w:rPr>
              <w:tab/>
            </w:r>
            <w:r w:rsidRPr="00661033">
              <w:rPr>
                <w:lang w:val="fr-FR"/>
              </w:rPr>
              <w:tab/>
              <w:t>Document informel INF.16 de la 104</w:t>
            </w:r>
            <w:r w:rsidRPr="006C072C">
              <w:rPr>
                <w:vertAlign w:val="superscript"/>
                <w:lang w:val="fr-FR"/>
              </w:rPr>
              <w:t>e</w:t>
            </w:r>
            <w:r w:rsidRPr="00661033">
              <w:rPr>
                <w:lang w:val="fr-FR"/>
              </w:rPr>
              <w:t xml:space="preserve"> session</w:t>
            </w:r>
            <w:r>
              <w:rPr>
                <w:lang w:val="fr-FR"/>
              </w:rPr>
              <w:t>.</w:t>
            </w:r>
          </w:p>
        </w:tc>
      </w:tr>
      <w:tr w:rsidR="006C072C">
        <w:trPr>
          <w:jc w:val="center"/>
        </w:trPr>
        <w:tc>
          <w:tcPr>
            <w:tcW w:w="9637" w:type="dxa"/>
            <w:shd w:val="clear" w:color="auto" w:fill="auto"/>
          </w:tcPr>
          <w:p w:rsidR="006C072C" w:rsidRDefault="006C072C" w:rsidP="006C072C">
            <w:pPr>
              <w:pStyle w:val="SingleTxtG"/>
              <w:ind w:left="3402" w:right="0" w:hanging="2268"/>
              <w:jc w:val="left"/>
            </w:pPr>
            <w:r>
              <w:tab/>
            </w:r>
            <w:r w:rsidRPr="00661033">
              <w:rPr>
                <w:lang w:val="fr-FR"/>
              </w:rPr>
              <w:t>ECE/TRANS/WP.15/242 (rapport de la 104</w:t>
            </w:r>
            <w:r w:rsidRPr="006C072C">
              <w:rPr>
                <w:vertAlign w:val="superscript"/>
                <w:lang w:val="fr-FR"/>
              </w:rPr>
              <w:t>e</w:t>
            </w:r>
            <w:r w:rsidR="00DC758D">
              <w:rPr>
                <w:vertAlign w:val="superscript"/>
                <w:lang w:val="fr-FR"/>
              </w:rPr>
              <w:t> </w:t>
            </w:r>
            <w:r w:rsidRPr="00661033">
              <w:rPr>
                <w:lang w:val="fr-FR"/>
              </w:rPr>
              <w:t>session), par. 55 à 57</w:t>
            </w:r>
            <w:r>
              <w:rPr>
                <w:lang w:val="fr-FR"/>
              </w:rPr>
              <w:t> ;</w:t>
            </w:r>
            <w:r>
              <w:rPr>
                <w:lang w:val="fr-FR"/>
              </w:rPr>
              <w:br/>
            </w:r>
            <w:r w:rsidRPr="00661033">
              <w:rPr>
                <w:lang w:val="fr-FR"/>
              </w:rPr>
              <w:t>Document informel INF.14 de la 105</w:t>
            </w:r>
            <w:r w:rsidRPr="006C072C">
              <w:rPr>
                <w:vertAlign w:val="superscript"/>
                <w:lang w:val="fr-FR"/>
              </w:rPr>
              <w:t>e</w:t>
            </w:r>
            <w:r w:rsidR="00DC758D">
              <w:rPr>
                <w:vertAlign w:val="superscript"/>
                <w:lang w:val="fr-FR"/>
              </w:rPr>
              <w:t> </w:t>
            </w:r>
            <w:r w:rsidRPr="00661033">
              <w:rPr>
                <w:lang w:val="fr-FR"/>
              </w:rPr>
              <w:t>session du WP.15</w:t>
            </w:r>
            <w:r>
              <w:rPr>
                <w:lang w:val="fr-FR"/>
              </w:rPr>
              <w:t>.</w:t>
            </w:r>
          </w:p>
        </w:tc>
      </w:tr>
      <w:tr w:rsidR="006C072C">
        <w:trPr>
          <w:jc w:val="center"/>
        </w:trPr>
        <w:tc>
          <w:tcPr>
            <w:tcW w:w="9637" w:type="dxa"/>
            <w:shd w:val="clear" w:color="auto" w:fill="auto"/>
          </w:tcPr>
          <w:p w:rsidR="006C072C" w:rsidRDefault="006C072C" w:rsidP="006C072C">
            <w:pPr>
              <w:pStyle w:val="SingleTxtG"/>
              <w:ind w:left="3402" w:right="0" w:hanging="2268"/>
              <w:jc w:val="left"/>
            </w:pPr>
            <w:r>
              <w:rPr>
                <w:lang w:val="fr-FR"/>
              </w:rPr>
              <w:tab/>
            </w:r>
            <w:r w:rsidRPr="00661033">
              <w:rPr>
                <w:lang w:val="fr-FR"/>
              </w:rPr>
              <w:t>ECE/TRANS/WP.15/244 (rapport de la 105</w:t>
            </w:r>
            <w:r w:rsidRPr="006C072C">
              <w:rPr>
                <w:vertAlign w:val="superscript"/>
                <w:lang w:val="fr-FR"/>
              </w:rPr>
              <w:t>e</w:t>
            </w:r>
            <w:r w:rsidR="00DC758D">
              <w:rPr>
                <w:vertAlign w:val="superscript"/>
                <w:lang w:val="fr-FR"/>
              </w:rPr>
              <w:t> </w:t>
            </w:r>
            <w:r w:rsidRPr="00661033">
              <w:rPr>
                <w:lang w:val="fr-FR"/>
              </w:rPr>
              <w:t>session), par. 65 à 68</w:t>
            </w:r>
            <w:r>
              <w:rPr>
                <w:lang w:val="fr-FR"/>
              </w:rPr>
              <w:t>.</w:t>
            </w:r>
          </w:p>
        </w:tc>
      </w:tr>
      <w:tr w:rsidR="006C072C">
        <w:trPr>
          <w:jc w:val="center"/>
        </w:trPr>
        <w:tc>
          <w:tcPr>
            <w:tcW w:w="9637" w:type="dxa"/>
            <w:shd w:val="clear" w:color="auto" w:fill="auto"/>
          </w:tcPr>
          <w:p w:rsidR="006C072C" w:rsidRDefault="006C072C" w:rsidP="006C072C">
            <w:pPr>
              <w:pStyle w:val="SingleTxtG"/>
              <w:ind w:left="3402" w:right="0" w:hanging="2268"/>
              <w:jc w:val="left"/>
            </w:pPr>
            <w:r>
              <w:rPr>
                <w:lang w:val="fr-FR"/>
              </w:rPr>
              <w:tab/>
            </w:r>
            <w:r w:rsidRPr="00661033">
              <w:rPr>
                <w:lang w:val="fr-FR"/>
              </w:rPr>
              <w:t>ECE/TRANS/WP.15/2019/12 et document informel INF.19 de la</w:t>
            </w:r>
            <w:r>
              <w:rPr>
                <w:lang w:val="fr-FR"/>
              </w:rPr>
              <w:t> </w:t>
            </w:r>
            <w:r w:rsidRPr="00661033">
              <w:rPr>
                <w:lang w:val="fr-FR"/>
              </w:rPr>
              <w:t>106</w:t>
            </w:r>
            <w:r w:rsidRPr="006C072C">
              <w:rPr>
                <w:vertAlign w:val="superscript"/>
                <w:lang w:val="fr-FR"/>
              </w:rPr>
              <w:t>e</w:t>
            </w:r>
            <w:r>
              <w:rPr>
                <w:vertAlign w:val="superscript"/>
                <w:lang w:val="fr-FR"/>
              </w:rPr>
              <w:t> </w:t>
            </w:r>
            <w:r w:rsidRPr="00661033">
              <w:rPr>
                <w:lang w:val="fr-FR"/>
              </w:rPr>
              <w:t>session du WP.15</w:t>
            </w:r>
            <w:r>
              <w:rPr>
                <w:lang w:val="fr-FR"/>
              </w:rPr>
              <w:t>.</w:t>
            </w:r>
          </w:p>
        </w:tc>
      </w:tr>
      <w:tr w:rsidR="006C072C">
        <w:trPr>
          <w:jc w:val="center"/>
        </w:trPr>
        <w:tc>
          <w:tcPr>
            <w:tcW w:w="9637" w:type="dxa"/>
            <w:shd w:val="clear" w:color="auto" w:fill="auto"/>
          </w:tcPr>
          <w:p w:rsidR="006C072C" w:rsidRDefault="006C072C" w:rsidP="006C072C">
            <w:pPr>
              <w:pStyle w:val="SingleTxtG"/>
              <w:ind w:left="3402" w:right="0" w:hanging="2268"/>
              <w:jc w:val="left"/>
            </w:pPr>
            <w:r>
              <w:rPr>
                <w:lang w:val="fr-FR"/>
              </w:rPr>
              <w:tab/>
            </w:r>
            <w:r w:rsidRPr="00661033">
              <w:rPr>
                <w:lang w:val="fr-FR"/>
              </w:rPr>
              <w:t>ECE/TRANS/WP.15/246 (rapport de la 106</w:t>
            </w:r>
            <w:r w:rsidRPr="006C072C">
              <w:rPr>
                <w:vertAlign w:val="superscript"/>
                <w:lang w:val="fr-FR"/>
              </w:rPr>
              <w:t>e</w:t>
            </w:r>
            <w:r w:rsidR="00DC758D">
              <w:rPr>
                <w:vertAlign w:val="superscript"/>
                <w:lang w:val="fr-FR"/>
              </w:rPr>
              <w:t> </w:t>
            </w:r>
            <w:r w:rsidRPr="00661033">
              <w:rPr>
                <w:lang w:val="fr-FR"/>
              </w:rPr>
              <w:t>session), par.</w:t>
            </w:r>
            <w:r>
              <w:rPr>
                <w:lang w:val="fr-FR"/>
              </w:rPr>
              <w:t> </w:t>
            </w:r>
            <w:r w:rsidRPr="00661033">
              <w:rPr>
                <w:lang w:val="fr-FR"/>
              </w:rPr>
              <w:t>38</w:t>
            </w:r>
            <w:r>
              <w:rPr>
                <w:lang w:val="fr-FR"/>
              </w:rPr>
              <w:t>.</w:t>
            </w:r>
          </w:p>
        </w:tc>
      </w:tr>
      <w:tr w:rsidR="006C072C">
        <w:trPr>
          <w:jc w:val="center"/>
        </w:trPr>
        <w:tc>
          <w:tcPr>
            <w:tcW w:w="9637" w:type="dxa"/>
            <w:shd w:val="clear" w:color="auto" w:fill="auto"/>
          </w:tcPr>
          <w:p w:rsidR="006C072C" w:rsidRDefault="006C072C"/>
        </w:tc>
      </w:tr>
    </w:tbl>
    <w:p w:rsidR="006C072C" w:rsidRDefault="006C072C" w:rsidP="006C072C">
      <w:pPr>
        <w:pStyle w:val="SingleTxtG"/>
      </w:pPr>
    </w:p>
    <w:p w:rsidR="006C072C" w:rsidRPr="006C072C" w:rsidRDefault="006C072C" w:rsidP="006256B6">
      <w:pPr>
        <w:pStyle w:val="HChG"/>
        <w:rPr>
          <w:lang w:val="fr-FR"/>
        </w:rPr>
      </w:pPr>
      <w:r>
        <w:br w:type="page"/>
      </w:r>
      <w:r w:rsidR="006256B6">
        <w:lastRenderedPageBreak/>
        <w:tab/>
      </w:r>
      <w:r w:rsidR="006256B6">
        <w:tab/>
      </w:r>
      <w:r w:rsidRPr="006C072C">
        <w:rPr>
          <w:lang w:val="fr-FR"/>
        </w:rPr>
        <w:t>Introduction</w:t>
      </w:r>
    </w:p>
    <w:p w:rsidR="006C072C" w:rsidRPr="006C072C" w:rsidRDefault="006C072C" w:rsidP="006256B6">
      <w:pPr>
        <w:pStyle w:val="SingleTxtG"/>
      </w:pPr>
      <w:r w:rsidRPr="006C072C">
        <w:rPr>
          <w:lang w:val="fr-FR"/>
        </w:rPr>
        <w:t>1.</w:t>
      </w:r>
      <w:r w:rsidRPr="006C072C">
        <w:rPr>
          <w:lang w:val="fr-FR"/>
        </w:rPr>
        <w:tab/>
        <w:t>Au cours des quatre dernières sessions du WP.15, la Suède a soulevé des questions au sujet de la surveillance des véhicules au titre du chapitre</w:t>
      </w:r>
      <w:r w:rsidR="006256B6">
        <w:rPr>
          <w:lang w:val="fr-FR"/>
        </w:rPr>
        <w:t> </w:t>
      </w:r>
      <w:r w:rsidRPr="006C072C">
        <w:rPr>
          <w:lang w:val="fr-FR"/>
        </w:rPr>
        <w:t>8.5. Dans le cadre de ses travaux, elle a également envoyé un questionnaire sur la situation dans les Parties contractantes à l</w:t>
      </w:r>
      <w:r w:rsidR="006256B6">
        <w:rPr>
          <w:lang w:val="fr-FR"/>
        </w:rPr>
        <w:t>’</w:t>
      </w:r>
      <w:r w:rsidRPr="006C072C">
        <w:rPr>
          <w:lang w:val="fr-FR"/>
        </w:rPr>
        <w:t>ADR afin réunie des informations utiles en vue de préciser les prescriptions S1(6), S16 et</w:t>
      </w:r>
      <w:r w:rsidR="00DC758D">
        <w:rPr>
          <w:lang w:val="fr-FR"/>
        </w:rPr>
        <w:t> </w:t>
      </w:r>
      <w:r w:rsidRPr="006C072C">
        <w:rPr>
          <w:lang w:val="fr-FR"/>
        </w:rPr>
        <w:t>S21 du chapitre</w:t>
      </w:r>
      <w:r w:rsidR="006256B6">
        <w:rPr>
          <w:lang w:val="fr-FR"/>
        </w:rPr>
        <w:t> </w:t>
      </w:r>
      <w:r w:rsidRPr="006C072C">
        <w:rPr>
          <w:lang w:val="fr-FR"/>
        </w:rPr>
        <w:t>8.5.</w:t>
      </w:r>
    </w:p>
    <w:p w:rsidR="006C072C" w:rsidRPr="006C072C" w:rsidRDefault="006C072C" w:rsidP="00DC758D">
      <w:pPr>
        <w:pStyle w:val="H1G"/>
        <w:rPr>
          <w:lang w:val="fr-FR"/>
        </w:rPr>
      </w:pPr>
      <w:r w:rsidRPr="006C072C">
        <w:rPr>
          <w:lang w:val="fr-FR"/>
        </w:rPr>
        <w:tab/>
      </w:r>
      <w:r w:rsidRPr="006C072C">
        <w:rPr>
          <w:lang w:val="fr-FR"/>
        </w:rPr>
        <w:tab/>
        <w:t>Contexte</w:t>
      </w:r>
    </w:p>
    <w:p w:rsidR="006C072C" w:rsidRPr="006C072C" w:rsidRDefault="006C072C" w:rsidP="006C072C">
      <w:pPr>
        <w:pStyle w:val="SingleTxtG"/>
      </w:pPr>
      <w:r w:rsidRPr="006C072C">
        <w:rPr>
          <w:lang w:val="fr-FR"/>
        </w:rPr>
        <w:t>2.</w:t>
      </w:r>
      <w:r w:rsidRPr="006C072C">
        <w:rPr>
          <w:lang w:val="fr-FR"/>
        </w:rPr>
        <w:tab/>
        <w:t>Lors de la précédente session du Groupe de travail, la Suède a présenté une proposition qui a bénéficié d</w:t>
      </w:r>
      <w:r w:rsidR="006256B6">
        <w:rPr>
          <w:lang w:val="fr-FR"/>
        </w:rPr>
        <w:t>’</w:t>
      </w:r>
      <w:r w:rsidRPr="006C072C">
        <w:rPr>
          <w:lang w:val="fr-FR"/>
        </w:rPr>
        <w:t>un large soutien. Le rapport de la session en question indique ce qui suit</w:t>
      </w:r>
      <w:r w:rsidR="00DC758D">
        <w:rPr>
          <w:lang w:val="fr-FR"/>
        </w:rPr>
        <w:t> :</w:t>
      </w:r>
    </w:p>
    <w:p w:rsidR="006C072C" w:rsidRPr="006256B6" w:rsidRDefault="006C072C" w:rsidP="006256B6">
      <w:pPr>
        <w:pStyle w:val="SingleTxtG"/>
        <w:ind w:left="1701"/>
        <w:rPr>
          <w:i/>
        </w:rPr>
      </w:pPr>
      <w:r w:rsidRPr="00DC758D">
        <w:t>« </w:t>
      </w:r>
      <w:r w:rsidRPr="006256B6">
        <w:rPr>
          <w:i/>
          <w:lang w:val="fr-FR"/>
        </w:rPr>
        <w:t>Plusieurs délégations qui se sont prononcées considéraient qu</w:t>
      </w:r>
      <w:r w:rsidR="006256B6" w:rsidRPr="006256B6">
        <w:rPr>
          <w:i/>
          <w:lang w:val="fr-FR"/>
        </w:rPr>
        <w:t>’</w:t>
      </w:r>
      <w:r w:rsidRPr="006256B6">
        <w:rPr>
          <w:i/>
          <w:lang w:val="fr-FR"/>
        </w:rPr>
        <w:t>il était pertinent de faire référence au chapitre 1.10 dans les dispositions relatives à la surveillance dans les prescriptions supplémentaires S1 (6), S16 et S21. Cependant, compte tenu des différences de champs d</w:t>
      </w:r>
      <w:r w:rsidR="006256B6" w:rsidRPr="006256B6">
        <w:rPr>
          <w:i/>
          <w:lang w:val="fr-FR"/>
        </w:rPr>
        <w:t>’</w:t>
      </w:r>
      <w:r w:rsidRPr="006256B6">
        <w:rPr>
          <w:i/>
          <w:lang w:val="fr-FR"/>
        </w:rPr>
        <w:t>application entre les prescriptions S1 (6), S16 et S21 et le 1.10.3, le Groupe de travail a considéré qu</w:t>
      </w:r>
      <w:r w:rsidR="006256B6" w:rsidRPr="006256B6">
        <w:rPr>
          <w:i/>
          <w:lang w:val="fr-FR"/>
        </w:rPr>
        <w:t>’</w:t>
      </w:r>
      <w:r w:rsidRPr="006256B6">
        <w:rPr>
          <w:i/>
          <w:lang w:val="fr-FR"/>
        </w:rPr>
        <w:t>il était souhaitable de reporter la discussion sur ce point à une session ultérieure. Cela permettra notamment de prendre en compte les travaux en cours sur la liste des marchandises dangereuses à haut risque au sein du Sous-Comité d</w:t>
      </w:r>
      <w:r w:rsidR="006256B6" w:rsidRPr="006256B6">
        <w:rPr>
          <w:i/>
          <w:lang w:val="fr-FR"/>
        </w:rPr>
        <w:t>’</w:t>
      </w:r>
      <w:r w:rsidRPr="006256B6">
        <w:rPr>
          <w:i/>
          <w:lang w:val="fr-FR"/>
        </w:rPr>
        <w:t>experts du transport des marchandises dangereuses</w:t>
      </w:r>
      <w:r w:rsidR="00AE7AC8">
        <w:rPr>
          <w:i/>
          <w:lang w:val="fr-FR"/>
        </w:rPr>
        <w:t>.</w:t>
      </w:r>
      <w:r w:rsidRPr="006256B6">
        <w:rPr>
          <w:i/>
          <w:lang w:val="fr-FR"/>
        </w:rPr>
        <w:t> </w:t>
      </w:r>
      <w:r w:rsidRPr="00DC758D">
        <w:t>»</w:t>
      </w:r>
    </w:p>
    <w:p w:rsidR="006C072C" w:rsidRPr="006C072C" w:rsidRDefault="006C072C" w:rsidP="006C072C">
      <w:pPr>
        <w:pStyle w:val="SingleTxtG"/>
      </w:pPr>
      <w:r w:rsidRPr="006C072C">
        <w:rPr>
          <w:lang w:val="fr-FR"/>
        </w:rPr>
        <w:t>3.</w:t>
      </w:r>
      <w:r w:rsidRPr="006C072C">
        <w:rPr>
          <w:lang w:val="fr-FR"/>
        </w:rPr>
        <w:tab/>
        <w:t>Lors de la session en question, des réserves ont été exprimées quant au fait que les divisions</w:t>
      </w:r>
      <w:r w:rsidR="006256B6">
        <w:rPr>
          <w:lang w:val="fr-FR"/>
        </w:rPr>
        <w:t> </w:t>
      </w:r>
      <w:r w:rsidRPr="006C072C">
        <w:rPr>
          <w:lang w:val="fr-FR"/>
        </w:rPr>
        <w:t>1.3 et 1.4 n</w:t>
      </w:r>
      <w:r w:rsidR="006256B6">
        <w:rPr>
          <w:lang w:val="fr-FR"/>
        </w:rPr>
        <w:t>’</w:t>
      </w:r>
      <w:r w:rsidRPr="006C072C">
        <w:rPr>
          <w:lang w:val="fr-FR"/>
        </w:rPr>
        <w:t>étaient actuellement pas considérées comme des marchandises dangereuses à haut risque au titre du</w:t>
      </w:r>
      <w:r w:rsidR="00DC758D">
        <w:rPr>
          <w:lang w:val="fr-FR"/>
        </w:rPr>
        <w:t> </w:t>
      </w:r>
      <w:r w:rsidRPr="006C072C">
        <w:rPr>
          <w:lang w:val="fr-FR"/>
        </w:rPr>
        <w:t>1.10.3. La Suède souhaiterait donc préciser le raisonnement qui sous-tend cette partie de sa proposition. Le Groupe de travail s</w:t>
      </w:r>
      <w:r w:rsidR="006256B6">
        <w:rPr>
          <w:lang w:val="fr-FR"/>
        </w:rPr>
        <w:t>’</w:t>
      </w:r>
      <w:r w:rsidRPr="006C072C">
        <w:rPr>
          <w:lang w:val="fr-FR"/>
        </w:rPr>
        <w:t>est déjà penché sur le reste de la proposition lors des sessions précédentes et a observé qu</w:t>
      </w:r>
      <w:r w:rsidR="006256B6">
        <w:rPr>
          <w:lang w:val="fr-FR"/>
        </w:rPr>
        <w:t>’</w:t>
      </w:r>
      <w:r w:rsidRPr="006C072C">
        <w:rPr>
          <w:lang w:val="fr-FR"/>
        </w:rPr>
        <w:t>il faisait l</w:t>
      </w:r>
      <w:r w:rsidR="006256B6">
        <w:rPr>
          <w:lang w:val="fr-FR"/>
        </w:rPr>
        <w:t>’</w:t>
      </w:r>
      <w:r w:rsidRPr="006C072C">
        <w:rPr>
          <w:lang w:val="fr-FR"/>
        </w:rPr>
        <w:t>objet d</w:t>
      </w:r>
      <w:r w:rsidR="006256B6">
        <w:rPr>
          <w:lang w:val="fr-FR"/>
        </w:rPr>
        <w:t>’</w:t>
      </w:r>
      <w:r w:rsidRPr="006C072C">
        <w:rPr>
          <w:lang w:val="fr-FR"/>
        </w:rPr>
        <w:t>une acceptation générale (voir les documents de référence mentionnés ci-dessus).</w:t>
      </w:r>
    </w:p>
    <w:p w:rsidR="006C072C" w:rsidRPr="006C072C" w:rsidRDefault="006C072C" w:rsidP="006C072C">
      <w:pPr>
        <w:pStyle w:val="SingleTxtG"/>
      </w:pPr>
      <w:r w:rsidRPr="006C072C">
        <w:rPr>
          <w:lang w:val="fr-FR"/>
        </w:rPr>
        <w:t>4.</w:t>
      </w:r>
      <w:r w:rsidRPr="006C072C">
        <w:rPr>
          <w:lang w:val="fr-FR"/>
        </w:rPr>
        <w:tab/>
        <w:t>Lors de certaines réunions avec le Sous-Comité d</w:t>
      </w:r>
      <w:r w:rsidR="006256B6">
        <w:rPr>
          <w:lang w:val="fr-FR"/>
        </w:rPr>
        <w:t>’</w:t>
      </w:r>
      <w:r w:rsidRPr="006C072C">
        <w:rPr>
          <w:lang w:val="fr-FR"/>
        </w:rPr>
        <w:t>experts du transport des marchandises dangereuses, le Royaume-Uni a mené des débats sur les limites au-delà desquelles les marchandises de la classe</w:t>
      </w:r>
      <w:r w:rsidR="00AE7AC8">
        <w:rPr>
          <w:lang w:val="fr-FR"/>
        </w:rPr>
        <w:t> </w:t>
      </w:r>
      <w:r w:rsidRPr="006C072C">
        <w:rPr>
          <w:lang w:val="fr-FR"/>
        </w:rPr>
        <w:t>1 sont considérées comme des marchandises dangereuses à haut risque. Toutefois, le Royaume-Uni a informé la Suède, lors de leurs échanges, qu</w:t>
      </w:r>
      <w:r w:rsidR="006256B6">
        <w:rPr>
          <w:lang w:val="fr-FR"/>
        </w:rPr>
        <w:t>’</w:t>
      </w:r>
      <w:r w:rsidRPr="006C072C">
        <w:rPr>
          <w:lang w:val="fr-FR"/>
        </w:rPr>
        <w:t>en raison de restrictions budgétaires et malgré sa volonté de revenir sur cette question, il ne poursuivrait pas ces travaux dans un avenir proche.</w:t>
      </w:r>
    </w:p>
    <w:p w:rsidR="006C072C" w:rsidRPr="006C072C" w:rsidRDefault="006C072C" w:rsidP="006C072C">
      <w:pPr>
        <w:pStyle w:val="SingleTxtG"/>
      </w:pPr>
      <w:r w:rsidRPr="006C072C">
        <w:rPr>
          <w:lang w:val="fr-FR"/>
        </w:rPr>
        <w:t>5.</w:t>
      </w:r>
      <w:r w:rsidRPr="006C072C">
        <w:rPr>
          <w:lang w:val="fr-FR"/>
        </w:rPr>
        <w:tab/>
        <w:t>Cependant, la Suède ne voit pas en quoi la solution proposée dans le présent document dépendrait d</w:t>
      </w:r>
      <w:r w:rsidR="006256B6">
        <w:rPr>
          <w:lang w:val="fr-FR"/>
        </w:rPr>
        <w:t>’</w:t>
      </w:r>
      <w:r w:rsidRPr="006C072C">
        <w:rPr>
          <w:lang w:val="fr-FR"/>
        </w:rPr>
        <w:t>une modification du</w:t>
      </w:r>
      <w:r w:rsidR="00DC758D">
        <w:rPr>
          <w:lang w:val="fr-FR"/>
        </w:rPr>
        <w:t> </w:t>
      </w:r>
      <w:r w:rsidRPr="006C072C">
        <w:rPr>
          <w:lang w:val="fr-FR"/>
        </w:rPr>
        <w:t>1.10.3. Les travaux relatifs au</w:t>
      </w:r>
      <w:r w:rsidR="00DC758D">
        <w:rPr>
          <w:lang w:val="fr-FR"/>
        </w:rPr>
        <w:t> </w:t>
      </w:r>
      <w:r w:rsidRPr="006C072C">
        <w:rPr>
          <w:lang w:val="fr-FR"/>
        </w:rPr>
        <w:t>1.10.3 (chap</w:t>
      </w:r>
      <w:r w:rsidR="00DC758D">
        <w:rPr>
          <w:lang w:val="fr-FR"/>
        </w:rPr>
        <w:t>. </w:t>
      </w:r>
      <w:r w:rsidRPr="006C072C">
        <w:rPr>
          <w:lang w:val="fr-FR"/>
        </w:rPr>
        <w:t>1.4 du Règlement type pour le transport des marchandises dangereuses) peuvent se poursuivre en parallèle ; si les limites venaient à être modifiées, elles s</w:t>
      </w:r>
      <w:r w:rsidR="006256B6">
        <w:rPr>
          <w:lang w:val="fr-FR"/>
        </w:rPr>
        <w:t>’</w:t>
      </w:r>
      <w:r w:rsidRPr="006C072C">
        <w:rPr>
          <w:lang w:val="fr-FR"/>
        </w:rPr>
        <w:t xml:space="preserve">appliqueraient automatiquement aux prescriptions supplémentaires faisant référence au plan de sûreté visé au 1.10.3.2. </w:t>
      </w:r>
    </w:p>
    <w:p w:rsidR="006C072C" w:rsidRPr="006C072C" w:rsidRDefault="006C072C" w:rsidP="006C072C">
      <w:pPr>
        <w:pStyle w:val="SingleTxtG"/>
      </w:pPr>
      <w:r w:rsidRPr="006C072C">
        <w:rPr>
          <w:lang w:val="fr-FR"/>
        </w:rPr>
        <w:t>6.</w:t>
      </w:r>
      <w:r w:rsidRPr="006C072C">
        <w:rPr>
          <w:lang w:val="fr-FR"/>
        </w:rPr>
        <w:tab/>
        <w:t>Il convient de garder à l</w:t>
      </w:r>
      <w:r w:rsidR="006256B6">
        <w:rPr>
          <w:lang w:val="fr-FR"/>
        </w:rPr>
        <w:t>’</w:t>
      </w:r>
      <w:r w:rsidRPr="006C072C">
        <w:rPr>
          <w:lang w:val="fr-FR"/>
        </w:rPr>
        <w:t>esprit que la prescription</w:t>
      </w:r>
      <w:r w:rsidR="00DC758D">
        <w:rPr>
          <w:lang w:val="fr-FR"/>
        </w:rPr>
        <w:t> </w:t>
      </w:r>
      <w:r w:rsidRPr="006C072C">
        <w:rPr>
          <w:lang w:val="fr-FR"/>
        </w:rPr>
        <w:t>S1 du chapitre</w:t>
      </w:r>
      <w:r w:rsidR="00DC758D">
        <w:rPr>
          <w:lang w:val="fr-FR"/>
        </w:rPr>
        <w:t> </w:t>
      </w:r>
      <w:r w:rsidRPr="006C072C">
        <w:rPr>
          <w:lang w:val="fr-FR"/>
        </w:rPr>
        <w:t>8.5 s</w:t>
      </w:r>
      <w:r w:rsidR="006256B6">
        <w:rPr>
          <w:lang w:val="fr-FR"/>
        </w:rPr>
        <w:t>’</w:t>
      </w:r>
      <w:r w:rsidRPr="006C072C">
        <w:rPr>
          <w:lang w:val="fr-FR"/>
        </w:rPr>
        <w:t>applique à toutes les matières et à tous les objets de la classe</w:t>
      </w:r>
      <w:r w:rsidR="00DC758D">
        <w:rPr>
          <w:lang w:val="fr-FR"/>
        </w:rPr>
        <w:t> </w:t>
      </w:r>
      <w:r w:rsidRPr="006C072C">
        <w:rPr>
          <w:lang w:val="fr-FR"/>
        </w:rPr>
        <w:t>1, y compris ceux des divisions 1.3 et</w:t>
      </w:r>
      <w:r w:rsidR="00DC758D">
        <w:rPr>
          <w:lang w:val="fr-FR"/>
        </w:rPr>
        <w:t> </w:t>
      </w:r>
      <w:r w:rsidRPr="006C072C">
        <w:rPr>
          <w:lang w:val="fr-FR"/>
        </w:rPr>
        <w:t xml:space="preserve">1.4. Ainsi, </w:t>
      </w:r>
      <w:r w:rsidRPr="006C072C">
        <w:rPr>
          <w:u w:val="single"/>
          <w:lang w:val="fr-FR"/>
        </w:rPr>
        <w:t>toutes</w:t>
      </w:r>
      <w:r w:rsidRPr="006C072C">
        <w:rPr>
          <w:lang w:val="fr-FR"/>
        </w:rPr>
        <w:t xml:space="preserve"> les matières et </w:t>
      </w:r>
      <w:r w:rsidRPr="006C072C">
        <w:rPr>
          <w:u w:val="single"/>
          <w:lang w:val="fr-FR"/>
        </w:rPr>
        <w:t>tous</w:t>
      </w:r>
      <w:r w:rsidRPr="006C072C">
        <w:rPr>
          <w:lang w:val="fr-FR"/>
        </w:rPr>
        <w:t xml:space="preserve"> les objets cités dans la prescription S1(6) sont soumis aux dispositions du chapitre 8.4 relatives à la surveillance, comme le prévoit le premier paragraphe de la prescription. Cela reste inchangé dans la proposition de la Suède. </w:t>
      </w:r>
    </w:p>
    <w:p w:rsidR="006C072C" w:rsidRPr="006C072C" w:rsidRDefault="006C072C" w:rsidP="006C072C">
      <w:pPr>
        <w:pStyle w:val="SingleTxtG"/>
      </w:pPr>
      <w:r w:rsidRPr="006C072C">
        <w:rPr>
          <w:lang w:val="fr-FR"/>
        </w:rPr>
        <w:t>7.</w:t>
      </w:r>
      <w:r w:rsidRPr="006C072C">
        <w:rPr>
          <w:lang w:val="fr-FR"/>
        </w:rPr>
        <w:tab/>
        <w:t>La Suède tient également à souligner que la prescription</w:t>
      </w:r>
      <w:r w:rsidR="00DC758D">
        <w:rPr>
          <w:lang w:val="fr-FR"/>
        </w:rPr>
        <w:t> </w:t>
      </w:r>
      <w:r w:rsidRPr="006C072C">
        <w:rPr>
          <w:lang w:val="fr-FR"/>
        </w:rPr>
        <w:t>S1(7) « Verrouillage des véhicules » s</w:t>
      </w:r>
      <w:r w:rsidR="006256B6">
        <w:rPr>
          <w:lang w:val="fr-FR"/>
        </w:rPr>
        <w:t>’</w:t>
      </w:r>
      <w:r w:rsidRPr="006C072C">
        <w:rPr>
          <w:lang w:val="fr-FR"/>
        </w:rPr>
        <w:t>applique à toutes les matières et à tous les objets de la classe 1 (y</w:t>
      </w:r>
      <w:r w:rsidR="00DC758D">
        <w:rPr>
          <w:lang w:val="fr-FR"/>
        </w:rPr>
        <w:t> </w:t>
      </w:r>
      <w:r w:rsidRPr="006C072C">
        <w:rPr>
          <w:lang w:val="fr-FR"/>
        </w:rPr>
        <w:t>compris ceux des divisions</w:t>
      </w:r>
      <w:r w:rsidR="00DC758D">
        <w:rPr>
          <w:lang w:val="fr-FR"/>
        </w:rPr>
        <w:t> </w:t>
      </w:r>
      <w:r w:rsidRPr="006C072C">
        <w:rPr>
          <w:lang w:val="fr-FR"/>
        </w:rPr>
        <w:t>1.3 et 1.4) :</w:t>
      </w:r>
    </w:p>
    <w:p w:rsidR="006C072C" w:rsidRPr="006C072C" w:rsidRDefault="006C072C" w:rsidP="00AE7AC8">
      <w:pPr>
        <w:pStyle w:val="SingleTxtG"/>
        <w:ind w:left="1701"/>
        <w:rPr>
          <w:i/>
          <w:lang w:val="fr-FR"/>
        </w:rPr>
      </w:pPr>
      <w:r w:rsidRPr="00DC758D">
        <w:t>«</w:t>
      </w:r>
      <w:r w:rsidRPr="006C072C">
        <w:rPr>
          <w:i/>
          <w:iCs/>
          <w:lang w:val="fr-FR"/>
        </w:rPr>
        <w:t> Les portes et panneaux rigides du compartiment de chargement des véhicules EX/II et toutes les ouvertures dans le compartiment de chargement des véhicules EX/III transportant des matières et objets de la classe</w:t>
      </w:r>
      <w:r w:rsidR="00DC758D">
        <w:rPr>
          <w:i/>
          <w:iCs/>
          <w:lang w:val="fr-FR"/>
        </w:rPr>
        <w:t> </w:t>
      </w:r>
      <w:r w:rsidRPr="006C072C">
        <w:rPr>
          <w:i/>
          <w:iCs/>
          <w:lang w:val="fr-FR"/>
        </w:rPr>
        <w:t>1 doivent être verrouillés durant le transport, sauf pendant les périodes de chargement et de déchargement</w:t>
      </w:r>
      <w:r w:rsidR="00AE7AC8">
        <w:rPr>
          <w:i/>
          <w:iCs/>
          <w:lang w:val="fr-FR"/>
        </w:rPr>
        <w:t>.</w:t>
      </w:r>
      <w:r w:rsidRPr="006C072C">
        <w:rPr>
          <w:i/>
          <w:iCs/>
          <w:lang w:val="fr-FR"/>
        </w:rPr>
        <w:t> </w:t>
      </w:r>
      <w:r w:rsidRPr="00DC758D">
        <w:t>»</w:t>
      </w:r>
    </w:p>
    <w:p w:rsidR="006C072C" w:rsidRPr="006C072C" w:rsidRDefault="006C072C" w:rsidP="006C072C">
      <w:pPr>
        <w:pStyle w:val="SingleTxtG"/>
      </w:pPr>
      <w:bookmarkStart w:id="0" w:name="_GoBack"/>
      <w:bookmarkEnd w:id="0"/>
      <w:r w:rsidRPr="006C072C">
        <w:rPr>
          <w:lang w:val="fr-FR"/>
        </w:rPr>
        <w:lastRenderedPageBreak/>
        <w:t>8.</w:t>
      </w:r>
      <w:r w:rsidRPr="006C072C">
        <w:rPr>
          <w:lang w:val="fr-FR"/>
        </w:rPr>
        <w:tab/>
        <w:t xml:space="preserve">La proposition de la Suède vise principalement à préciser, dans les trois prescriptions, ce qui est requis </w:t>
      </w:r>
      <w:r w:rsidRPr="006C072C">
        <w:rPr>
          <w:u w:val="single"/>
          <w:lang w:val="fr-FR"/>
        </w:rPr>
        <w:t>en plus</w:t>
      </w:r>
      <w:r w:rsidRPr="005058BA">
        <w:t xml:space="preserve"> de</w:t>
      </w:r>
      <w:r w:rsidRPr="006C072C">
        <w:rPr>
          <w:lang w:val="fr-FR"/>
        </w:rPr>
        <w:t xml:space="preserve"> la disposition du chapitre</w:t>
      </w:r>
      <w:r w:rsidR="00DC758D">
        <w:rPr>
          <w:lang w:val="fr-FR"/>
        </w:rPr>
        <w:t> </w:t>
      </w:r>
      <w:r w:rsidRPr="006C072C">
        <w:rPr>
          <w:lang w:val="fr-FR"/>
        </w:rPr>
        <w:t>8.4 relative à la surveillance. À ce jour, il n</w:t>
      </w:r>
      <w:r w:rsidR="006256B6">
        <w:rPr>
          <w:lang w:val="fr-FR"/>
        </w:rPr>
        <w:t>’</w:t>
      </w:r>
      <w:r w:rsidRPr="006C072C">
        <w:rPr>
          <w:lang w:val="fr-FR"/>
        </w:rPr>
        <w:t>est pas possible de satisfaire à cette prescription supplémentaire, ce qui signifie qu</w:t>
      </w:r>
      <w:r w:rsidR="006256B6">
        <w:rPr>
          <w:lang w:val="fr-FR"/>
        </w:rPr>
        <w:t>’</w:t>
      </w:r>
      <w:r w:rsidRPr="006C072C">
        <w:rPr>
          <w:lang w:val="fr-FR"/>
        </w:rPr>
        <w:t>elle ne renforce ni ne contribue à renforcer le niveau de sûreté. Par conséquent, la Suède estime qu</w:t>
      </w:r>
      <w:r w:rsidR="006256B6">
        <w:rPr>
          <w:lang w:val="fr-FR"/>
        </w:rPr>
        <w:t>’</w:t>
      </w:r>
      <w:r w:rsidRPr="006C072C">
        <w:rPr>
          <w:lang w:val="fr-FR"/>
        </w:rPr>
        <w:t>il n</w:t>
      </w:r>
      <w:r w:rsidR="006256B6">
        <w:rPr>
          <w:lang w:val="fr-FR"/>
        </w:rPr>
        <w:t>’</w:t>
      </w:r>
      <w:r w:rsidRPr="006C072C">
        <w:rPr>
          <w:lang w:val="fr-FR"/>
        </w:rPr>
        <w:t>y a aucune raison de maintenir ce libellé, pour quelque matière ou objet que ce soit. En revanche, une référence au plan de sûreté accroîtrait considérablement le niveau de sûreté étant donné qu</w:t>
      </w:r>
      <w:r w:rsidR="006256B6">
        <w:rPr>
          <w:lang w:val="fr-FR"/>
        </w:rPr>
        <w:t>’</w:t>
      </w:r>
      <w:r w:rsidRPr="006C072C">
        <w:rPr>
          <w:lang w:val="fr-FR"/>
        </w:rPr>
        <w:t>elle aiderait les acteurs concernés à se conformer aux dispositions.</w:t>
      </w:r>
    </w:p>
    <w:p w:rsidR="006C072C" w:rsidRPr="006C072C" w:rsidRDefault="006C072C" w:rsidP="00DC758D">
      <w:pPr>
        <w:pStyle w:val="HChG"/>
      </w:pPr>
      <w:r w:rsidRPr="006C072C">
        <w:rPr>
          <w:lang w:val="fr-FR"/>
        </w:rPr>
        <w:tab/>
      </w:r>
      <w:r w:rsidRPr="006C072C">
        <w:rPr>
          <w:lang w:val="fr-FR"/>
        </w:rPr>
        <w:tab/>
        <w:t>Résumé</w:t>
      </w:r>
    </w:p>
    <w:p w:rsidR="006C072C" w:rsidRPr="006C072C" w:rsidRDefault="006C072C" w:rsidP="006C072C">
      <w:pPr>
        <w:pStyle w:val="SingleTxtG"/>
      </w:pPr>
      <w:r w:rsidRPr="006C072C">
        <w:rPr>
          <w:lang w:val="fr-FR"/>
        </w:rPr>
        <w:t>9.</w:t>
      </w:r>
      <w:r w:rsidRPr="006C072C">
        <w:rPr>
          <w:lang w:val="fr-FR"/>
        </w:rPr>
        <w:tab/>
        <w:t>Les discussions menées précédemment ainsi que les résultats du questionnaire montrent qu</w:t>
      </w:r>
      <w:r w:rsidR="006256B6">
        <w:rPr>
          <w:lang w:val="fr-FR"/>
        </w:rPr>
        <w:t>’</w:t>
      </w:r>
      <w:r w:rsidRPr="006C072C">
        <w:rPr>
          <w:lang w:val="fr-FR"/>
        </w:rPr>
        <w:t>il serait difficile de définir ce que l</w:t>
      </w:r>
      <w:r w:rsidR="006256B6">
        <w:rPr>
          <w:lang w:val="fr-FR"/>
        </w:rPr>
        <w:t>’</w:t>
      </w:r>
      <w:r w:rsidRPr="006C072C">
        <w:rPr>
          <w:lang w:val="fr-FR"/>
        </w:rPr>
        <w:t>on entend par «</w:t>
      </w:r>
      <w:r w:rsidR="00DC758D">
        <w:rPr>
          <w:lang w:val="fr-FR"/>
        </w:rPr>
        <w:t> </w:t>
      </w:r>
      <w:r w:rsidRPr="006C072C">
        <w:rPr>
          <w:lang w:val="fr-FR"/>
        </w:rPr>
        <w:t>surveillance</w:t>
      </w:r>
      <w:r w:rsidR="00DC758D">
        <w:rPr>
          <w:lang w:val="fr-FR"/>
        </w:rPr>
        <w:t> </w:t>
      </w:r>
      <w:r w:rsidRPr="006C072C">
        <w:rPr>
          <w:lang w:val="fr-FR"/>
        </w:rPr>
        <w:t>» en indiquant des mesures spécifiques dans les prescriptions supplémentaires</w:t>
      </w:r>
      <w:r w:rsidR="00DC758D">
        <w:rPr>
          <w:lang w:val="fr-FR"/>
        </w:rPr>
        <w:t> </w:t>
      </w:r>
      <w:r w:rsidRPr="006C072C">
        <w:rPr>
          <w:lang w:val="fr-FR"/>
        </w:rPr>
        <w:t>S1(6), S16 et</w:t>
      </w:r>
      <w:r w:rsidR="00DC758D">
        <w:rPr>
          <w:lang w:val="fr-FR"/>
        </w:rPr>
        <w:t> </w:t>
      </w:r>
      <w:r w:rsidRPr="006C072C">
        <w:rPr>
          <w:lang w:val="fr-FR"/>
        </w:rPr>
        <w:t>S21. Pour cette raison, la Suède estime qu</w:t>
      </w:r>
      <w:r w:rsidR="006256B6">
        <w:rPr>
          <w:lang w:val="fr-FR"/>
        </w:rPr>
        <w:t>’</w:t>
      </w:r>
      <w:r w:rsidRPr="006C072C">
        <w:rPr>
          <w:lang w:val="fr-FR"/>
        </w:rPr>
        <w:t xml:space="preserve">une disposition qui peut être adaptée aux circonstances particulières de chaque transport serait une solution plus appropriée. </w:t>
      </w:r>
    </w:p>
    <w:p w:rsidR="006C072C" w:rsidRPr="006C072C" w:rsidRDefault="006C072C" w:rsidP="006C072C">
      <w:pPr>
        <w:pStyle w:val="SingleTxtG"/>
      </w:pPr>
      <w:r w:rsidRPr="006C072C">
        <w:rPr>
          <w:lang w:val="fr-FR"/>
        </w:rPr>
        <w:t>10.</w:t>
      </w:r>
      <w:r w:rsidRPr="006C072C">
        <w:rPr>
          <w:lang w:val="fr-FR"/>
        </w:rPr>
        <w:tab/>
        <w:t>Compte tenu des discussions qui ont eu lieu et des faits qui se sont dégagés au cours de ces travaux ainsi que du raisonnement susmentionné, la Suède propose d</w:t>
      </w:r>
      <w:r w:rsidR="006256B6">
        <w:rPr>
          <w:lang w:val="fr-FR"/>
        </w:rPr>
        <w:t>’</w:t>
      </w:r>
      <w:r w:rsidRPr="006C072C">
        <w:rPr>
          <w:lang w:val="fr-FR"/>
        </w:rPr>
        <w:t>ajouter une référence au plan de sûreté visé au 1.10.3.2 dans les parties pertinentes des prescriptions supplémentaires du chapitre</w:t>
      </w:r>
      <w:r w:rsidR="00DC758D">
        <w:rPr>
          <w:lang w:val="fr-FR"/>
        </w:rPr>
        <w:t> </w:t>
      </w:r>
      <w:r w:rsidRPr="006C072C">
        <w:rPr>
          <w:lang w:val="fr-FR"/>
        </w:rPr>
        <w:t xml:space="preserve">8.5. </w:t>
      </w:r>
    </w:p>
    <w:p w:rsidR="006C072C" w:rsidRPr="006C072C" w:rsidRDefault="006C072C" w:rsidP="00DC758D">
      <w:pPr>
        <w:pStyle w:val="HChG"/>
        <w:rPr>
          <w:lang w:val="fr-FR"/>
        </w:rPr>
      </w:pPr>
      <w:r w:rsidRPr="006C072C">
        <w:rPr>
          <w:lang w:val="fr-FR"/>
        </w:rPr>
        <w:tab/>
      </w:r>
      <w:r w:rsidRPr="006C072C">
        <w:rPr>
          <w:lang w:val="fr-FR"/>
        </w:rPr>
        <w:tab/>
        <w:t>Propositions</w:t>
      </w:r>
    </w:p>
    <w:p w:rsidR="006C072C" w:rsidRPr="006C072C" w:rsidRDefault="006C072C" w:rsidP="00DC758D">
      <w:pPr>
        <w:pStyle w:val="H1G"/>
        <w:rPr>
          <w:lang w:val="fr-FR"/>
        </w:rPr>
      </w:pPr>
      <w:r w:rsidRPr="006C072C">
        <w:rPr>
          <w:lang w:val="fr-FR"/>
        </w:rPr>
        <w:tab/>
      </w:r>
      <w:r w:rsidRPr="006C072C">
        <w:rPr>
          <w:lang w:val="fr-FR"/>
        </w:rPr>
        <w:tab/>
        <w:t>Proposition</w:t>
      </w:r>
      <w:r w:rsidR="00DC758D">
        <w:rPr>
          <w:lang w:val="fr-FR"/>
        </w:rPr>
        <w:t> </w:t>
      </w:r>
      <w:r w:rsidRPr="006C072C">
        <w:rPr>
          <w:lang w:val="fr-FR"/>
        </w:rPr>
        <w:t xml:space="preserve">1 </w:t>
      </w:r>
    </w:p>
    <w:p w:rsidR="006C072C" w:rsidRPr="00DC758D" w:rsidRDefault="006C072C" w:rsidP="00496420">
      <w:pPr>
        <w:pStyle w:val="SingleTxtG"/>
        <w:keepNext/>
        <w:keepLines/>
      </w:pPr>
      <w:r w:rsidRPr="006C072C">
        <w:rPr>
          <w:lang w:val="fr-FR"/>
        </w:rPr>
        <w:t>11.</w:t>
      </w:r>
      <w:r w:rsidRPr="006C072C">
        <w:rPr>
          <w:lang w:val="fr-FR"/>
        </w:rPr>
        <w:tab/>
      </w:r>
      <w:r w:rsidRPr="006C072C">
        <w:rPr>
          <w:i/>
          <w:iCs/>
          <w:lang w:val="fr-FR"/>
        </w:rPr>
        <w:t>Modifier le texte de la prescription supplémentaire S1(6) du chapitre</w:t>
      </w:r>
      <w:r w:rsidR="00DC758D">
        <w:rPr>
          <w:i/>
          <w:iCs/>
          <w:lang w:val="fr-FR"/>
        </w:rPr>
        <w:t> </w:t>
      </w:r>
      <w:r w:rsidRPr="006C072C">
        <w:rPr>
          <w:i/>
          <w:iCs/>
          <w:lang w:val="fr-FR"/>
        </w:rPr>
        <w:t>8.5 comme suit (les parties modifiées sont soulignées)</w:t>
      </w:r>
      <w:r w:rsidR="00DC758D">
        <w:rPr>
          <w:i/>
          <w:iCs/>
          <w:lang w:val="fr-FR"/>
        </w:rPr>
        <w:t> </w:t>
      </w:r>
      <w:r w:rsidR="00DC758D">
        <w:t>:</w:t>
      </w:r>
    </w:p>
    <w:p w:rsidR="006C072C" w:rsidRPr="006C072C" w:rsidRDefault="006C072C" w:rsidP="00496420">
      <w:pPr>
        <w:pStyle w:val="SingleTxtG"/>
        <w:keepNext/>
        <w:keepLines/>
        <w:rPr>
          <w:b/>
          <w:i/>
          <w:lang w:val="fr-FR"/>
        </w:rPr>
      </w:pPr>
      <w:r w:rsidRPr="00DC758D">
        <w:t>«</w:t>
      </w:r>
      <w:r w:rsidR="00DC758D" w:rsidRPr="00DC758D">
        <w:t> </w:t>
      </w:r>
      <w:r w:rsidRPr="006C072C">
        <w:rPr>
          <w:b/>
          <w:bCs/>
          <w:lang w:val="fr-FR"/>
        </w:rPr>
        <w:t>S1(6)</w:t>
      </w:r>
      <w:r w:rsidRPr="006C072C">
        <w:rPr>
          <w:lang w:val="fr-FR"/>
        </w:rPr>
        <w:tab/>
      </w:r>
      <w:r w:rsidRPr="006C072C">
        <w:rPr>
          <w:b/>
          <w:bCs/>
          <w:i/>
          <w:iCs/>
          <w:lang w:val="fr-FR"/>
        </w:rPr>
        <w:t>Surveillance des véhicules</w:t>
      </w:r>
    </w:p>
    <w:p w:rsidR="006C072C" w:rsidRPr="006C072C" w:rsidRDefault="006C072C" w:rsidP="00DC758D">
      <w:pPr>
        <w:pStyle w:val="SingleTxtG"/>
        <w:ind w:left="2268" w:hanging="1134"/>
        <w:rPr>
          <w:lang w:val="fr-FR"/>
        </w:rPr>
      </w:pPr>
      <w:r w:rsidRPr="006C072C">
        <w:rPr>
          <w:lang w:val="fr-FR"/>
        </w:rPr>
        <w:tab/>
      </w:r>
      <w:r w:rsidR="00DC758D">
        <w:rPr>
          <w:lang w:val="fr-FR"/>
        </w:rPr>
        <w:tab/>
      </w:r>
      <w:r w:rsidRPr="006C072C">
        <w:rPr>
          <w:lang w:val="fr-FR"/>
        </w:rPr>
        <w:t>Les prescriptions du chapitre 8.4 ne sont applicables que lorsque la masse totale nette de matière explosible des matières et objets de la classe</w:t>
      </w:r>
      <w:r w:rsidR="00DC758D">
        <w:rPr>
          <w:lang w:val="fr-FR"/>
        </w:rPr>
        <w:t> </w:t>
      </w:r>
      <w:r w:rsidRPr="006C072C">
        <w:rPr>
          <w:lang w:val="fr-FR"/>
        </w:rPr>
        <w:t>1 transportés dans un véhicule est supérieure aux limites indiquées ci-après</w:t>
      </w:r>
      <w:r w:rsidR="00DC758D">
        <w:rPr>
          <w:lang w:val="fr-FR"/>
        </w:rPr>
        <w:t> :</w:t>
      </w:r>
    </w:p>
    <w:tbl>
      <w:tblPr>
        <w:tblW w:w="6237" w:type="dxa"/>
        <w:tblInd w:w="2268" w:type="dxa"/>
        <w:tblLayout w:type="fixed"/>
        <w:tblCellMar>
          <w:left w:w="0" w:type="dxa"/>
          <w:right w:w="0" w:type="dxa"/>
        </w:tblCellMar>
        <w:tblLook w:val="0000" w:firstRow="0" w:lastRow="0" w:firstColumn="0" w:lastColumn="0" w:noHBand="0" w:noVBand="0"/>
      </w:tblPr>
      <w:tblGrid>
        <w:gridCol w:w="5139"/>
        <w:gridCol w:w="1098"/>
      </w:tblGrid>
      <w:tr w:rsidR="006C072C" w:rsidRPr="006C072C" w:rsidTr="00DC758D">
        <w:trPr>
          <w:cantSplit/>
        </w:trPr>
        <w:tc>
          <w:tcPr>
            <w:tcW w:w="6309" w:type="dxa"/>
          </w:tcPr>
          <w:p w:rsidR="006C072C" w:rsidRPr="006C072C" w:rsidRDefault="006C072C" w:rsidP="00DC758D">
            <w:pPr>
              <w:pStyle w:val="SingleTxtG"/>
              <w:ind w:left="0" w:right="0"/>
              <w:rPr>
                <w:lang w:val="en-GB"/>
              </w:rPr>
            </w:pPr>
            <w:r w:rsidRPr="006C072C">
              <w:rPr>
                <w:lang w:val="fr-FR"/>
              </w:rPr>
              <w:t>Division 1.1</w:t>
            </w:r>
          </w:p>
        </w:tc>
        <w:tc>
          <w:tcPr>
            <w:tcW w:w="1345" w:type="dxa"/>
          </w:tcPr>
          <w:p w:rsidR="006C072C" w:rsidRPr="006C072C" w:rsidRDefault="006C072C" w:rsidP="00DC758D">
            <w:pPr>
              <w:pStyle w:val="SingleTxtG"/>
              <w:ind w:left="0" w:right="0"/>
              <w:jc w:val="right"/>
              <w:rPr>
                <w:lang w:val="en-GB"/>
              </w:rPr>
            </w:pPr>
            <w:r w:rsidRPr="006C072C">
              <w:rPr>
                <w:lang w:val="fr-FR"/>
              </w:rPr>
              <w:t>0 kg</w:t>
            </w:r>
          </w:p>
        </w:tc>
      </w:tr>
      <w:tr w:rsidR="006C072C" w:rsidRPr="006C072C" w:rsidTr="00DC758D">
        <w:trPr>
          <w:cantSplit/>
        </w:trPr>
        <w:tc>
          <w:tcPr>
            <w:tcW w:w="6309" w:type="dxa"/>
          </w:tcPr>
          <w:p w:rsidR="006C072C" w:rsidRPr="006C072C" w:rsidRDefault="006C072C" w:rsidP="00DC758D">
            <w:pPr>
              <w:pStyle w:val="SingleTxtG"/>
              <w:ind w:left="0" w:right="0"/>
              <w:rPr>
                <w:lang w:val="en-GB"/>
              </w:rPr>
            </w:pPr>
            <w:r w:rsidRPr="006C072C">
              <w:rPr>
                <w:lang w:val="fr-FR"/>
              </w:rPr>
              <w:t>Division 1.2</w:t>
            </w:r>
          </w:p>
        </w:tc>
        <w:tc>
          <w:tcPr>
            <w:tcW w:w="1345" w:type="dxa"/>
          </w:tcPr>
          <w:p w:rsidR="006C072C" w:rsidRPr="006C072C" w:rsidRDefault="006C072C" w:rsidP="00DC758D">
            <w:pPr>
              <w:pStyle w:val="SingleTxtG"/>
              <w:ind w:left="0" w:right="0"/>
              <w:jc w:val="right"/>
              <w:rPr>
                <w:lang w:val="en-GB"/>
              </w:rPr>
            </w:pPr>
            <w:r w:rsidRPr="006C072C">
              <w:rPr>
                <w:lang w:val="fr-FR"/>
              </w:rPr>
              <w:t>0 kg</w:t>
            </w:r>
          </w:p>
        </w:tc>
      </w:tr>
      <w:tr w:rsidR="006C072C" w:rsidRPr="006C072C" w:rsidTr="00DC758D">
        <w:trPr>
          <w:cantSplit/>
        </w:trPr>
        <w:tc>
          <w:tcPr>
            <w:tcW w:w="6309" w:type="dxa"/>
          </w:tcPr>
          <w:p w:rsidR="006C072C" w:rsidRPr="006C072C" w:rsidRDefault="006C072C" w:rsidP="00DC758D">
            <w:pPr>
              <w:pStyle w:val="SingleTxtG"/>
              <w:ind w:left="0" w:right="0"/>
              <w:jc w:val="left"/>
              <w:rPr>
                <w:lang w:val="fr-FR"/>
              </w:rPr>
            </w:pPr>
            <w:r w:rsidRPr="006C072C">
              <w:rPr>
                <w:lang w:val="fr-FR"/>
              </w:rPr>
              <w:t>Division 1.3, matières et objets explosibles du groupe de compatibilité C</w:t>
            </w:r>
          </w:p>
        </w:tc>
        <w:tc>
          <w:tcPr>
            <w:tcW w:w="1345" w:type="dxa"/>
          </w:tcPr>
          <w:p w:rsidR="006C072C" w:rsidRPr="006C072C" w:rsidRDefault="006C072C" w:rsidP="00DC758D">
            <w:pPr>
              <w:pStyle w:val="SingleTxtG"/>
              <w:ind w:left="0" w:right="0"/>
              <w:jc w:val="right"/>
              <w:rPr>
                <w:bCs/>
                <w:lang w:val="en-GB"/>
              </w:rPr>
            </w:pPr>
            <w:r w:rsidRPr="006C072C">
              <w:rPr>
                <w:lang w:val="fr-FR"/>
              </w:rPr>
              <w:t>0 kg</w:t>
            </w:r>
          </w:p>
        </w:tc>
      </w:tr>
      <w:tr w:rsidR="006C072C" w:rsidRPr="006C072C" w:rsidTr="00DC758D">
        <w:trPr>
          <w:cantSplit/>
        </w:trPr>
        <w:tc>
          <w:tcPr>
            <w:tcW w:w="6309" w:type="dxa"/>
          </w:tcPr>
          <w:p w:rsidR="006C072C" w:rsidRPr="006C072C" w:rsidRDefault="006C072C" w:rsidP="00DC758D">
            <w:pPr>
              <w:pStyle w:val="SingleTxtG"/>
              <w:ind w:left="0" w:right="0"/>
              <w:jc w:val="left"/>
              <w:rPr>
                <w:lang w:val="fr-FR"/>
              </w:rPr>
            </w:pPr>
            <w:r w:rsidRPr="006C072C">
              <w:rPr>
                <w:lang w:val="fr-FR"/>
              </w:rPr>
              <w:t>Division 1.3, matières et objets explosibles n</w:t>
            </w:r>
            <w:r w:rsidR="006256B6">
              <w:rPr>
                <w:lang w:val="fr-FR"/>
              </w:rPr>
              <w:t>’</w:t>
            </w:r>
            <w:r w:rsidRPr="006C072C">
              <w:rPr>
                <w:lang w:val="fr-FR"/>
              </w:rPr>
              <w:t>appartenant pas au groupe de compatibilité C</w:t>
            </w:r>
          </w:p>
        </w:tc>
        <w:tc>
          <w:tcPr>
            <w:tcW w:w="1345" w:type="dxa"/>
          </w:tcPr>
          <w:p w:rsidR="006C072C" w:rsidRPr="006C072C" w:rsidRDefault="006C072C" w:rsidP="00DC758D">
            <w:pPr>
              <w:pStyle w:val="SingleTxtG"/>
              <w:ind w:left="0" w:right="0"/>
              <w:jc w:val="right"/>
              <w:rPr>
                <w:bCs/>
                <w:lang w:val="en-GB"/>
              </w:rPr>
            </w:pPr>
            <w:r w:rsidRPr="006C072C">
              <w:rPr>
                <w:lang w:val="fr-FR"/>
              </w:rPr>
              <w:t>50 kg</w:t>
            </w:r>
          </w:p>
        </w:tc>
      </w:tr>
      <w:tr w:rsidR="006C072C" w:rsidRPr="006C072C" w:rsidTr="00DC758D">
        <w:trPr>
          <w:cantSplit/>
        </w:trPr>
        <w:tc>
          <w:tcPr>
            <w:tcW w:w="6309" w:type="dxa"/>
          </w:tcPr>
          <w:p w:rsidR="006C072C" w:rsidRPr="006C072C" w:rsidRDefault="006C072C" w:rsidP="00DC758D">
            <w:pPr>
              <w:pStyle w:val="SingleTxtG"/>
              <w:ind w:left="0" w:right="0"/>
              <w:jc w:val="left"/>
              <w:rPr>
                <w:lang w:val="fr-FR"/>
              </w:rPr>
            </w:pPr>
            <w:r w:rsidRPr="006C072C">
              <w:rPr>
                <w:lang w:val="fr-FR"/>
              </w:rPr>
              <w:t>Division 1.4, matières et objets autres que ceux qui sont énumérés ci-dessous</w:t>
            </w:r>
          </w:p>
        </w:tc>
        <w:tc>
          <w:tcPr>
            <w:tcW w:w="1345" w:type="dxa"/>
          </w:tcPr>
          <w:p w:rsidR="006C072C" w:rsidRPr="006C072C" w:rsidRDefault="006C072C" w:rsidP="00DC758D">
            <w:pPr>
              <w:pStyle w:val="SingleTxtG"/>
              <w:ind w:left="0" w:right="0"/>
              <w:jc w:val="right"/>
              <w:rPr>
                <w:lang w:val="en-GB"/>
              </w:rPr>
            </w:pPr>
            <w:r w:rsidRPr="006C072C">
              <w:rPr>
                <w:lang w:val="fr-FR"/>
              </w:rPr>
              <w:t>50 kg</w:t>
            </w:r>
          </w:p>
        </w:tc>
      </w:tr>
      <w:tr w:rsidR="006C072C" w:rsidRPr="006C072C" w:rsidTr="00DC758D">
        <w:trPr>
          <w:cantSplit/>
        </w:trPr>
        <w:tc>
          <w:tcPr>
            <w:tcW w:w="6309" w:type="dxa"/>
          </w:tcPr>
          <w:p w:rsidR="006C072C" w:rsidRPr="006C072C" w:rsidRDefault="006C072C" w:rsidP="00DC758D">
            <w:pPr>
              <w:pStyle w:val="SingleTxtG"/>
              <w:ind w:left="0" w:right="0"/>
              <w:rPr>
                <w:lang w:val="en-GB"/>
              </w:rPr>
            </w:pPr>
            <w:r w:rsidRPr="006C072C">
              <w:rPr>
                <w:lang w:val="fr-FR"/>
              </w:rPr>
              <w:t>Division 1.5</w:t>
            </w:r>
          </w:p>
        </w:tc>
        <w:tc>
          <w:tcPr>
            <w:tcW w:w="1345" w:type="dxa"/>
          </w:tcPr>
          <w:p w:rsidR="006C072C" w:rsidRPr="006C072C" w:rsidRDefault="006C072C" w:rsidP="00DC758D">
            <w:pPr>
              <w:pStyle w:val="SingleTxtG"/>
              <w:ind w:left="0" w:right="0"/>
              <w:jc w:val="right"/>
              <w:rPr>
                <w:lang w:val="en-GB"/>
              </w:rPr>
            </w:pPr>
            <w:r w:rsidRPr="006C072C">
              <w:rPr>
                <w:lang w:val="fr-FR"/>
              </w:rPr>
              <w:t>0 kg</w:t>
            </w:r>
          </w:p>
        </w:tc>
      </w:tr>
      <w:tr w:rsidR="006C072C" w:rsidRPr="006C072C" w:rsidTr="00DC758D">
        <w:trPr>
          <w:cantSplit/>
        </w:trPr>
        <w:tc>
          <w:tcPr>
            <w:tcW w:w="6309" w:type="dxa"/>
          </w:tcPr>
          <w:p w:rsidR="006C072C" w:rsidRPr="006C072C" w:rsidRDefault="006C072C" w:rsidP="00DC758D">
            <w:pPr>
              <w:pStyle w:val="SingleTxtG"/>
              <w:ind w:left="0" w:right="0"/>
              <w:rPr>
                <w:lang w:val="en-GB"/>
              </w:rPr>
            </w:pPr>
            <w:r w:rsidRPr="006C072C">
              <w:rPr>
                <w:lang w:val="fr-FR"/>
              </w:rPr>
              <w:t>Division 1.6</w:t>
            </w:r>
          </w:p>
        </w:tc>
        <w:tc>
          <w:tcPr>
            <w:tcW w:w="1345" w:type="dxa"/>
          </w:tcPr>
          <w:p w:rsidR="006C072C" w:rsidRPr="006C072C" w:rsidRDefault="006C072C" w:rsidP="00DC758D">
            <w:pPr>
              <w:pStyle w:val="SingleTxtG"/>
              <w:ind w:left="0" w:right="0"/>
              <w:jc w:val="right"/>
              <w:rPr>
                <w:lang w:val="en-GB"/>
              </w:rPr>
            </w:pPr>
            <w:r w:rsidRPr="006C072C">
              <w:rPr>
                <w:lang w:val="fr-FR"/>
              </w:rPr>
              <w:t>50 kg</w:t>
            </w:r>
          </w:p>
        </w:tc>
      </w:tr>
      <w:tr w:rsidR="006C072C" w:rsidRPr="006C072C" w:rsidTr="00DC758D">
        <w:trPr>
          <w:cantSplit/>
        </w:trPr>
        <w:tc>
          <w:tcPr>
            <w:tcW w:w="6309" w:type="dxa"/>
          </w:tcPr>
          <w:p w:rsidR="006C072C" w:rsidRPr="006C072C" w:rsidRDefault="006C072C" w:rsidP="00DC758D">
            <w:pPr>
              <w:pStyle w:val="SingleTxtG"/>
              <w:ind w:left="0" w:right="0"/>
              <w:jc w:val="left"/>
              <w:rPr>
                <w:lang w:val="fr-FR"/>
              </w:rPr>
            </w:pPr>
            <w:r w:rsidRPr="006C072C">
              <w:rPr>
                <w:lang w:val="fr-FR"/>
              </w:rPr>
              <w:t>Matières et objets de la Division 1.4 affectés aux numéros ONU 0104, 0237, 0255, 0267, 0289, 0361, 0365, 0366, 0440, 0441, 0455, 0456 et 0500</w:t>
            </w:r>
          </w:p>
        </w:tc>
        <w:tc>
          <w:tcPr>
            <w:tcW w:w="1345" w:type="dxa"/>
          </w:tcPr>
          <w:p w:rsidR="006C072C" w:rsidRPr="006C072C" w:rsidRDefault="006C072C" w:rsidP="00DC758D">
            <w:pPr>
              <w:pStyle w:val="SingleTxtG"/>
              <w:ind w:left="0" w:right="0"/>
              <w:jc w:val="right"/>
              <w:rPr>
                <w:lang w:val="en-GB"/>
              </w:rPr>
            </w:pPr>
            <w:r w:rsidRPr="006C072C">
              <w:rPr>
                <w:lang w:val="fr-FR"/>
              </w:rPr>
              <w:t>0 kg</w:t>
            </w:r>
          </w:p>
        </w:tc>
      </w:tr>
    </w:tbl>
    <w:p w:rsidR="006C072C" w:rsidRPr="006C072C" w:rsidRDefault="006C072C" w:rsidP="00DC758D">
      <w:pPr>
        <w:pStyle w:val="SingleTxtG"/>
        <w:ind w:left="2268"/>
        <w:rPr>
          <w:lang w:val="fr-FR"/>
        </w:rPr>
      </w:pPr>
      <w:r w:rsidRPr="006C072C">
        <w:rPr>
          <w:lang w:val="fr-FR"/>
        </w:rPr>
        <w:t>Pour les chargements en commun, la limite la plus basse applicable à l</w:t>
      </w:r>
      <w:r w:rsidR="006256B6">
        <w:rPr>
          <w:lang w:val="fr-FR"/>
        </w:rPr>
        <w:t>’</w:t>
      </w:r>
      <w:r w:rsidRPr="006C072C">
        <w:rPr>
          <w:lang w:val="fr-FR"/>
        </w:rPr>
        <w:t>une quelconque des matières ou à l</w:t>
      </w:r>
      <w:r w:rsidR="006256B6">
        <w:rPr>
          <w:lang w:val="fr-FR"/>
        </w:rPr>
        <w:t>’</w:t>
      </w:r>
      <w:r w:rsidRPr="006C072C">
        <w:rPr>
          <w:lang w:val="fr-FR"/>
        </w:rPr>
        <w:t>un quelconque des objets transportés sera utilisée pour l</w:t>
      </w:r>
      <w:r w:rsidR="006256B6">
        <w:rPr>
          <w:lang w:val="fr-FR"/>
        </w:rPr>
        <w:t>’</w:t>
      </w:r>
      <w:r w:rsidRPr="006C072C">
        <w:rPr>
          <w:lang w:val="fr-FR"/>
        </w:rPr>
        <w:t>ensemble du chargement.</w:t>
      </w:r>
    </w:p>
    <w:p w:rsidR="006C072C" w:rsidRPr="006C072C" w:rsidRDefault="006C072C" w:rsidP="00DC758D">
      <w:pPr>
        <w:pStyle w:val="SingleTxtG"/>
        <w:ind w:left="2268"/>
        <w:rPr>
          <w:lang w:val="fr-FR"/>
        </w:rPr>
      </w:pPr>
      <w:r w:rsidRPr="006C072C">
        <w:rPr>
          <w:lang w:val="fr-FR"/>
        </w:rPr>
        <w:t>En outre, ces matières et objets</w:t>
      </w:r>
      <w:r w:rsidRPr="005058BA">
        <w:t xml:space="preserve">, </w:t>
      </w:r>
      <w:r w:rsidRPr="006C072C">
        <w:rPr>
          <w:u w:val="single"/>
          <w:lang w:val="fr-FR"/>
        </w:rPr>
        <w:t>lorsqu</w:t>
      </w:r>
      <w:r w:rsidR="006256B6">
        <w:rPr>
          <w:u w:val="single"/>
          <w:lang w:val="fr-FR"/>
        </w:rPr>
        <w:t>’</w:t>
      </w:r>
      <w:r w:rsidRPr="006C072C">
        <w:rPr>
          <w:u w:val="single"/>
          <w:lang w:val="fr-FR"/>
        </w:rPr>
        <w:t>ils sont soumis aux dispositions du</w:t>
      </w:r>
      <w:r w:rsidR="00496420">
        <w:rPr>
          <w:u w:val="single"/>
          <w:lang w:val="fr-FR"/>
        </w:rPr>
        <w:t> </w:t>
      </w:r>
      <w:r w:rsidRPr="006C072C">
        <w:rPr>
          <w:u w:val="single"/>
          <w:lang w:val="fr-FR"/>
        </w:rPr>
        <w:t>1.10.3,</w:t>
      </w:r>
      <w:r w:rsidRPr="006C072C">
        <w:rPr>
          <w:lang w:val="fr-FR"/>
        </w:rPr>
        <w:t xml:space="preserve"> doivent faire 1</w:t>
      </w:r>
      <w:r w:rsidR="006256B6">
        <w:rPr>
          <w:lang w:val="fr-FR"/>
        </w:rPr>
        <w:t>’</w:t>
      </w:r>
      <w:r w:rsidRPr="006C072C">
        <w:rPr>
          <w:lang w:val="fr-FR"/>
        </w:rPr>
        <w:t>objet d</w:t>
      </w:r>
      <w:r w:rsidR="006256B6">
        <w:rPr>
          <w:lang w:val="fr-FR"/>
        </w:rPr>
        <w:t>’</w:t>
      </w:r>
      <w:r w:rsidRPr="006C072C">
        <w:rPr>
          <w:lang w:val="fr-FR"/>
        </w:rPr>
        <w:t>une surveillance constante</w:t>
      </w:r>
      <w:r w:rsidRPr="005058BA">
        <w:t xml:space="preserve">, </w:t>
      </w:r>
      <w:r w:rsidRPr="006C072C">
        <w:rPr>
          <w:u w:val="single"/>
          <w:lang w:val="fr-FR"/>
        </w:rPr>
        <w:t>conformément au plan de sûreté visé au 1.10.3.2</w:t>
      </w:r>
      <w:r w:rsidRPr="005058BA">
        <w:rPr>
          <w:u w:val="single"/>
        </w:rPr>
        <w:t>,</w:t>
      </w:r>
      <w:r w:rsidRPr="006C072C">
        <w:rPr>
          <w:lang w:val="fr-FR"/>
        </w:rPr>
        <w:t xml:space="preserve"> destinée à prévenir tout acte de </w:t>
      </w:r>
      <w:r w:rsidRPr="006C072C">
        <w:rPr>
          <w:lang w:val="fr-FR"/>
        </w:rPr>
        <w:lastRenderedPageBreak/>
        <w:t>malveillance et à alerter le conducteur et les autorités compétentes en cas de perte ou d</w:t>
      </w:r>
      <w:r w:rsidR="006256B6">
        <w:rPr>
          <w:lang w:val="fr-FR"/>
        </w:rPr>
        <w:t>’</w:t>
      </w:r>
      <w:r w:rsidRPr="006C072C">
        <w:rPr>
          <w:lang w:val="fr-FR"/>
        </w:rPr>
        <w:t>incendie.</w:t>
      </w:r>
    </w:p>
    <w:p w:rsidR="006C072C" w:rsidRPr="006C072C" w:rsidRDefault="006C072C" w:rsidP="00DC758D">
      <w:pPr>
        <w:pStyle w:val="SingleTxtG"/>
        <w:ind w:left="2268"/>
        <w:rPr>
          <w:lang w:val="fr-FR"/>
        </w:rPr>
      </w:pPr>
      <w:r w:rsidRPr="006C072C">
        <w:rPr>
          <w:lang w:val="fr-FR"/>
        </w:rPr>
        <w:t>Les emballages vides non nettoyés en sont exemptés</w:t>
      </w:r>
      <w:r w:rsidR="00DC758D">
        <w:rPr>
          <w:lang w:val="fr-FR"/>
        </w:rPr>
        <w:t>.</w:t>
      </w:r>
      <w:r w:rsidRPr="006C072C">
        <w:rPr>
          <w:lang w:val="fr-FR"/>
        </w:rPr>
        <w:t> »</w:t>
      </w:r>
    </w:p>
    <w:p w:rsidR="006C072C" w:rsidRPr="006C072C" w:rsidRDefault="006C072C" w:rsidP="00DC758D">
      <w:pPr>
        <w:pStyle w:val="H1G"/>
        <w:rPr>
          <w:lang w:val="fr-FR"/>
        </w:rPr>
      </w:pPr>
      <w:r w:rsidRPr="006C072C">
        <w:rPr>
          <w:lang w:val="fr-FR"/>
        </w:rPr>
        <w:tab/>
      </w:r>
      <w:r w:rsidRPr="006C072C">
        <w:rPr>
          <w:lang w:val="fr-FR"/>
        </w:rPr>
        <w:tab/>
        <w:t>Proposition</w:t>
      </w:r>
      <w:r w:rsidR="00DC758D">
        <w:rPr>
          <w:lang w:val="fr-FR"/>
        </w:rPr>
        <w:t> </w:t>
      </w:r>
      <w:r w:rsidRPr="006C072C">
        <w:rPr>
          <w:lang w:val="fr-FR"/>
        </w:rPr>
        <w:t>2</w:t>
      </w:r>
    </w:p>
    <w:p w:rsidR="006C072C" w:rsidRPr="00DC758D" w:rsidRDefault="006C072C" w:rsidP="00496420">
      <w:pPr>
        <w:pStyle w:val="SingleTxtG"/>
        <w:keepNext/>
        <w:keepLines/>
      </w:pPr>
      <w:r w:rsidRPr="006C072C">
        <w:rPr>
          <w:lang w:val="fr-FR"/>
        </w:rPr>
        <w:t>12.</w:t>
      </w:r>
      <w:r w:rsidRPr="006C072C">
        <w:rPr>
          <w:lang w:val="fr-FR"/>
        </w:rPr>
        <w:tab/>
      </w:r>
      <w:r w:rsidRPr="006C072C">
        <w:rPr>
          <w:i/>
          <w:iCs/>
          <w:lang w:val="fr-FR"/>
        </w:rPr>
        <w:t>Modifier le texte de la prescription supplémentaire S16 du chapitre 8.5 comme suit (les parties modifiées sont soulignées ou apparaissent en caractères biffés)</w:t>
      </w:r>
      <w:r w:rsidR="00DC758D">
        <w:rPr>
          <w:i/>
          <w:iCs/>
          <w:lang w:val="fr-FR"/>
        </w:rPr>
        <w:t> </w:t>
      </w:r>
      <w:r w:rsidR="00DC758D">
        <w:t>:</w:t>
      </w:r>
    </w:p>
    <w:p w:rsidR="006C072C" w:rsidRPr="006C072C" w:rsidRDefault="00DC758D" w:rsidP="00DC758D">
      <w:pPr>
        <w:pStyle w:val="SingleTxtG"/>
        <w:ind w:left="2268" w:hanging="1134"/>
        <w:rPr>
          <w:lang w:val="fr-FR"/>
        </w:rPr>
      </w:pPr>
      <w:r>
        <w:t>« </w:t>
      </w:r>
      <w:r w:rsidR="006C072C" w:rsidRPr="006C072C">
        <w:rPr>
          <w:b/>
          <w:bCs/>
          <w:lang w:val="fr-FR"/>
        </w:rPr>
        <w:t>S16</w:t>
      </w:r>
      <w:r>
        <w:rPr>
          <w:b/>
          <w:bCs/>
          <w:lang w:val="fr-FR"/>
        </w:rPr>
        <w:t> </w:t>
      </w:r>
      <w:r>
        <w:t>:</w:t>
      </w:r>
      <w:r w:rsidR="006C072C" w:rsidRPr="006C072C">
        <w:rPr>
          <w:lang w:val="fr-FR"/>
        </w:rPr>
        <w:tab/>
      </w:r>
      <w:r w:rsidR="006C072C" w:rsidRPr="006C072C">
        <w:rPr>
          <w:lang w:val="fr-FR"/>
        </w:rPr>
        <w:tab/>
        <w:t>Les dispositions du chapitre 8.4 relatives à la surveillance des véhicules s</w:t>
      </w:r>
      <w:r w:rsidR="006256B6">
        <w:rPr>
          <w:lang w:val="fr-FR"/>
        </w:rPr>
        <w:t>’</w:t>
      </w:r>
      <w:r w:rsidR="006C072C" w:rsidRPr="006C072C">
        <w:rPr>
          <w:lang w:val="fr-FR"/>
        </w:rPr>
        <w:t>appliquent lorsque la masse totale de cette marchandise dans le véhicule dépasse 500</w:t>
      </w:r>
      <w:r>
        <w:rPr>
          <w:lang w:val="fr-FR"/>
        </w:rPr>
        <w:t> </w:t>
      </w:r>
      <w:r w:rsidR="006C072C" w:rsidRPr="006C072C">
        <w:rPr>
          <w:lang w:val="fr-FR"/>
        </w:rPr>
        <w:t xml:space="preserve">kg. </w:t>
      </w:r>
    </w:p>
    <w:p w:rsidR="006C072C" w:rsidRPr="006C072C" w:rsidRDefault="006C072C" w:rsidP="00DC758D">
      <w:pPr>
        <w:pStyle w:val="SingleTxtG"/>
        <w:ind w:left="2268"/>
        <w:rPr>
          <w:lang w:val="fr-FR"/>
        </w:rPr>
      </w:pPr>
      <w:r w:rsidRPr="006C072C">
        <w:rPr>
          <w:lang w:val="fr-FR"/>
        </w:rPr>
        <w:t>En outre, les véhicules transportant plus de 500</w:t>
      </w:r>
      <w:r w:rsidR="00DC758D">
        <w:rPr>
          <w:lang w:val="fr-FR"/>
        </w:rPr>
        <w:t> </w:t>
      </w:r>
      <w:r w:rsidRPr="006C072C">
        <w:rPr>
          <w:lang w:val="fr-FR"/>
        </w:rPr>
        <w:t>kg de cette marchandise</w:t>
      </w:r>
      <w:r w:rsidRPr="006C072C">
        <w:rPr>
          <w:u w:val="single"/>
          <w:lang w:val="fr-FR"/>
        </w:rPr>
        <w:t>, lorsqu</w:t>
      </w:r>
      <w:r w:rsidR="006256B6">
        <w:rPr>
          <w:u w:val="single"/>
          <w:lang w:val="fr-FR"/>
        </w:rPr>
        <w:t>’</w:t>
      </w:r>
      <w:r w:rsidRPr="006C072C">
        <w:rPr>
          <w:u w:val="single"/>
          <w:lang w:val="fr-FR"/>
        </w:rPr>
        <w:t>ils sont soumis aux dispositions du 1.10.3,</w:t>
      </w:r>
      <w:r w:rsidRPr="006C072C">
        <w:rPr>
          <w:lang w:val="fr-FR"/>
        </w:rPr>
        <w:t xml:space="preserve"> </w:t>
      </w:r>
      <w:r w:rsidRPr="005058BA">
        <w:rPr>
          <w:strike/>
          <w:lang w:val="fr-FR"/>
        </w:rPr>
        <w:t>feront toujours</w:t>
      </w:r>
      <w:r w:rsidRPr="006C072C">
        <w:rPr>
          <w:lang w:val="fr-FR"/>
        </w:rPr>
        <w:t xml:space="preserve"> doivent </w:t>
      </w:r>
      <w:r w:rsidRPr="006C072C">
        <w:rPr>
          <w:u w:val="single"/>
          <w:lang w:val="fr-FR"/>
        </w:rPr>
        <w:t>faire 1</w:t>
      </w:r>
      <w:r w:rsidR="006256B6">
        <w:rPr>
          <w:u w:val="single"/>
          <w:lang w:val="fr-FR"/>
        </w:rPr>
        <w:t>’</w:t>
      </w:r>
      <w:r w:rsidRPr="006C072C">
        <w:rPr>
          <w:u w:val="single"/>
          <w:lang w:val="fr-FR"/>
        </w:rPr>
        <w:t>objet d</w:t>
      </w:r>
      <w:r w:rsidR="006256B6">
        <w:rPr>
          <w:u w:val="single"/>
          <w:lang w:val="fr-FR"/>
        </w:rPr>
        <w:t>’</w:t>
      </w:r>
      <w:r w:rsidRPr="006C072C">
        <w:rPr>
          <w:u w:val="single"/>
          <w:lang w:val="fr-FR"/>
        </w:rPr>
        <w:t xml:space="preserve">une surveillance </w:t>
      </w:r>
      <w:r w:rsidRPr="006C072C">
        <w:rPr>
          <w:bCs/>
          <w:u w:val="single"/>
          <w:lang w:val="fr-FR"/>
        </w:rPr>
        <w:t>constante</w:t>
      </w:r>
      <w:r w:rsidRPr="006C072C">
        <w:rPr>
          <w:u w:val="single"/>
          <w:lang w:val="fr-FR"/>
        </w:rPr>
        <w:t>, conformément au plan de sûreté visé au 1.10.3.2</w:t>
      </w:r>
      <w:r w:rsidRPr="00DC758D">
        <w:t>,</w:t>
      </w:r>
      <w:r w:rsidRPr="006C072C">
        <w:rPr>
          <w:lang w:val="fr-FR"/>
        </w:rPr>
        <w:t xml:space="preserve"> </w:t>
      </w:r>
      <w:r w:rsidRPr="006C072C">
        <w:rPr>
          <w:bCs/>
          <w:lang w:val="fr-FR"/>
        </w:rPr>
        <w:t>propre à</w:t>
      </w:r>
      <w:r w:rsidRPr="006C072C">
        <w:rPr>
          <w:lang w:val="fr-FR"/>
        </w:rPr>
        <w:t xml:space="preserve"> empêcher toute action de malveillance et à alerter le conducteur et les autorités compétentes en cas de perte ou d</w:t>
      </w:r>
      <w:r w:rsidR="006256B6">
        <w:rPr>
          <w:lang w:val="fr-FR"/>
        </w:rPr>
        <w:t>’</w:t>
      </w:r>
      <w:r w:rsidRPr="006C072C">
        <w:rPr>
          <w:lang w:val="fr-FR"/>
        </w:rPr>
        <w:t>incendie</w:t>
      </w:r>
      <w:r w:rsidR="00DC758D">
        <w:rPr>
          <w:lang w:val="fr-FR"/>
        </w:rPr>
        <w:t>.</w:t>
      </w:r>
      <w:r w:rsidRPr="006C072C">
        <w:rPr>
          <w:lang w:val="fr-FR"/>
        </w:rPr>
        <w:t> »</w:t>
      </w:r>
    </w:p>
    <w:p w:rsidR="006C072C" w:rsidRPr="006C072C" w:rsidRDefault="006C072C" w:rsidP="00DC758D">
      <w:pPr>
        <w:pStyle w:val="H1G"/>
        <w:rPr>
          <w:lang w:val="fr-FR"/>
        </w:rPr>
      </w:pPr>
      <w:r w:rsidRPr="006C072C">
        <w:rPr>
          <w:lang w:val="fr-FR"/>
        </w:rPr>
        <w:tab/>
      </w:r>
      <w:r w:rsidRPr="006C072C">
        <w:rPr>
          <w:lang w:val="fr-FR"/>
        </w:rPr>
        <w:tab/>
        <w:t>Proposition</w:t>
      </w:r>
      <w:r w:rsidR="00DC758D">
        <w:rPr>
          <w:lang w:val="fr-FR"/>
        </w:rPr>
        <w:t> </w:t>
      </w:r>
      <w:r w:rsidRPr="006C072C">
        <w:rPr>
          <w:lang w:val="fr-FR"/>
        </w:rPr>
        <w:t>3</w:t>
      </w:r>
    </w:p>
    <w:p w:rsidR="006C072C" w:rsidRPr="00DC758D" w:rsidRDefault="006C072C" w:rsidP="00496420">
      <w:pPr>
        <w:pStyle w:val="SingleTxtG"/>
        <w:keepNext/>
        <w:keepLines/>
      </w:pPr>
      <w:r w:rsidRPr="006C072C">
        <w:rPr>
          <w:lang w:val="fr-FR"/>
        </w:rPr>
        <w:t>13.</w:t>
      </w:r>
      <w:r w:rsidRPr="006C072C">
        <w:rPr>
          <w:lang w:val="fr-FR"/>
        </w:rPr>
        <w:tab/>
      </w:r>
      <w:r w:rsidRPr="006C072C">
        <w:rPr>
          <w:i/>
          <w:iCs/>
          <w:lang w:val="fr-FR"/>
        </w:rPr>
        <w:t>Modifier le texte de la prescription supplémentaire S21 du chapitre 8.5 comme suit (les parties modifiées sont soulignées ou apparaissent en caractères biffés)</w:t>
      </w:r>
      <w:r w:rsidR="00DC758D">
        <w:rPr>
          <w:i/>
          <w:iCs/>
          <w:lang w:val="fr-FR"/>
        </w:rPr>
        <w:t> </w:t>
      </w:r>
      <w:r w:rsidR="00DC758D">
        <w:t>:</w:t>
      </w:r>
    </w:p>
    <w:p w:rsidR="006C072C" w:rsidRPr="006C072C" w:rsidRDefault="00DC758D" w:rsidP="00DC758D">
      <w:pPr>
        <w:pStyle w:val="SingleTxtG"/>
        <w:ind w:left="2268" w:hanging="1134"/>
        <w:rPr>
          <w:lang w:val="fr-FR"/>
        </w:rPr>
      </w:pPr>
      <w:r>
        <w:t>« </w:t>
      </w:r>
      <w:r w:rsidR="006C072C" w:rsidRPr="006C072C">
        <w:rPr>
          <w:b/>
          <w:bCs/>
          <w:lang w:val="fr-FR"/>
        </w:rPr>
        <w:t>S21</w:t>
      </w:r>
      <w:r>
        <w:rPr>
          <w:b/>
          <w:bCs/>
          <w:lang w:val="fr-FR"/>
        </w:rPr>
        <w:t> </w:t>
      </w:r>
      <w:r>
        <w:t>:</w:t>
      </w:r>
      <w:r>
        <w:tab/>
      </w:r>
      <w:r w:rsidR="006C072C" w:rsidRPr="006C072C">
        <w:rPr>
          <w:lang w:val="fr-FR"/>
        </w:rPr>
        <w:tab/>
        <w:t xml:space="preserve">Les dispositions du chapitre 8.4 relatives à la surveillance des véhicules sont applicables à toutes les matières, quelle que soit la masse. </w:t>
      </w:r>
      <w:r w:rsidR="006C072C" w:rsidRPr="005058BA">
        <w:rPr>
          <w:strike/>
          <w:lang w:val="fr-FR"/>
        </w:rPr>
        <w:t>En outre, ces marchandises doivent toujours faire l</w:t>
      </w:r>
      <w:r w:rsidR="006256B6" w:rsidRPr="005058BA">
        <w:rPr>
          <w:strike/>
          <w:lang w:val="fr-FR"/>
        </w:rPr>
        <w:t>’</w:t>
      </w:r>
      <w:r w:rsidR="006C072C" w:rsidRPr="005058BA">
        <w:rPr>
          <w:strike/>
          <w:lang w:val="fr-FR"/>
        </w:rPr>
        <w:t>objet d</w:t>
      </w:r>
      <w:r w:rsidR="006256B6" w:rsidRPr="005058BA">
        <w:rPr>
          <w:strike/>
          <w:lang w:val="fr-FR"/>
        </w:rPr>
        <w:t>’</w:t>
      </w:r>
      <w:r w:rsidR="006C072C" w:rsidRPr="005058BA">
        <w:rPr>
          <w:strike/>
          <w:lang w:val="fr-FR"/>
        </w:rPr>
        <w:t>une surveillance propre à empêcher toute action de malveillance et à alerter le conducteur et les autorités compétentes en cas de perte ou d</w:t>
      </w:r>
      <w:r w:rsidR="006256B6" w:rsidRPr="005058BA">
        <w:rPr>
          <w:strike/>
          <w:lang w:val="fr-FR"/>
        </w:rPr>
        <w:t>’</w:t>
      </w:r>
      <w:r w:rsidR="006C072C" w:rsidRPr="005058BA">
        <w:rPr>
          <w:strike/>
          <w:lang w:val="fr-FR"/>
        </w:rPr>
        <w:t>incendie.</w:t>
      </w:r>
      <w:r w:rsidR="006C072C" w:rsidRPr="006C072C">
        <w:rPr>
          <w:lang w:val="fr-FR"/>
        </w:rPr>
        <w:t xml:space="preserve"> Toutefois, il n</w:t>
      </w:r>
      <w:r w:rsidR="006256B6">
        <w:rPr>
          <w:lang w:val="fr-FR"/>
        </w:rPr>
        <w:t>’</w:t>
      </w:r>
      <w:r w:rsidR="006C072C" w:rsidRPr="006C072C">
        <w:rPr>
          <w:lang w:val="fr-FR"/>
        </w:rPr>
        <w:t>est pas nécessaire d</w:t>
      </w:r>
      <w:r w:rsidR="006256B6">
        <w:rPr>
          <w:lang w:val="fr-FR"/>
        </w:rPr>
        <w:t>’</w:t>
      </w:r>
      <w:r w:rsidR="006C072C" w:rsidRPr="006C072C">
        <w:rPr>
          <w:lang w:val="fr-FR"/>
        </w:rPr>
        <w:t>appliquer les dispositions du chapitre</w:t>
      </w:r>
      <w:r>
        <w:rPr>
          <w:lang w:val="fr-FR"/>
        </w:rPr>
        <w:t> </w:t>
      </w:r>
      <w:r w:rsidR="006C072C" w:rsidRPr="006C072C">
        <w:rPr>
          <w:lang w:val="fr-FR"/>
        </w:rPr>
        <w:t>8.4 dans le cas où</w:t>
      </w:r>
      <w:r>
        <w:rPr>
          <w:lang w:val="fr-FR"/>
        </w:rPr>
        <w:t> :</w:t>
      </w:r>
    </w:p>
    <w:p w:rsidR="006C072C" w:rsidRPr="006C072C" w:rsidRDefault="006C072C" w:rsidP="00DC758D">
      <w:pPr>
        <w:pStyle w:val="SingleTxtG"/>
        <w:ind w:left="2835" w:hanging="567"/>
        <w:rPr>
          <w:lang w:val="fr-FR"/>
        </w:rPr>
      </w:pPr>
      <w:r w:rsidRPr="006C072C">
        <w:rPr>
          <w:lang w:val="fr-FR"/>
        </w:rPr>
        <w:t>a)</w:t>
      </w:r>
      <w:r w:rsidRPr="006C072C">
        <w:rPr>
          <w:lang w:val="fr-FR"/>
        </w:rPr>
        <w:tab/>
      </w:r>
      <w:r w:rsidR="00DC758D" w:rsidRPr="006C072C">
        <w:rPr>
          <w:lang w:val="fr-FR"/>
        </w:rPr>
        <w:t>L</w:t>
      </w:r>
      <w:r w:rsidRPr="006C072C">
        <w:rPr>
          <w:lang w:val="fr-FR"/>
        </w:rPr>
        <w:t>e compartiment chargé est verrouillé ou les colis transportés sont protégés d</w:t>
      </w:r>
      <w:r w:rsidR="006256B6">
        <w:rPr>
          <w:lang w:val="fr-FR"/>
        </w:rPr>
        <w:t>’</w:t>
      </w:r>
      <w:r w:rsidRPr="006C072C">
        <w:rPr>
          <w:lang w:val="fr-FR"/>
        </w:rPr>
        <w:t>une autre manière contre tout déchargement illégal</w:t>
      </w:r>
      <w:r w:rsidR="00DC758D">
        <w:rPr>
          <w:lang w:val="fr-FR"/>
        </w:rPr>
        <w:t> ;</w:t>
      </w:r>
      <w:r w:rsidRPr="006C072C">
        <w:rPr>
          <w:lang w:val="fr-FR"/>
        </w:rPr>
        <w:t xml:space="preserve"> et</w:t>
      </w:r>
    </w:p>
    <w:p w:rsidR="006C072C" w:rsidRPr="006C072C" w:rsidRDefault="006C072C" w:rsidP="00DC758D">
      <w:pPr>
        <w:pStyle w:val="SingleTxtG"/>
        <w:ind w:left="2835" w:hanging="567"/>
        <w:rPr>
          <w:lang w:val="fr-FR"/>
        </w:rPr>
      </w:pPr>
      <w:r w:rsidRPr="006C072C">
        <w:rPr>
          <w:lang w:val="fr-FR"/>
        </w:rPr>
        <w:t>b)</w:t>
      </w:r>
      <w:r w:rsidRPr="006C072C">
        <w:rPr>
          <w:lang w:val="fr-FR"/>
        </w:rPr>
        <w:tab/>
      </w:r>
      <w:r w:rsidR="00DC758D" w:rsidRPr="006C072C">
        <w:rPr>
          <w:lang w:val="fr-FR"/>
        </w:rPr>
        <w:t>L</w:t>
      </w:r>
      <w:r w:rsidRPr="006C072C">
        <w:rPr>
          <w:lang w:val="fr-FR"/>
        </w:rPr>
        <w:t>e débit de dose ne dépasse pas 5</w:t>
      </w:r>
      <w:r w:rsidR="00DC758D">
        <w:rPr>
          <w:lang w:val="fr-FR"/>
        </w:rPr>
        <w:t> </w:t>
      </w:r>
      <w:r w:rsidRPr="006C072C">
        <w:rPr>
          <w:lang w:val="en-GB"/>
        </w:rPr>
        <w:sym w:font="Symbol" w:char="F06D"/>
      </w:r>
      <w:r w:rsidRPr="006C072C">
        <w:rPr>
          <w:lang w:val="fr-FR"/>
        </w:rPr>
        <w:t xml:space="preserve">Sv/h en tout point accessible de la surface du véhicule. </w:t>
      </w:r>
    </w:p>
    <w:p w:rsidR="006C072C" w:rsidRPr="00DC758D" w:rsidRDefault="006C072C" w:rsidP="00DC758D">
      <w:pPr>
        <w:pStyle w:val="SingleTxtG"/>
        <w:ind w:left="2268"/>
      </w:pPr>
      <w:r w:rsidRPr="006C072C">
        <w:rPr>
          <w:u w:val="single"/>
          <w:lang w:val="fr-FR"/>
        </w:rPr>
        <w:t>En outre, ces marchandises, lorsqu</w:t>
      </w:r>
      <w:r w:rsidR="006256B6">
        <w:rPr>
          <w:u w:val="single"/>
          <w:lang w:val="fr-FR"/>
        </w:rPr>
        <w:t>’</w:t>
      </w:r>
      <w:r w:rsidRPr="006C072C">
        <w:rPr>
          <w:u w:val="single"/>
          <w:lang w:val="fr-FR"/>
        </w:rPr>
        <w:t>elles sont soumises aux dispositions du</w:t>
      </w:r>
      <w:r w:rsidR="00DC758D">
        <w:rPr>
          <w:u w:val="single"/>
          <w:lang w:val="fr-FR"/>
        </w:rPr>
        <w:t> </w:t>
      </w:r>
      <w:r w:rsidRPr="006C072C">
        <w:rPr>
          <w:u w:val="single"/>
          <w:lang w:val="fr-FR"/>
        </w:rPr>
        <w:t>1.10.3, doivent faire 1</w:t>
      </w:r>
      <w:r w:rsidR="006256B6">
        <w:rPr>
          <w:u w:val="single"/>
          <w:lang w:val="fr-FR"/>
        </w:rPr>
        <w:t>’</w:t>
      </w:r>
      <w:r w:rsidRPr="006C072C">
        <w:rPr>
          <w:u w:val="single"/>
          <w:lang w:val="fr-FR"/>
        </w:rPr>
        <w:t>objet d</w:t>
      </w:r>
      <w:r w:rsidR="006256B6">
        <w:rPr>
          <w:u w:val="single"/>
          <w:lang w:val="fr-FR"/>
        </w:rPr>
        <w:t>’</w:t>
      </w:r>
      <w:r w:rsidRPr="006C072C">
        <w:rPr>
          <w:u w:val="single"/>
          <w:lang w:val="fr-FR"/>
        </w:rPr>
        <w:t>une surveillance constante, conformément au plan de sûreté visé au</w:t>
      </w:r>
      <w:r w:rsidR="00DC758D">
        <w:rPr>
          <w:u w:val="single"/>
          <w:lang w:val="fr-FR"/>
        </w:rPr>
        <w:t> </w:t>
      </w:r>
      <w:r w:rsidRPr="006C072C">
        <w:rPr>
          <w:u w:val="single"/>
          <w:lang w:val="fr-FR"/>
        </w:rPr>
        <w:t>1.10.3.2, propre à empêcher tout</w:t>
      </w:r>
      <w:r w:rsidR="005058BA">
        <w:rPr>
          <w:u w:val="single"/>
          <w:lang w:val="fr-FR"/>
        </w:rPr>
        <w:t>e</w:t>
      </w:r>
      <w:r w:rsidRPr="006C072C">
        <w:rPr>
          <w:u w:val="single"/>
          <w:lang w:val="fr-FR"/>
        </w:rPr>
        <w:t xml:space="preserve"> action de malveillance et à alerter le conducteur et les autorités compétentes en cas de perte ou d</w:t>
      </w:r>
      <w:r w:rsidR="006256B6">
        <w:rPr>
          <w:u w:val="single"/>
          <w:lang w:val="fr-FR"/>
        </w:rPr>
        <w:t>’</w:t>
      </w:r>
      <w:r w:rsidRPr="006C072C">
        <w:rPr>
          <w:u w:val="single"/>
          <w:lang w:val="fr-FR"/>
        </w:rPr>
        <w:t>incendie</w:t>
      </w:r>
      <w:r w:rsidR="00DC758D">
        <w:rPr>
          <w:u w:val="single"/>
          <w:lang w:val="fr-FR"/>
        </w:rPr>
        <w:t>.</w:t>
      </w:r>
      <w:r w:rsidR="00DC758D">
        <w:t> </w:t>
      </w:r>
      <w:r w:rsidRPr="00DC758D">
        <w:t>»</w:t>
      </w:r>
    </w:p>
    <w:p w:rsidR="006C072C" w:rsidRPr="006C072C" w:rsidRDefault="006C072C" w:rsidP="00DC758D">
      <w:pPr>
        <w:pStyle w:val="HChG"/>
        <w:rPr>
          <w:lang w:val="fr-FR"/>
        </w:rPr>
      </w:pPr>
      <w:r w:rsidRPr="006C072C">
        <w:rPr>
          <w:lang w:val="fr-FR"/>
        </w:rPr>
        <w:tab/>
      </w:r>
      <w:r w:rsidRPr="006C072C">
        <w:rPr>
          <w:lang w:val="fr-FR"/>
        </w:rPr>
        <w:tab/>
        <w:t xml:space="preserve">Justification </w:t>
      </w:r>
    </w:p>
    <w:p w:rsidR="006C072C" w:rsidRPr="006C072C" w:rsidRDefault="006C072C" w:rsidP="006C072C">
      <w:pPr>
        <w:pStyle w:val="SingleTxtG"/>
        <w:rPr>
          <w:lang w:val="fr-FR"/>
        </w:rPr>
      </w:pPr>
      <w:r w:rsidRPr="006C072C">
        <w:rPr>
          <w:lang w:val="fr-FR"/>
        </w:rPr>
        <w:t>14.</w:t>
      </w:r>
      <w:r w:rsidRPr="006C072C">
        <w:rPr>
          <w:lang w:val="fr-FR"/>
        </w:rPr>
        <w:tab/>
        <w:t>Le chapitre</w:t>
      </w:r>
      <w:r w:rsidR="00DC758D">
        <w:rPr>
          <w:lang w:val="fr-FR"/>
        </w:rPr>
        <w:t> </w:t>
      </w:r>
      <w:r w:rsidRPr="006C072C">
        <w:rPr>
          <w:lang w:val="fr-FR"/>
        </w:rPr>
        <w:t>1.10 porte sur les dispositions concernant la sûreté. Des travaux sont actuellement menés pour déterminer les matières et objets qui devraient être considérés comme des marchandises dangereuses à haut risque et pour lesquels des mesures spécifiques devraient être prises afin de réduire autant que possible le risque de vol ou d</w:t>
      </w:r>
      <w:r w:rsidR="006256B6">
        <w:rPr>
          <w:lang w:val="fr-FR"/>
        </w:rPr>
        <w:t>’</w:t>
      </w:r>
      <w:r w:rsidRPr="006C072C">
        <w:rPr>
          <w:lang w:val="fr-FR"/>
        </w:rPr>
        <w:t>utilisation malveillante. L</w:t>
      </w:r>
      <w:r w:rsidR="006256B6">
        <w:rPr>
          <w:lang w:val="fr-FR"/>
        </w:rPr>
        <w:t>’</w:t>
      </w:r>
      <w:r w:rsidRPr="006C072C">
        <w:rPr>
          <w:lang w:val="fr-FR"/>
        </w:rPr>
        <w:t>ajout, au chapitre</w:t>
      </w:r>
      <w:r w:rsidR="00DC758D">
        <w:rPr>
          <w:lang w:val="fr-FR"/>
        </w:rPr>
        <w:t> </w:t>
      </w:r>
      <w:r w:rsidRPr="006C072C">
        <w:rPr>
          <w:lang w:val="fr-FR"/>
        </w:rPr>
        <w:t>8.5, d</w:t>
      </w:r>
      <w:r w:rsidR="006256B6">
        <w:rPr>
          <w:lang w:val="fr-FR"/>
        </w:rPr>
        <w:t>’</w:t>
      </w:r>
      <w:r w:rsidRPr="006C072C">
        <w:rPr>
          <w:lang w:val="fr-FR"/>
        </w:rPr>
        <w:t>une référence au plan de sûreté visé au chapitre</w:t>
      </w:r>
      <w:r w:rsidR="00DC758D">
        <w:rPr>
          <w:lang w:val="fr-FR"/>
        </w:rPr>
        <w:t> </w:t>
      </w:r>
      <w:r w:rsidRPr="006C072C">
        <w:rPr>
          <w:lang w:val="fr-FR"/>
        </w:rPr>
        <w:t>1.10 rendrait donc ces dispositions plus cohérentes.</w:t>
      </w:r>
    </w:p>
    <w:p w:rsidR="006C072C" w:rsidRPr="006C072C" w:rsidRDefault="006C072C" w:rsidP="006C072C">
      <w:pPr>
        <w:pStyle w:val="SingleTxtG"/>
        <w:rPr>
          <w:lang w:val="fr-FR"/>
        </w:rPr>
      </w:pPr>
      <w:r w:rsidRPr="006C072C">
        <w:rPr>
          <w:lang w:val="fr-FR"/>
        </w:rPr>
        <w:t>15.</w:t>
      </w:r>
      <w:r w:rsidRPr="006C072C">
        <w:rPr>
          <w:lang w:val="fr-FR"/>
        </w:rPr>
        <w:tab/>
        <w:t>Au cours de ses travaux sur cette question, la Suède a tenu un certain nombre de réunions avec des acteurs du secteur des matières et objets explosibles. Il est clairement ressorti de ces échanges que les entreprises étaient de manière générale très sensibles à la question de la sûreté et de la sécurité, non seulement en raison de la nature des marchandises et du caractère obligatoire des dispositions, mais également dans un souci de protection des intérêts économiques et de la réputation de ces entreprises. Il était donc particulièrement important de faire appel à un transporteur professionnel et sérieux.</w:t>
      </w:r>
    </w:p>
    <w:p w:rsidR="006C072C" w:rsidRPr="006C072C" w:rsidRDefault="006C072C" w:rsidP="006C072C">
      <w:pPr>
        <w:pStyle w:val="SingleTxtG"/>
        <w:rPr>
          <w:lang w:val="fr-FR"/>
        </w:rPr>
      </w:pPr>
      <w:r w:rsidRPr="006C072C">
        <w:rPr>
          <w:lang w:val="fr-FR"/>
        </w:rPr>
        <w:lastRenderedPageBreak/>
        <w:t>16.</w:t>
      </w:r>
      <w:r w:rsidRPr="006C072C">
        <w:rPr>
          <w:lang w:val="fr-FR"/>
        </w:rPr>
        <w:tab/>
        <w:t>Enfin, il convient de garder à l</w:t>
      </w:r>
      <w:r w:rsidR="006256B6">
        <w:rPr>
          <w:lang w:val="fr-FR"/>
        </w:rPr>
        <w:t>’</w:t>
      </w:r>
      <w:r w:rsidRPr="006C072C">
        <w:rPr>
          <w:lang w:val="fr-FR"/>
        </w:rPr>
        <w:t>esprit que chaque pays peut, en outre, toujours adopter (ou maintenir) des prescriptions nationales en matière de sûreté.</w:t>
      </w:r>
    </w:p>
    <w:p w:rsidR="006C072C" w:rsidRPr="00DC758D" w:rsidRDefault="00DC758D" w:rsidP="00DC758D">
      <w:pPr>
        <w:pStyle w:val="SingleTxtG"/>
        <w:spacing w:before="240" w:after="0"/>
        <w:jc w:val="center"/>
        <w:rPr>
          <w:u w:val="single"/>
        </w:rPr>
      </w:pPr>
      <w:r>
        <w:rPr>
          <w:u w:val="single"/>
          <w:lang w:val="fr-FR"/>
        </w:rPr>
        <w:tab/>
      </w:r>
      <w:r>
        <w:rPr>
          <w:u w:val="single"/>
          <w:lang w:val="fr-FR"/>
        </w:rPr>
        <w:tab/>
      </w:r>
      <w:r>
        <w:rPr>
          <w:u w:val="single"/>
          <w:lang w:val="fr-FR"/>
        </w:rPr>
        <w:tab/>
      </w:r>
    </w:p>
    <w:sectPr w:rsidR="006C072C" w:rsidRPr="00DC758D" w:rsidSect="006C072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99A" w:rsidRDefault="0049099A" w:rsidP="00F95C08">
      <w:pPr>
        <w:spacing w:line="240" w:lineRule="auto"/>
      </w:pPr>
    </w:p>
  </w:endnote>
  <w:endnote w:type="continuationSeparator" w:id="0">
    <w:p w:rsidR="0049099A" w:rsidRPr="00AC3823" w:rsidRDefault="0049099A" w:rsidP="00AC3823">
      <w:pPr>
        <w:pStyle w:val="Footer"/>
      </w:pPr>
    </w:p>
  </w:endnote>
  <w:endnote w:type="continuationNotice" w:id="1">
    <w:p w:rsidR="0049099A" w:rsidRDefault="004909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2C" w:rsidRPr="006C072C" w:rsidRDefault="006C072C" w:rsidP="006C072C">
    <w:pPr>
      <w:pStyle w:val="Footer"/>
      <w:tabs>
        <w:tab w:val="right" w:pos="9638"/>
      </w:tabs>
    </w:pPr>
    <w:r w:rsidRPr="006C072C">
      <w:rPr>
        <w:b/>
        <w:sz w:val="18"/>
      </w:rPr>
      <w:fldChar w:fldCharType="begin"/>
    </w:r>
    <w:r w:rsidRPr="006C072C">
      <w:rPr>
        <w:b/>
        <w:sz w:val="18"/>
      </w:rPr>
      <w:instrText xml:space="preserve"> PAGE  \* MERGEFORMAT </w:instrText>
    </w:r>
    <w:r w:rsidRPr="006C072C">
      <w:rPr>
        <w:b/>
        <w:sz w:val="18"/>
      </w:rPr>
      <w:fldChar w:fldCharType="separate"/>
    </w:r>
    <w:r w:rsidRPr="006C072C">
      <w:rPr>
        <w:b/>
        <w:noProof/>
        <w:sz w:val="18"/>
      </w:rPr>
      <w:t>2</w:t>
    </w:r>
    <w:r w:rsidRPr="006C072C">
      <w:rPr>
        <w:b/>
        <w:sz w:val="18"/>
      </w:rPr>
      <w:fldChar w:fldCharType="end"/>
    </w:r>
    <w:r>
      <w:rPr>
        <w:b/>
        <w:sz w:val="18"/>
      </w:rPr>
      <w:tab/>
    </w:r>
    <w:r>
      <w:t>GE.19-13991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2C" w:rsidRPr="006C072C" w:rsidRDefault="006C072C" w:rsidP="006C072C">
    <w:pPr>
      <w:pStyle w:val="Footer"/>
      <w:tabs>
        <w:tab w:val="right" w:pos="9638"/>
      </w:tabs>
      <w:rPr>
        <w:b/>
        <w:sz w:val="18"/>
      </w:rPr>
    </w:pPr>
    <w:r>
      <w:t>GE.19-13991</w:t>
    </w:r>
    <w:r>
      <w:tab/>
    </w:r>
    <w:r w:rsidRPr="006C072C">
      <w:rPr>
        <w:b/>
        <w:sz w:val="18"/>
      </w:rPr>
      <w:fldChar w:fldCharType="begin"/>
    </w:r>
    <w:r w:rsidRPr="006C072C">
      <w:rPr>
        <w:b/>
        <w:sz w:val="18"/>
      </w:rPr>
      <w:instrText xml:space="preserve"> PAGE  \* MERGEFORMAT </w:instrText>
    </w:r>
    <w:r w:rsidRPr="006C072C">
      <w:rPr>
        <w:b/>
        <w:sz w:val="18"/>
      </w:rPr>
      <w:fldChar w:fldCharType="separate"/>
    </w:r>
    <w:r w:rsidRPr="006C072C">
      <w:rPr>
        <w:b/>
        <w:noProof/>
        <w:sz w:val="18"/>
      </w:rPr>
      <w:t>3</w:t>
    </w:r>
    <w:r w:rsidRPr="006C07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6C072C" w:rsidRDefault="006C072C" w:rsidP="006C072C">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13991  (</w:t>
    </w:r>
    <w:proofErr w:type="gramEnd"/>
    <w:r>
      <w:rPr>
        <w:sz w:val="20"/>
      </w:rPr>
      <w:t>F)</w:t>
    </w:r>
    <w:r w:rsidR="006256B6">
      <w:rPr>
        <w:sz w:val="20"/>
      </w:rPr>
      <w:t xml:space="preserve">    230919    2</w:t>
    </w:r>
    <w:r w:rsidR="005058BA">
      <w:rPr>
        <w:sz w:val="20"/>
      </w:rPr>
      <w:t>5</w:t>
    </w:r>
    <w:r w:rsidR="006256B6">
      <w:rPr>
        <w:sz w:val="20"/>
      </w:rPr>
      <w:t>0919</w:t>
    </w:r>
    <w:r>
      <w:rPr>
        <w:sz w:val="20"/>
      </w:rPr>
      <w:br/>
    </w:r>
    <w:r w:rsidRPr="006C072C">
      <w:rPr>
        <w:rFonts w:ascii="C39T30Lfz" w:hAnsi="C39T30Lfz"/>
        <w:sz w:val="56"/>
      </w:rPr>
      <w:t></w:t>
    </w:r>
    <w:r w:rsidRPr="006C072C">
      <w:rPr>
        <w:rFonts w:ascii="C39T30Lfz" w:hAnsi="C39T30Lfz"/>
        <w:sz w:val="56"/>
      </w:rPr>
      <w:t></w:t>
    </w:r>
    <w:r w:rsidRPr="006C072C">
      <w:rPr>
        <w:rFonts w:ascii="C39T30Lfz" w:hAnsi="C39T30Lfz"/>
        <w:sz w:val="56"/>
      </w:rPr>
      <w:t></w:t>
    </w:r>
    <w:r w:rsidRPr="006C072C">
      <w:rPr>
        <w:rFonts w:ascii="C39T30Lfz" w:hAnsi="C39T30Lfz"/>
        <w:sz w:val="56"/>
      </w:rPr>
      <w:t></w:t>
    </w:r>
    <w:r w:rsidRPr="006C072C">
      <w:rPr>
        <w:rFonts w:ascii="C39T30Lfz" w:hAnsi="C39T30Lfz"/>
        <w:sz w:val="56"/>
      </w:rPr>
      <w:t></w:t>
    </w:r>
    <w:r w:rsidRPr="006C072C">
      <w:rPr>
        <w:rFonts w:ascii="C39T30Lfz" w:hAnsi="C39T30Lfz"/>
        <w:sz w:val="56"/>
      </w:rPr>
      <w:t></w:t>
    </w:r>
    <w:r w:rsidRPr="006C072C">
      <w:rPr>
        <w:rFonts w:ascii="C39T30Lfz" w:hAnsi="C39T30Lfz"/>
        <w:sz w:val="56"/>
      </w:rPr>
      <w:t></w:t>
    </w:r>
    <w:r w:rsidRPr="006C072C">
      <w:rPr>
        <w:rFonts w:ascii="C39T30Lfz" w:hAnsi="C39T30Lfz"/>
        <w:sz w:val="56"/>
      </w:rPr>
      <w:t></w:t>
    </w:r>
    <w:r w:rsidRPr="006C072C">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2019/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9/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99A" w:rsidRPr="00AC3823" w:rsidRDefault="0049099A" w:rsidP="00AC3823">
      <w:pPr>
        <w:pStyle w:val="Footer"/>
        <w:tabs>
          <w:tab w:val="right" w:pos="2155"/>
        </w:tabs>
        <w:spacing w:after="80" w:line="240" w:lineRule="atLeast"/>
        <w:ind w:left="680"/>
        <w:rPr>
          <w:u w:val="single"/>
        </w:rPr>
      </w:pPr>
      <w:r>
        <w:rPr>
          <w:u w:val="single"/>
        </w:rPr>
        <w:tab/>
      </w:r>
    </w:p>
  </w:footnote>
  <w:footnote w:type="continuationSeparator" w:id="0">
    <w:p w:rsidR="0049099A" w:rsidRPr="00AC3823" w:rsidRDefault="0049099A" w:rsidP="00AC3823">
      <w:pPr>
        <w:pStyle w:val="Footer"/>
        <w:tabs>
          <w:tab w:val="right" w:pos="2155"/>
        </w:tabs>
        <w:spacing w:after="80" w:line="240" w:lineRule="atLeast"/>
        <w:ind w:left="680"/>
        <w:rPr>
          <w:u w:val="single"/>
        </w:rPr>
      </w:pPr>
      <w:r>
        <w:rPr>
          <w:u w:val="single"/>
        </w:rPr>
        <w:tab/>
      </w:r>
    </w:p>
  </w:footnote>
  <w:footnote w:type="continuationNotice" w:id="1">
    <w:p w:rsidR="0049099A" w:rsidRPr="00AC3823" w:rsidRDefault="0049099A">
      <w:pPr>
        <w:spacing w:line="240" w:lineRule="auto"/>
        <w:rPr>
          <w:sz w:val="2"/>
          <w:szCs w:val="2"/>
        </w:rPr>
      </w:pPr>
    </w:p>
  </w:footnote>
  <w:footnote w:id="2">
    <w:p w:rsidR="006C072C" w:rsidRPr="00300BD6" w:rsidRDefault="006256B6" w:rsidP="006C072C">
      <w:pPr>
        <w:pStyle w:val="FootnoteText"/>
        <w:rPr>
          <w:lang w:val="fr-FR"/>
        </w:rPr>
      </w:pPr>
      <w:r>
        <w:rPr>
          <w:sz w:val="20"/>
          <w:lang w:val="fr-FR"/>
        </w:rPr>
        <w:tab/>
      </w:r>
      <w:r w:rsidR="006C072C" w:rsidRPr="005E5FC5">
        <w:rPr>
          <w:rStyle w:val="FootnoteReference"/>
          <w:sz w:val="20"/>
          <w:lang w:val="fr-FR"/>
        </w:rPr>
        <w:sym w:font="Symbol" w:char="F02A"/>
      </w:r>
      <w:r w:rsidR="006C072C">
        <w:rPr>
          <w:lang w:val="fr-FR"/>
        </w:rPr>
        <w:tab/>
        <w:t>Conformément au programme de travail du Comité des transports intérieurs pour 2018-2019 (ECE/TRANS/2018/21/Add.1, module</w:t>
      </w:r>
      <w:r>
        <w:rPr>
          <w:lang w:val="fr-FR"/>
        </w:rPr>
        <w:t> </w:t>
      </w:r>
      <w:r w:rsidR="006C072C">
        <w:rPr>
          <w:lang w:val="fr-FR"/>
        </w:rPr>
        <w:t>9,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2C" w:rsidRPr="006C072C" w:rsidRDefault="004D0A71">
    <w:pPr>
      <w:pStyle w:val="Header"/>
    </w:pPr>
    <w:r>
      <w:fldChar w:fldCharType="begin"/>
    </w:r>
    <w:r>
      <w:instrText xml:space="preserve"> TITLE  \* MERGEFORMAT </w:instrText>
    </w:r>
    <w:r>
      <w:fldChar w:fldCharType="separate"/>
    </w:r>
    <w:r w:rsidR="006C072C">
      <w:t>ECE/TRANS/WP.15/2019/16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72C" w:rsidRPr="006C072C" w:rsidRDefault="004D0A71" w:rsidP="006C072C">
    <w:pPr>
      <w:pStyle w:val="Header"/>
      <w:jc w:val="right"/>
    </w:pPr>
    <w:r>
      <w:fldChar w:fldCharType="begin"/>
    </w:r>
    <w:r>
      <w:instrText xml:space="preserve"> TITLE  \* MERGEFORMAT </w:instrText>
    </w:r>
    <w:r>
      <w:fldChar w:fldCharType="separate"/>
    </w:r>
    <w:r w:rsidR="006C072C">
      <w:t>ECE/TRANS/WP.15/2019/16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9A"/>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9099A"/>
    <w:rsid w:val="00496420"/>
    <w:rsid w:val="004D0A71"/>
    <w:rsid w:val="004E2EED"/>
    <w:rsid w:val="004E468C"/>
    <w:rsid w:val="005058BA"/>
    <w:rsid w:val="00526D6C"/>
    <w:rsid w:val="005505B7"/>
    <w:rsid w:val="00573BE5"/>
    <w:rsid w:val="00586ED3"/>
    <w:rsid w:val="00596AA9"/>
    <w:rsid w:val="006256B6"/>
    <w:rsid w:val="006C072C"/>
    <w:rsid w:val="0071601D"/>
    <w:rsid w:val="007A62E6"/>
    <w:rsid w:val="007F20FA"/>
    <w:rsid w:val="0080684C"/>
    <w:rsid w:val="00871C75"/>
    <w:rsid w:val="008776DC"/>
    <w:rsid w:val="009446C0"/>
    <w:rsid w:val="009705C8"/>
    <w:rsid w:val="009C1CF4"/>
    <w:rsid w:val="009F6B74"/>
    <w:rsid w:val="00A3029F"/>
    <w:rsid w:val="00A30353"/>
    <w:rsid w:val="00AC3823"/>
    <w:rsid w:val="00AE323C"/>
    <w:rsid w:val="00AE7AC8"/>
    <w:rsid w:val="00AF0CB5"/>
    <w:rsid w:val="00B00181"/>
    <w:rsid w:val="00B00B0D"/>
    <w:rsid w:val="00B45F2E"/>
    <w:rsid w:val="00B765F7"/>
    <w:rsid w:val="00BA0CA9"/>
    <w:rsid w:val="00C02897"/>
    <w:rsid w:val="00C97039"/>
    <w:rsid w:val="00D3439C"/>
    <w:rsid w:val="00DB1831"/>
    <w:rsid w:val="00DC758D"/>
    <w:rsid w:val="00DD3BFD"/>
    <w:rsid w:val="00DF6678"/>
    <w:rsid w:val="00E0299A"/>
    <w:rsid w:val="00E85C74"/>
    <w:rsid w:val="00EA6547"/>
    <w:rsid w:val="00EF2E22"/>
    <w:rsid w:val="00F07550"/>
    <w:rsid w:val="00F35BAF"/>
    <w:rsid w:val="00F5207E"/>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2321E1A-7D0F-48E4-8371-1F5D9F06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6C072C"/>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6C072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1522</Words>
  <Characters>9636</Characters>
  <Application>Microsoft Office Word</Application>
  <DocSecurity>0</DocSecurity>
  <Lines>219</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ECE/TRANS/WP.15/2019/16</vt:lpstr>
      <vt:lpstr>ECE/TRANS/WP.15/2019/16</vt:lpstr>
    </vt:vector>
  </TitlesOfParts>
  <Company>DCM</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ECE/TRANS/WP.15/2019/16</dc:title>
  <dc:subject/>
  <dc:creator>Edith BOURION</dc:creator>
  <cp:keywords/>
  <cp:lastModifiedBy>Christine Barrio-Champeau</cp:lastModifiedBy>
  <cp:revision>2</cp:revision>
  <cp:lastPrinted>2014-05-14T10:59:00Z</cp:lastPrinted>
  <dcterms:created xsi:type="dcterms:W3CDTF">2019-09-25T08:45:00Z</dcterms:created>
  <dcterms:modified xsi:type="dcterms:W3CDTF">2019-09-25T08:45:00Z</dcterms:modified>
</cp:coreProperties>
</file>