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D0C7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D0C7F" w:rsidP="007D0C7F">
            <w:pPr>
              <w:jc w:val="right"/>
            </w:pPr>
            <w:r w:rsidRPr="007D0C7F">
              <w:rPr>
                <w:sz w:val="40"/>
              </w:rPr>
              <w:t>ECE</w:t>
            </w:r>
            <w:r>
              <w:t>/TRANS/WP.15/2019/12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D0C7F" w:rsidP="00C97039">
            <w:pPr>
              <w:spacing w:before="240"/>
            </w:pPr>
            <w:r>
              <w:t>Distr. générale</w:t>
            </w:r>
          </w:p>
          <w:p w:rsidR="007D0C7F" w:rsidRDefault="007D0C7F" w:rsidP="007D0C7F">
            <w:pPr>
              <w:spacing w:line="240" w:lineRule="exact"/>
            </w:pPr>
            <w:r>
              <w:t>18 février 2019</w:t>
            </w:r>
          </w:p>
          <w:p w:rsidR="007D0C7F" w:rsidRDefault="007D0C7F" w:rsidP="007D0C7F">
            <w:pPr>
              <w:spacing w:line="240" w:lineRule="exact"/>
            </w:pPr>
            <w:r>
              <w:t>Français</w:t>
            </w:r>
          </w:p>
          <w:p w:rsidR="007D0C7F" w:rsidRPr="00DB58B5" w:rsidRDefault="007D0C7F" w:rsidP="007D0C7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858C4" w:rsidRPr="009E01B8" w:rsidRDefault="001858C4" w:rsidP="00E85C74">
      <w:pPr>
        <w:spacing w:before="120"/>
        <w:rPr>
          <w:b/>
          <w:sz w:val="24"/>
          <w:szCs w:val="24"/>
        </w:rPr>
      </w:pPr>
      <w:r w:rsidRPr="009E01B8">
        <w:rPr>
          <w:b/>
          <w:sz w:val="24"/>
          <w:szCs w:val="24"/>
        </w:rPr>
        <w:t>Groupe de travail des transports de marchandises dangereuses</w:t>
      </w:r>
    </w:p>
    <w:p w:rsidR="001858C4" w:rsidRPr="00992778" w:rsidRDefault="001858C4" w:rsidP="00E85C74">
      <w:pPr>
        <w:spacing w:before="120"/>
        <w:rPr>
          <w:b/>
        </w:rPr>
      </w:pPr>
      <w:r>
        <w:rPr>
          <w:b/>
        </w:rPr>
        <w:t>106</w:t>
      </w:r>
      <w:r w:rsidRPr="001858C4">
        <w:rPr>
          <w:b/>
          <w:vertAlign w:val="superscript"/>
        </w:rPr>
        <w:t>e</w:t>
      </w:r>
      <w:r>
        <w:rPr>
          <w:b/>
        </w:rPr>
        <w:t> </w:t>
      </w:r>
      <w:r w:rsidRPr="00992778">
        <w:rPr>
          <w:b/>
        </w:rPr>
        <w:t>session</w:t>
      </w:r>
    </w:p>
    <w:p w:rsidR="001858C4" w:rsidRDefault="001858C4" w:rsidP="00E85C74">
      <w:r>
        <w:t>Genève, 13-17 mai 2019</w:t>
      </w:r>
    </w:p>
    <w:p w:rsidR="001858C4" w:rsidRDefault="001858C4" w:rsidP="00E85C74">
      <w:r w:rsidRPr="00B93E72">
        <w:t>Point</w:t>
      </w:r>
      <w:r>
        <w:t> 6 b)</w:t>
      </w:r>
      <w:r w:rsidRPr="00B93E72">
        <w:t xml:space="preserve"> de l’ordre du jour provisoire</w:t>
      </w:r>
    </w:p>
    <w:p w:rsidR="00760259" w:rsidRPr="000C5054" w:rsidRDefault="00760259" w:rsidP="00760259">
      <w:pPr>
        <w:rPr>
          <w:b/>
          <w:lang w:val="fr-FR"/>
        </w:rPr>
      </w:pPr>
      <w:r w:rsidRPr="000C5054">
        <w:rPr>
          <w:b/>
          <w:lang w:val="fr-FR"/>
        </w:rPr>
        <w:t>Propositions d’amendement aux annexes A et B de l’ADR</w:t>
      </w:r>
      <w:r w:rsidR="000C5054" w:rsidRPr="000C5054">
        <w:rPr>
          <w:b/>
          <w:lang w:val="fr-FR"/>
        </w:rPr>
        <w:t xml:space="preserve"> </w:t>
      </w:r>
      <w:r w:rsidR="000C5054" w:rsidRPr="000C5054">
        <w:rPr>
          <w:b/>
          <w:lang w:val="fr-FR"/>
        </w:rPr>
        <w:br/>
      </w:r>
      <w:r w:rsidRPr="000C5054">
        <w:rPr>
          <w:b/>
          <w:lang w:val="fr-FR"/>
        </w:rPr>
        <w:t>Propositions diverses</w:t>
      </w:r>
    </w:p>
    <w:p w:rsidR="00760259" w:rsidRPr="00065D25" w:rsidRDefault="00760259" w:rsidP="000C5054">
      <w:pPr>
        <w:pStyle w:val="HChG"/>
        <w:rPr>
          <w:spacing w:val="-2"/>
          <w:lang w:val="fr-FR"/>
        </w:rPr>
      </w:pPr>
      <w:r w:rsidRPr="00065D25">
        <w:rPr>
          <w:spacing w:val="-2"/>
          <w:lang w:val="fr-FR"/>
        </w:rPr>
        <w:tab/>
      </w:r>
      <w:r w:rsidRPr="00065D25">
        <w:rPr>
          <w:spacing w:val="-2"/>
          <w:lang w:val="fr-FR"/>
        </w:rPr>
        <w:tab/>
        <w:t xml:space="preserve">Chapitre 8.5 </w:t>
      </w:r>
      <w:r w:rsidR="00065D25" w:rsidRPr="00065D25">
        <w:rPr>
          <w:spacing w:val="-2"/>
          <w:lang w:val="fr-FR"/>
        </w:rPr>
        <w:t xml:space="preserve">− </w:t>
      </w:r>
      <w:r w:rsidRPr="00065D25">
        <w:rPr>
          <w:spacing w:val="-2"/>
          <w:lang w:val="fr-FR"/>
        </w:rPr>
        <w:t>Prescriptions supplémentaires S1(6), S16 et S21</w:t>
      </w:r>
    </w:p>
    <w:p w:rsidR="00F9573C" w:rsidRDefault="00760259" w:rsidP="000C5054">
      <w:pPr>
        <w:pStyle w:val="H1G"/>
        <w:rPr>
          <w:b w:val="0"/>
          <w:sz w:val="20"/>
        </w:rPr>
      </w:pPr>
      <w:r>
        <w:rPr>
          <w:lang w:val="fr-FR"/>
        </w:rPr>
        <w:tab/>
      </w:r>
      <w:r>
        <w:rPr>
          <w:lang w:val="fr-FR"/>
        </w:rPr>
        <w:tab/>
        <w:t>Communication du Gouvernement suédois</w:t>
      </w:r>
      <w:r w:rsidR="009129E2" w:rsidRPr="00065D25">
        <w:rPr>
          <w:rStyle w:val="FootnoteReference"/>
          <w:b w:val="0"/>
          <w:szCs w:val="18"/>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C5054">
        <w:trPr>
          <w:jc w:val="center"/>
        </w:trPr>
        <w:tc>
          <w:tcPr>
            <w:tcW w:w="9637" w:type="dxa"/>
            <w:shd w:val="clear" w:color="auto" w:fill="auto"/>
          </w:tcPr>
          <w:p w:rsidR="000C5054" w:rsidRDefault="000C5054">
            <w:pPr>
              <w:spacing w:before="240" w:after="120"/>
              <w:ind w:left="255"/>
              <w:rPr>
                <w:i/>
                <w:sz w:val="24"/>
              </w:rPr>
            </w:pPr>
            <w:r>
              <w:rPr>
                <w:i/>
                <w:sz w:val="24"/>
              </w:rPr>
              <w:t>Résumé</w:t>
            </w:r>
          </w:p>
        </w:tc>
      </w:tr>
      <w:tr w:rsidR="000C5054">
        <w:trPr>
          <w:jc w:val="center"/>
        </w:trPr>
        <w:tc>
          <w:tcPr>
            <w:tcW w:w="9637" w:type="dxa"/>
            <w:shd w:val="clear" w:color="auto" w:fill="auto"/>
          </w:tcPr>
          <w:p w:rsidR="000C5054" w:rsidRDefault="000C5054" w:rsidP="00065D25">
            <w:pPr>
              <w:pStyle w:val="SingleTxtG"/>
              <w:ind w:left="3402" w:hanging="2268"/>
              <w:jc w:val="left"/>
            </w:pPr>
            <w:r w:rsidRPr="00065D25">
              <w:rPr>
                <w:b/>
                <w:lang w:val="fr-FR"/>
              </w:rPr>
              <w:t>Résumé analytique</w:t>
            </w:r>
            <w:r w:rsidR="00065D25">
              <w:rPr>
                <w:lang w:val="fr-FR"/>
              </w:rPr>
              <w:t> </w:t>
            </w:r>
            <w:r>
              <w:rPr>
                <w:lang w:val="fr-FR"/>
              </w:rPr>
              <w:t>:</w:t>
            </w:r>
            <w:r>
              <w:rPr>
                <w:lang w:val="fr-FR"/>
              </w:rPr>
              <w:tab/>
              <w:t xml:space="preserve">Préciser les dispositions relatives à la surveillance dans les </w:t>
            </w:r>
            <w:r w:rsidRPr="00065D25">
              <w:rPr>
                <w:spacing w:val="-1"/>
                <w:lang w:val="fr-FR"/>
              </w:rPr>
              <w:t>prescriptions supplémentaires S1(6), S16 et S21 du chapitre</w:t>
            </w:r>
            <w:r w:rsidR="00065D25" w:rsidRPr="00065D25">
              <w:rPr>
                <w:spacing w:val="-1"/>
                <w:lang w:val="fr-FR"/>
              </w:rPr>
              <w:t> </w:t>
            </w:r>
            <w:r w:rsidRPr="00065D25">
              <w:rPr>
                <w:spacing w:val="-1"/>
                <w:lang w:val="fr-FR"/>
              </w:rPr>
              <w:t>8.5.</w:t>
            </w:r>
          </w:p>
        </w:tc>
      </w:tr>
      <w:tr w:rsidR="00065D25">
        <w:trPr>
          <w:jc w:val="center"/>
        </w:trPr>
        <w:tc>
          <w:tcPr>
            <w:tcW w:w="9637" w:type="dxa"/>
            <w:shd w:val="clear" w:color="auto" w:fill="auto"/>
          </w:tcPr>
          <w:p w:rsidR="00065D25" w:rsidRDefault="00065D25" w:rsidP="00065D25">
            <w:pPr>
              <w:pStyle w:val="SingleTxtG"/>
              <w:ind w:left="3402" w:hanging="2268"/>
              <w:jc w:val="left"/>
              <w:rPr>
                <w:lang w:val="fr-FR"/>
              </w:rPr>
            </w:pPr>
            <w:r w:rsidRPr="00065D25">
              <w:rPr>
                <w:b/>
                <w:lang w:val="fr-FR"/>
              </w:rPr>
              <w:t>Mesures à prendre</w:t>
            </w:r>
            <w:r>
              <w:rPr>
                <w:lang w:val="fr-FR"/>
              </w:rPr>
              <w:t> :</w:t>
            </w:r>
            <w:r>
              <w:rPr>
                <w:lang w:val="fr-FR"/>
              </w:rPr>
              <w:tab/>
            </w:r>
            <w:r w:rsidRPr="00065D25">
              <w:rPr>
                <w:lang w:val="fr-FR"/>
              </w:rPr>
              <w:t>Examiner</w:t>
            </w:r>
            <w:r>
              <w:rPr>
                <w:lang w:val="fr-FR"/>
              </w:rPr>
              <w:t xml:space="preserve"> les propositions.</w:t>
            </w:r>
          </w:p>
        </w:tc>
      </w:tr>
      <w:tr w:rsidR="000C5054">
        <w:trPr>
          <w:jc w:val="center"/>
        </w:trPr>
        <w:tc>
          <w:tcPr>
            <w:tcW w:w="9637" w:type="dxa"/>
            <w:shd w:val="clear" w:color="auto" w:fill="auto"/>
          </w:tcPr>
          <w:p w:rsidR="000C5054" w:rsidRDefault="000C5054" w:rsidP="00065D25">
            <w:pPr>
              <w:pStyle w:val="SingleTxtG"/>
              <w:ind w:left="3402" w:right="843" w:hanging="2268"/>
              <w:jc w:val="left"/>
            </w:pPr>
            <w:r w:rsidRPr="00065D25">
              <w:rPr>
                <w:b/>
                <w:lang w:val="fr-FR"/>
              </w:rPr>
              <w:t>Documents de référence</w:t>
            </w:r>
            <w:r>
              <w:rPr>
                <w:lang w:val="fr-FR"/>
              </w:rPr>
              <w:t> :</w:t>
            </w:r>
            <w:r>
              <w:rPr>
                <w:lang w:val="fr-FR"/>
              </w:rPr>
              <w:tab/>
              <w:t>INF.7 (103</w:t>
            </w:r>
            <w:r w:rsidRPr="00760259">
              <w:rPr>
                <w:vertAlign w:val="superscript"/>
                <w:lang w:val="fr-FR"/>
              </w:rPr>
              <w:t>e</w:t>
            </w:r>
            <w:r>
              <w:rPr>
                <w:lang w:val="fr-FR"/>
              </w:rPr>
              <w:t xml:space="preserve"> session du WP.15) ; </w:t>
            </w:r>
            <w:r>
              <w:rPr>
                <w:lang w:val="fr-FR"/>
              </w:rPr>
              <w:br/>
            </w:r>
            <w:r w:rsidRPr="00065D25">
              <w:rPr>
                <w:spacing w:val="-2"/>
                <w:lang w:val="fr-FR"/>
              </w:rPr>
              <w:tab/>
              <w:t>ECE/TRANS/WP.15/239 (rapport de la</w:t>
            </w:r>
            <w:r w:rsidR="00065D25" w:rsidRPr="00065D25">
              <w:rPr>
                <w:spacing w:val="-2"/>
                <w:lang w:val="fr-FR"/>
              </w:rPr>
              <w:t xml:space="preserve"> </w:t>
            </w:r>
            <w:r w:rsidRPr="00065D25">
              <w:rPr>
                <w:spacing w:val="-2"/>
                <w:lang w:val="fr-FR"/>
              </w:rPr>
              <w:t>103</w:t>
            </w:r>
            <w:r w:rsidRPr="00065D25">
              <w:rPr>
                <w:spacing w:val="-2"/>
                <w:vertAlign w:val="superscript"/>
                <w:lang w:val="fr-FR"/>
              </w:rPr>
              <w:t>e</w:t>
            </w:r>
            <w:r w:rsidRPr="00065D25">
              <w:rPr>
                <w:spacing w:val="-2"/>
                <w:lang w:val="fr-FR"/>
              </w:rPr>
              <w:t> session), par. 61 à 65 ;</w:t>
            </w:r>
            <w:r>
              <w:rPr>
                <w:lang w:val="fr-FR"/>
              </w:rPr>
              <w:t xml:space="preserve"> </w:t>
            </w:r>
            <w:r>
              <w:rPr>
                <w:lang w:val="fr-FR"/>
              </w:rPr>
              <w:br/>
            </w:r>
            <w:r>
              <w:rPr>
                <w:lang w:val="fr-FR"/>
              </w:rPr>
              <w:tab/>
              <w:t>INF.16 (104</w:t>
            </w:r>
            <w:r w:rsidRPr="000C5054">
              <w:rPr>
                <w:vertAlign w:val="superscript"/>
                <w:lang w:val="fr-FR"/>
              </w:rPr>
              <w:t>e</w:t>
            </w:r>
            <w:r>
              <w:rPr>
                <w:lang w:val="fr-FR"/>
              </w:rPr>
              <w:t xml:space="preserve"> session) ; </w:t>
            </w:r>
            <w:r>
              <w:rPr>
                <w:lang w:val="fr-FR"/>
              </w:rPr>
              <w:br/>
            </w:r>
            <w:r w:rsidRPr="00065D25">
              <w:rPr>
                <w:spacing w:val="-2"/>
                <w:lang w:val="fr-FR"/>
              </w:rPr>
              <w:tab/>
              <w:t>ECE/TRANS/WP.15/242 (rapport de la</w:t>
            </w:r>
            <w:r w:rsidR="00065D25" w:rsidRPr="00065D25">
              <w:rPr>
                <w:spacing w:val="-2"/>
                <w:lang w:val="fr-FR"/>
              </w:rPr>
              <w:t> </w:t>
            </w:r>
            <w:r w:rsidRPr="00065D25">
              <w:rPr>
                <w:spacing w:val="-2"/>
                <w:lang w:val="fr-FR"/>
              </w:rPr>
              <w:t>104</w:t>
            </w:r>
            <w:r w:rsidRPr="00065D25">
              <w:rPr>
                <w:spacing w:val="-2"/>
                <w:vertAlign w:val="superscript"/>
                <w:lang w:val="fr-FR"/>
              </w:rPr>
              <w:t>e</w:t>
            </w:r>
            <w:r w:rsidRPr="00065D25">
              <w:rPr>
                <w:spacing w:val="-2"/>
                <w:lang w:val="fr-FR"/>
              </w:rPr>
              <w:t> session), par. 55 à 57 ;</w:t>
            </w:r>
            <w:r>
              <w:rPr>
                <w:lang w:val="fr-FR"/>
              </w:rPr>
              <w:t xml:space="preserve"> </w:t>
            </w:r>
            <w:r>
              <w:rPr>
                <w:lang w:val="fr-FR"/>
              </w:rPr>
              <w:br/>
            </w:r>
            <w:r>
              <w:rPr>
                <w:lang w:val="fr-FR"/>
              </w:rPr>
              <w:tab/>
              <w:t>INF.14 (105</w:t>
            </w:r>
            <w:r w:rsidRPr="00760259">
              <w:rPr>
                <w:vertAlign w:val="superscript"/>
                <w:lang w:val="fr-FR"/>
              </w:rPr>
              <w:t>e</w:t>
            </w:r>
            <w:r>
              <w:rPr>
                <w:lang w:val="fr-FR"/>
              </w:rPr>
              <w:t xml:space="preserve"> session du WP.15) ; et </w:t>
            </w:r>
            <w:r>
              <w:rPr>
                <w:lang w:val="fr-FR"/>
              </w:rPr>
              <w:br/>
            </w:r>
            <w:r>
              <w:rPr>
                <w:lang w:val="fr-FR"/>
              </w:rPr>
              <w:tab/>
              <w:t>ECE/TRANS/WP.15/244 (rapport de la</w:t>
            </w:r>
            <w:r w:rsidR="00065D25">
              <w:rPr>
                <w:lang w:val="fr-FR"/>
              </w:rPr>
              <w:t> </w:t>
            </w:r>
            <w:r>
              <w:rPr>
                <w:lang w:val="fr-FR"/>
              </w:rPr>
              <w:t>105</w:t>
            </w:r>
            <w:r w:rsidRPr="00760259">
              <w:rPr>
                <w:vertAlign w:val="superscript"/>
                <w:lang w:val="fr-FR"/>
              </w:rPr>
              <w:t>e</w:t>
            </w:r>
            <w:r>
              <w:rPr>
                <w:lang w:val="fr-FR"/>
              </w:rPr>
              <w:t> session), par. 65 à 68.</w:t>
            </w:r>
          </w:p>
        </w:tc>
      </w:tr>
      <w:tr w:rsidR="000C5054">
        <w:trPr>
          <w:jc w:val="center"/>
        </w:trPr>
        <w:tc>
          <w:tcPr>
            <w:tcW w:w="9637" w:type="dxa"/>
            <w:shd w:val="clear" w:color="auto" w:fill="auto"/>
          </w:tcPr>
          <w:p w:rsidR="000C5054" w:rsidRDefault="000C5054"/>
        </w:tc>
      </w:tr>
    </w:tbl>
    <w:p w:rsidR="009129E2" w:rsidRDefault="00D6368A" w:rsidP="00D6368A">
      <w:pPr>
        <w:pStyle w:val="HChG"/>
      </w:pPr>
      <w:r>
        <w:rPr>
          <w:lang w:val="fr-FR"/>
        </w:rPr>
        <w:br w:type="page"/>
      </w:r>
      <w:r w:rsidR="000C5054">
        <w:rPr>
          <w:lang w:val="fr-FR"/>
        </w:rPr>
        <w:lastRenderedPageBreak/>
        <w:tab/>
      </w:r>
      <w:r w:rsidR="009129E2">
        <w:rPr>
          <w:lang w:val="fr-FR"/>
        </w:rPr>
        <w:tab/>
        <w:t>Introduction</w:t>
      </w:r>
    </w:p>
    <w:p w:rsidR="009129E2" w:rsidRPr="00AA553E" w:rsidRDefault="009129E2" w:rsidP="009129E2">
      <w:pPr>
        <w:pStyle w:val="SingleTxtG"/>
        <w:rPr>
          <w:lang w:val="fr-FR"/>
        </w:rPr>
      </w:pPr>
      <w:r>
        <w:rPr>
          <w:lang w:val="fr-FR"/>
        </w:rPr>
        <w:t>1.</w:t>
      </w:r>
      <w:r>
        <w:rPr>
          <w:lang w:val="fr-FR"/>
        </w:rPr>
        <w:tab/>
        <w:t>Lors de plusieurs sessions du Groupe de travail, la Suède a soulevé des questions relatives à la surveillance des véhicules. Ces questions portaient sur le chapitre</w:t>
      </w:r>
      <w:r w:rsidR="00065D25">
        <w:rPr>
          <w:lang w:val="fr-FR"/>
        </w:rPr>
        <w:t> </w:t>
      </w:r>
      <w:r>
        <w:rPr>
          <w:lang w:val="fr-FR"/>
        </w:rPr>
        <w:t xml:space="preserve">8.5 et sur la façon dont devaient être interprétées les prescriptions supplémentaires S1(6), S16 et S21, qui disposent que </w:t>
      </w:r>
      <w:r w:rsidRPr="00065D25">
        <w:rPr>
          <w:lang w:val="fr-FR"/>
        </w:rPr>
        <w:t xml:space="preserve">le véhicule doit </w:t>
      </w:r>
      <w:r w:rsidR="00065D25" w:rsidRPr="00065D25">
        <w:rPr>
          <w:lang w:val="fr-FR"/>
        </w:rPr>
        <w:t>« </w:t>
      </w:r>
      <w:r w:rsidRPr="00065D25">
        <w:rPr>
          <w:lang w:val="fr-FR"/>
        </w:rPr>
        <w:t>faire l’objet d’une surveillance constante</w:t>
      </w:r>
      <w:r w:rsidR="00065D25" w:rsidRPr="00065D25">
        <w:rPr>
          <w:lang w:val="fr-FR"/>
        </w:rPr>
        <w:t> »</w:t>
      </w:r>
      <w:r w:rsidRPr="00065D25">
        <w:rPr>
          <w:lang w:val="fr-FR"/>
        </w:rPr>
        <w:t xml:space="preserve"> ou </w:t>
      </w:r>
      <w:r w:rsidR="00065D25" w:rsidRPr="00065D25">
        <w:rPr>
          <w:lang w:val="fr-FR"/>
        </w:rPr>
        <w:t>« </w:t>
      </w:r>
      <w:r w:rsidRPr="00065D25">
        <w:rPr>
          <w:lang w:val="fr-FR"/>
        </w:rPr>
        <w:t>faire toujours l’objet d’une surveillance</w:t>
      </w:r>
      <w:r w:rsidR="00065D25" w:rsidRPr="00065D25">
        <w:rPr>
          <w:lang w:val="fr-FR"/>
        </w:rPr>
        <w:t> »</w:t>
      </w:r>
      <w:r w:rsidRPr="00065D25">
        <w:rPr>
          <w:lang w:val="fr-FR"/>
        </w:rPr>
        <w:t>.</w:t>
      </w:r>
    </w:p>
    <w:p w:rsidR="009129E2" w:rsidRPr="00AA553E" w:rsidRDefault="009129E2" w:rsidP="009129E2">
      <w:pPr>
        <w:pStyle w:val="SingleTxtG"/>
        <w:rPr>
          <w:lang w:val="fr-FR"/>
        </w:rPr>
      </w:pPr>
      <w:r>
        <w:rPr>
          <w:lang w:val="fr-FR"/>
        </w:rPr>
        <w:t>2.</w:t>
      </w:r>
      <w:r>
        <w:rPr>
          <w:lang w:val="fr-FR"/>
        </w:rPr>
        <w:tab/>
        <w:t>Au cours de l’été 2018, la Suède a envoyé un questionnaire pour recueillir des informations sur la situation dans chaque Partie contractante. Les résultats ont servi de base aux débats de la 105</w:t>
      </w:r>
      <w:r w:rsidRPr="000C5054">
        <w:rPr>
          <w:vertAlign w:val="superscript"/>
          <w:lang w:val="fr-FR"/>
        </w:rPr>
        <w:t>e</w:t>
      </w:r>
      <w:r w:rsidR="000C5054">
        <w:rPr>
          <w:lang w:val="fr-FR"/>
        </w:rPr>
        <w:t> </w:t>
      </w:r>
      <w:r>
        <w:rPr>
          <w:lang w:val="fr-FR"/>
        </w:rPr>
        <w:t>session du Groupe de travail. Même si de nombreux pays voyaient l’intérêt qu’il y avait à clarifier les dispositions, les discussions se sont révélées difficiles, probablement en raison des multiples facteurs concomitants à prendre en compte, dont le nombre varie en outre d’un pays à l’autre.</w:t>
      </w:r>
    </w:p>
    <w:p w:rsidR="009129E2" w:rsidRPr="00AA553E" w:rsidRDefault="009129E2" w:rsidP="009129E2">
      <w:pPr>
        <w:pStyle w:val="SingleTxtG"/>
        <w:rPr>
          <w:lang w:val="fr-FR"/>
        </w:rPr>
      </w:pPr>
      <w:r>
        <w:rPr>
          <w:lang w:val="fr-FR"/>
        </w:rPr>
        <w:t>3.</w:t>
      </w:r>
      <w:r>
        <w:rPr>
          <w:lang w:val="fr-FR"/>
        </w:rPr>
        <w:tab/>
        <w:t>Néanmoins, la Suède est d’avis que la manière dont les dispositions de l’ADR devraient être appliquées doit être claire. Le manque de clarté peut se traduire non seulement par des applications différentes selon les Parties contractantes, mais aussi, dans de nombreux cas, par une absence totale d’application. Cette situation n’est pas acceptable et il convient de mieux préciser les mesures à prendre en matière de surveillance des véhicules.</w:t>
      </w:r>
    </w:p>
    <w:p w:rsidR="009129E2" w:rsidRPr="00AA553E" w:rsidRDefault="009129E2" w:rsidP="00065D25">
      <w:pPr>
        <w:pStyle w:val="HChG"/>
        <w:rPr>
          <w:lang w:val="fr-FR"/>
        </w:rPr>
      </w:pPr>
      <w:r>
        <w:rPr>
          <w:lang w:val="fr-FR"/>
        </w:rPr>
        <w:tab/>
      </w:r>
      <w:r>
        <w:rPr>
          <w:lang w:val="fr-FR"/>
        </w:rPr>
        <w:tab/>
        <w:t>Contexte</w:t>
      </w:r>
    </w:p>
    <w:p w:rsidR="009129E2" w:rsidRPr="00AA553E" w:rsidRDefault="009129E2" w:rsidP="00065D25">
      <w:pPr>
        <w:pStyle w:val="H1G"/>
        <w:rPr>
          <w:lang w:val="fr-FR"/>
        </w:rPr>
      </w:pPr>
      <w:r>
        <w:rPr>
          <w:lang w:val="fr-FR"/>
        </w:rPr>
        <w:tab/>
      </w:r>
      <w:r>
        <w:rPr>
          <w:lang w:val="fr-FR"/>
        </w:rPr>
        <w:tab/>
        <w:t>Chapitre 8.4</w:t>
      </w:r>
    </w:p>
    <w:p w:rsidR="009129E2" w:rsidRPr="00AA553E" w:rsidRDefault="009129E2" w:rsidP="009129E2">
      <w:pPr>
        <w:pStyle w:val="SingleTxtG"/>
        <w:rPr>
          <w:lang w:val="fr-FR"/>
        </w:rPr>
      </w:pPr>
      <w:r>
        <w:rPr>
          <w:lang w:val="fr-FR"/>
        </w:rPr>
        <w:t>4.</w:t>
      </w:r>
      <w:r>
        <w:rPr>
          <w:lang w:val="fr-FR"/>
        </w:rPr>
        <w:tab/>
        <w:t>Selon l’interprétation de la Suède, le chapitre</w:t>
      </w:r>
      <w:r w:rsidR="00065D25">
        <w:rPr>
          <w:lang w:val="fr-FR"/>
        </w:rPr>
        <w:t> </w:t>
      </w:r>
      <w:r>
        <w:rPr>
          <w:lang w:val="fr-FR"/>
        </w:rPr>
        <w:t>8.4 traite principalement de la surveillance en matière de sécurité. Le texte décrit généralement les mesures à prendre pour réduire le risque d’accident. Même si ces dispositions sont assez vagues, les auteurs du présent document voient mal comment des prescriptions plus précises ou plus strictes pourraient être formulées. La raison en est qu’il existe actuellement un nombre très limité d’aires de stationnement sûres et/ou sécurisées dans la majorité des Parties contractantes, Suède comprise.</w:t>
      </w:r>
    </w:p>
    <w:p w:rsidR="009129E2" w:rsidRPr="00AA553E" w:rsidRDefault="009129E2" w:rsidP="00065D25">
      <w:pPr>
        <w:pStyle w:val="H1G"/>
        <w:rPr>
          <w:lang w:val="fr-FR"/>
        </w:rPr>
      </w:pPr>
      <w:r>
        <w:rPr>
          <w:lang w:val="fr-FR"/>
        </w:rPr>
        <w:tab/>
      </w:r>
      <w:r>
        <w:rPr>
          <w:lang w:val="fr-FR"/>
        </w:rPr>
        <w:tab/>
        <w:t>Chapitre 8.5</w:t>
      </w:r>
    </w:p>
    <w:p w:rsidR="009129E2" w:rsidRPr="00AA553E" w:rsidRDefault="009129E2" w:rsidP="009129E2">
      <w:pPr>
        <w:pStyle w:val="SingleTxtG"/>
        <w:rPr>
          <w:lang w:val="fr-FR"/>
        </w:rPr>
      </w:pPr>
      <w:r>
        <w:rPr>
          <w:lang w:val="fr-FR"/>
        </w:rPr>
        <w:t>5.</w:t>
      </w:r>
      <w:r>
        <w:rPr>
          <w:lang w:val="fr-FR"/>
        </w:rPr>
        <w:tab/>
        <w:t>Compte tenu des réponses au questionnaire et des débats de la dernière réunion du</w:t>
      </w:r>
      <w:r w:rsidR="00065D25">
        <w:rPr>
          <w:lang w:val="fr-FR"/>
        </w:rPr>
        <w:t> </w:t>
      </w:r>
      <w:r>
        <w:rPr>
          <w:lang w:val="fr-FR"/>
        </w:rPr>
        <w:t>WP.15, la Suède a examiné plus avant le texte des prescriptions supplémentaires S1(6), S16 et S21. La première phrase de ces prescriptions supplémentaires fait clairement référence au chapitre</w:t>
      </w:r>
      <w:r w:rsidR="00065D25">
        <w:rPr>
          <w:lang w:val="fr-FR"/>
        </w:rPr>
        <w:t> </w:t>
      </w:r>
      <w:r>
        <w:rPr>
          <w:lang w:val="fr-FR"/>
        </w:rPr>
        <w:t>8.4 (voir le texte reproduit ci-dessous) ; par conséquent, cette phrase concerne principalement la surveillance dans le contexte de la sécurité.</w:t>
      </w:r>
    </w:p>
    <w:p w:rsidR="009129E2" w:rsidRPr="00E329CC" w:rsidRDefault="009129E2" w:rsidP="009129E2">
      <w:pPr>
        <w:pStyle w:val="SingleTxtG"/>
        <w:rPr>
          <w:b/>
          <w:i/>
          <w:u w:val="single"/>
          <w:lang w:val="fr-FR"/>
        </w:rPr>
      </w:pPr>
      <w:r>
        <w:rPr>
          <w:lang w:val="fr-FR"/>
        </w:rPr>
        <w:t>6.</w:t>
      </w:r>
      <w:r>
        <w:rPr>
          <w:lang w:val="fr-FR"/>
        </w:rPr>
        <w:tab/>
        <w:t>Les prescriptions qui lui font suite énoncent des exigences en matière de surveillance principalement liées à la sécurité. On trouvera ci-après un extrait du chapitre</w:t>
      </w:r>
      <w:r w:rsidR="00065D25">
        <w:rPr>
          <w:lang w:val="fr-FR"/>
        </w:rPr>
        <w:t> </w:t>
      </w:r>
      <w:r>
        <w:rPr>
          <w:lang w:val="fr-FR"/>
        </w:rPr>
        <w:t>8.5</w:t>
      </w:r>
      <w:r w:rsidR="00065D25">
        <w:rPr>
          <w:lang w:val="fr-FR"/>
        </w:rPr>
        <w:t>.</w:t>
      </w:r>
    </w:p>
    <w:p w:rsidR="009129E2" w:rsidRDefault="00065D25" w:rsidP="00065D25">
      <w:pPr>
        <w:pStyle w:val="SingleTxtG"/>
        <w:ind w:left="1985" w:hanging="851"/>
        <w:rPr>
          <w:lang w:val="fr-FR"/>
        </w:rPr>
      </w:pPr>
      <w:r>
        <w:rPr>
          <w:lang w:val="fr-FR"/>
        </w:rPr>
        <w:t>« </w:t>
      </w:r>
      <w:r w:rsidR="009129E2" w:rsidRPr="00065D25">
        <w:rPr>
          <w:b/>
          <w:lang w:val="fr-FR"/>
        </w:rPr>
        <w:t>S1(6)</w:t>
      </w:r>
      <w:r w:rsidR="009129E2">
        <w:rPr>
          <w:lang w:val="fr-FR"/>
        </w:rPr>
        <w:tab/>
      </w:r>
      <w:r w:rsidR="009129E2" w:rsidRPr="001B1775">
        <w:rPr>
          <w:i/>
          <w:lang w:val="fr-FR"/>
        </w:rPr>
        <w:t>Les prescriptions du chapitre</w:t>
      </w:r>
      <w:r w:rsidR="001B1775" w:rsidRPr="001B1775">
        <w:rPr>
          <w:i/>
          <w:lang w:val="fr-FR"/>
        </w:rPr>
        <w:t> </w:t>
      </w:r>
      <w:r w:rsidR="009129E2" w:rsidRPr="001B1775">
        <w:rPr>
          <w:i/>
          <w:lang w:val="fr-FR"/>
        </w:rPr>
        <w:t>8.4 ne sont applicables que lorsque la masse totale nette de matière explosible des matières et objets de la classe</w:t>
      </w:r>
      <w:r w:rsidR="001B1775" w:rsidRPr="001B1775">
        <w:rPr>
          <w:i/>
          <w:lang w:val="fr-FR"/>
        </w:rPr>
        <w:t> </w:t>
      </w:r>
      <w:r w:rsidR="009129E2" w:rsidRPr="001B1775">
        <w:rPr>
          <w:i/>
          <w:lang w:val="fr-FR"/>
        </w:rPr>
        <w:t>1 transportés dans un véhicule est supérieure aux limites indiquées ci-après</w:t>
      </w:r>
      <w:r w:rsidR="001B1775" w:rsidRPr="001B1775">
        <w:rPr>
          <w:i/>
          <w:lang w:val="fr-FR"/>
        </w:rPr>
        <w:t> </w:t>
      </w:r>
      <w:r w:rsidR="009129E2" w:rsidRPr="001B1775">
        <w:rPr>
          <w:i/>
          <w:lang w:val="fr-FR"/>
        </w:rPr>
        <w:t>:</w:t>
      </w:r>
    </w:p>
    <w:p w:rsidR="009129E2" w:rsidRPr="001B1775" w:rsidRDefault="001B1775" w:rsidP="00FD20AD">
      <w:pPr>
        <w:pStyle w:val="SingleTxtG"/>
        <w:ind w:left="1985"/>
        <w:rPr>
          <w:i/>
          <w:lang w:val="fr-FR"/>
        </w:rPr>
      </w:pPr>
      <w:r w:rsidRPr="001B1775">
        <w:rPr>
          <w:i/>
          <w:lang w:val="fr-FR"/>
        </w:rPr>
        <w:t>…</w:t>
      </w:r>
    </w:p>
    <w:p w:rsidR="009129E2" w:rsidRPr="00AA553E" w:rsidRDefault="009129E2" w:rsidP="00FD20AD">
      <w:pPr>
        <w:pStyle w:val="SingleTxtG"/>
        <w:ind w:left="1985"/>
        <w:rPr>
          <w:i/>
          <w:lang w:val="fr-FR"/>
        </w:rPr>
      </w:pPr>
      <w:r>
        <w:rPr>
          <w:i/>
          <w:iCs/>
          <w:lang w:val="fr-FR"/>
        </w:rPr>
        <w:t xml:space="preserve">En outre, ces matières et objets doivent faire 1’objet d’une surveillance constante destinée à prévenir tout acte de malveillance et à alerter le conducteur </w:t>
      </w:r>
      <w:r w:rsidRPr="00FD20AD">
        <w:rPr>
          <w:i/>
          <w:lang w:val="fr-FR"/>
        </w:rPr>
        <w:t>et les autorités compétentes en cas de perte ou d’incendie.</w:t>
      </w:r>
    </w:p>
    <w:p w:rsidR="009129E2" w:rsidRPr="00AA553E" w:rsidRDefault="009129E2" w:rsidP="00FD20AD">
      <w:pPr>
        <w:pStyle w:val="SingleTxtG"/>
        <w:ind w:left="1985"/>
        <w:rPr>
          <w:lang w:val="fr-FR"/>
        </w:rPr>
      </w:pPr>
      <w:r>
        <w:rPr>
          <w:i/>
          <w:iCs/>
          <w:lang w:val="fr-FR"/>
        </w:rPr>
        <w:t>Les emballages vides non nettoyés en sont exemptés.</w:t>
      </w:r>
      <w:r w:rsidR="001B1775">
        <w:rPr>
          <w:iCs/>
          <w:lang w:val="fr-FR"/>
        </w:rPr>
        <w:t> »</w:t>
      </w:r>
    </w:p>
    <w:p w:rsidR="009129E2" w:rsidRPr="00AA553E" w:rsidRDefault="001B1775" w:rsidP="001B1775">
      <w:pPr>
        <w:pStyle w:val="SingleTxtG"/>
        <w:ind w:left="1985" w:hanging="851"/>
        <w:rPr>
          <w:i/>
          <w:lang w:val="fr-FR"/>
        </w:rPr>
      </w:pPr>
      <w:bookmarkStart w:id="0" w:name="_GoBack"/>
      <w:bookmarkEnd w:id="0"/>
      <w:r>
        <w:rPr>
          <w:lang w:val="fr-FR"/>
        </w:rPr>
        <w:lastRenderedPageBreak/>
        <w:t>« </w:t>
      </w:r>
      <w:r w:rsidR="009129E2" w:rsidRPr="001B1775">
        <w:rPr>
          <w:b/>
          <w:lang w:val="fr-FR"/>
        </w:rPr>
        <w:t>S16</w:t>
      </w:r>
      <w:r>
        <w:rPr>
          <w:lang w:val="fr-FR"/>
        </w:rPr>
        <w:t> </w:t>
      </w:r>
      <w:r w:rsidR="009129E2">
        <w:rPr>
          <w:lang w:val="fr-FR"/>
        </w:rPr>
        <w:t>:</w:t>
      </w:r>
      <w:r w:rsidR="009129E2">
        <w:rPr>
          <w:lang w:val="fr-FR"/>
        </w:rPr>
        <w:tab/>
      </w:r>
      <w:r w:rsidR="009129E2" w:rsidRPr="00FD20AD">
        <w:rPr>
          <w:i/>
          <w:lang w:val="fr-FR"/>
        </w:rPr>
        <w:t>Les dispositions du chapitre</w:t>
      </w:r>
      <w:r w:rsidRPr="00FD20AD">
        <w:rPr>
          <w:i/>
          <w:lang w:val="fr-FR"/>
        </w:rPr>
        <w:t> </w:t>
      </w:r>
      <w:r w:rsidR="009129E2" w:rsidRPr="00FD20AD">
        <w:rPr>
          <w:i/>
          <w:lang w:val="fr-FR"/>
        </w:rPr>
        <w:t>8.4 relatives à la surveillance des véhicules s’appliquent lorsque la masse totale de cette marchandise dans le véhicule dépasse 500</w:t>
      </w:r>
      <w:r w:rsidRPr="00FD20AD">
        <w:rPr>
          <w:i/>
          <w:lang w:val="fr-FR"/>
        </w:rPr>
        <w:t> </w:t>
      </w:r>
      <w:r w:rsidR="009129E2" w:rsidRPr="00FD20AD">
        <w:rPr>
          <w:i/>
          <w:lang w:val="fr-FR"/>
        </w:rPr>
        <w:t>kg.</w:t>
      </w:r>
    </w:p>
    <w:p w:rsidR="009129E2" w:rsidRPr="00AA553E" w:rsidRDefault="009129E2" w:rsidP="00FD20AD">
      <w:pPr>
        <w:pStyle w:val="SingleTxtG"/>
        <w:ind w:left="1985"/>
        <w:rPr>
          <w:lang w:val="fr-FR"/>
        </w:rPr>
      </w:pPr>
      <w:r w:rsidRPr="00FD20AD">
        <w:rPr>
          <w:i/>
          <w:lang w:val="fr-FR"/>
        </w:rPr>
        <w:t>En outre, les véhicules transportant plus de 500</w:t>
      </w:r>
      <w:r w:rsidR="001B1775" w:rsidRPr="00FD20AD">
        <w:rPr>
          <w:i/>
          <w:lang w:val="fr-FR"/>
        </w:rPr>
        <w:t> </w:t>
      </w:r>
      <w:r w:rsidRPr="00FD20AD">
        <w:rPr>
          <w:i/>
          <w:lang w:val="fr-FR"/>
        </w:rPr>
        <w:t>kg de cette marchandise feront toujours 1’objet d’une surveillance propre à empêcher toute action de malveillance et à alerter le conducteur et les autorités compétentes en cas de perte ou d’incendie.</w:t>
      </w:r>
      <w:r w:rsidR="001B1775">
        <w:rPr>
          <w:lang w:val="fr-FR"/>
        </w:rPr>
        <w:t> »</w:t>
      </w:r>
    </w:p>
    <w:p w:rsidR="009129E2" w:rsidRPr="00AA553E" w:rsidRDefault="009400C5" w:rsidP="001B1775">
      <w:pPr>
        <w:pStyle w:val="SingleTxtG"/>
        <w:ind w:left="1985" w:hanging="851"/>
        <w:rPr>
          <w:i/>
          <w:lang w:val="fr-FR"/>
        </w:rPr>
      </w:pPr>
      <w:r>
        <w:rPr>
          <w:lang w:val="fr-FR"/>
        </w:rPr>
        <w:t>« </w:t>
      </w:r>
      <w:r w:rsidR="009129E2" w:rsidRPr="009400C5">
        <w:rPr>
          <w:b/>
          <w:lang w:val="fr-FR"/>
        </w:rPr>
        <w:t>S21</w:t>
      </w:r>
      <w:r>
        <w:rPr>
          <w:b/>
          <w:lang w:val="fr-FR"/>
        </w:rPr>
        <w:t> </w:t>
      </w:r>
      <w:r w:rsidR="009129E2">
        <w:rPr>
          <w:lang w:val="fr-FR"/>
        </w:rPr>
        <w:t>:</w:t>
      </w:r>
      <w:r w:rsidR="009129E2">
        <w:rPr>
          <w:lang w:val="fr-FR"/>
        </w:rPr>
        <w:tab/>
      </w:r>
      <w:r w:rsidR="009129E2" w:rsidRPr="00FD20AD">
        <w:rPr>
          <w:i/>
          <w:lang w:val="fr-FR"/>
        </w:rPr>
        <w:t>Les dispositions du chapitre</w:t>
      </w:r>
      <w:r w:rsidR="00D36AC8" w:rsidRPr="00FD20AD">
        <w:rPr>
          <w:i/>
          <w:lang w:val="fr-FR"/>
        </w:rPr>
        <w:t> </w:t>
      </w:r>
      <w:r w:rsidR="009129E2" w:rsidRPr="00FD20AD">
        <w:rPr>
          <w:i/>
          <w:lang w:val="fr-FR"/>
        </w:rPr>
        <w:t>8.4 relatives à la surveillance des véhicules sont applicables à toutes les matières, quelle que soit la masse. En outre, ces marchandises doivent faire toujours 1’objet d’une surveillance propre à empêcher toute action de malveillance et à alerter le conducteur et les autorités compétentes en cas de perte ou d’incendie. Toutefois, il n’est pas nécessaire d’appliquer les dispositions du chapitre</w:t>
      </w:r>
      <w:r w:rsidR="00D36AC8" w:rsidRPr="00FD20AD">
        <w:rPr>
          <w:i/>
          <w:lang w:val="fr-FR"/>
        </w:rPr>
        <w:t> </w:t>
      </w:r>
      <w:r w:rsidR="009129E2" w:rsidRPr="00FD20AD">
        <w:rPr>
          <w:i/>
          <w:lang w:val="fr-FR"/>
        </w:rPr>
        <w:t>8.4 dans le cas où</w:t>
      </w:r>
      <w:r w:rsidR="00D36AC8" w:rsidRPr="00FD20AD">
        <w:rPr>
          <w:i/>
          <w:lang w:val="fr-FR"/>
        </w:rPr>
        <w:t> </w:t>
      </w:r>
      <w:r w:rsidR="009129E2" w:rsidRPr="00FD20AD">
        <w:rPr>
          <w:i/>
          <w:lang w:val="fr-FR"/>
        </w:rPr>
        <w:t>:</w:t>
      </w:r>
    </w:p>
    <w:p w:rsidR="009129E2" w:rsidRPr="00D36AC8" w:rsidRDefault="009129E2" w:rsidP="001B1775">
      <w:pPr>
        <w:pStyle w:val="SingleTxtG"/>
        <w:ind w:left="1985" w:hanging="851"/>
        <w:rPr>
          <w:i/>
          <w:lang w:val="fr-FR"/>
        </w:rPr>
      </w:pPr>
      <w:r w:rsidRPr="00D36AC8">
        <w:rPr>
          <w:i/>
          <w:lang w:val="fr-FR"/>
        </w:rPr>
        <w:t>a)</w:t>
      </w:r>
      <w:r w:rsidRPr="00D36AC8">
        <w:rPr>
          <w:i/>
          <w:lang w:val="fr-FR"/>
        </w:rPr>
        <w:tab/>
        <w:t>Le compartiment chargé est verrouillé ou les colis transportés sont protégés</w:t>
      </w:r>
      <w:r>
        <w:rPr>
          <w:lang w:val="fr-FR"/>
        </w:rPr>
        <w:t xml:space="preserve"> </w:t>
      </w:r>
      <w:r w:rsidRPr="00D36AC8">
        <w:rPr>
          <w:i/>
          <w:lang w:val="fr-FR"/>
        </w:rPr>
        <w:t>d’une autre manière contre tout déchargement illégal</w:t>
      </w:r>
      <w:r w:rsidR="00D36AC8" w:rsidRPr="00D36AC8">
        <w:rPr>
          <w:i/>
          <w:lang w:val="fr-FR"/>
        </w:rPr>
        <w:t> </w:t>
      </w:r>
      <w:r w:rsidRPr="00D36AC8">
        <w:rPr>
          <w:i/>
          <w:lang w:val="fr-FR"/>
        </w:rPr>
        <w:t>; et</w:t>
      </w:r>
    </w:p>
    <w:p w:rsidR="009129E2" w:rsidRPr="00AA553E" w:rsidRDefault="009129E2" w:rsidP="001B1775">
      <w:pPr>
        <w:pStyle w:val="SingleTxtG"/>
        <w:ind w:left="1985" w:hanging="851"/>
        <w:rPr>
          <w:i/>
          <w:lang w:val="fr-FR"/>
        </w:rPr>
      </w:pPr>
      <w:r w:rsidRPr="00D36AC8">
        <w:rPr>
          <w:i/>
          <w:lang w:val="fr-FR"/>
        </w:rPr>
        <w:t>b)</w:t>
      </w:r>
      <w:r w:rsidRPr="00D36AC8">
        <w:rPr>
          <w:i/>
          <w:lang w:val="fr-FR"/>
        </w:rPr>
        <w:tab/>
        <w:t>Le débit de dose ne dépasse pas 5</w:t>
      </w:r>
      <w:r w:rsidR="006D295C">
        <w:rPr>
          <w:i/>
          <w:lang w:val="fr-FR"/>
        </w:rPr>
        <w:t> </w:t>
      </w:r>
      <w:r w:rsidRPr="00D36AC8">
        <w:rPr>
          <w:i/>
          <w:lang w:val="fr-FR"/>
        </w:rPr>
        <w:t>μSv/h en tout point accessible de la surface du véhicule.</w:t>
      </w:r>
      <w:r>
        <w:rPr>
          <w:lang w:val="fr-FR"/>
        </w:rPr>
        <w:t> »</w:t>
      </w:r>
    </w:p>
    <w:p w:rsidR="009129E2" w:rsidRPr="00AA553E" w:rsidRDefault="009129E2" w:rsidP="009129E2">
      <w:pPr>
        <w:pStyle w:val="SingleTxtG"/>
        <w:rPr>
          <w:lang w:val="fr-FR"/>
        </w:rPr>
      </w:pPr>
      <w:r>
        <w:rPr>
          <w:lang w:val="fr-FR"/>
        </w:rPr>
        <w:t>7.</w:t>
      </w:r>
      <w:r>
        <w:rPr>
          <w:lang w:val="fr-FR"/>
        </w:rPr>
        <w:tab/>
        <w:t>On peut constater que le texte de la prescription supplémentaire</w:t>
      </w:r>
      <w:r w:rsidR="00D36AC8">
        <w:rPr>
          <w:lang w:val="fr-FR"/>
        </w:rPr>
        <w:t> </w:t>
      </w:r>
      <w:r>
        <w:rPr>
          <w:lang w:val="fr-FR"/>
        </w:rPr>
        <w:t>S21 renvoie deux fois au chapitre</w:t>
      </w:r>
      <w:r w:rsidR="00D36AC8">
        <w:rPr>
          <w:lang w:val="fr-FR"/>
        </w:rPr>
        <w:t> </w:t>
      </w:r>
      <w:r>
        <w:rPr>
          <w:lang w:val="fr-FR"/>
        </w:rPr>
        <w:t>8.4, ce qui prête à confusion. La Suède estime que les passages relatifs au chapitre</w:t>
      </w:r>
      <w:r w:rsidR="00D36AC8">
        <w:rPr>
          <w:lang w:val="fr-FR"/>
        </w:rPr>
        <w:t> </w:t>
      </w:r>
      <w:r>
        <w:rPr>
          <w:lang w:val="fr-FR"/>
        </w:rPr>
        <w:t xml:space="preserve">8.4 devraient être réunis afin que la logique de la disposition soit plus facile à suivre (voir la section </w:t>
      </w:r>
      <w:r w:rsidR="00D36AC8">
        <w:rPr>
          <w:lang w:val="fr-FR"/>
        </w:rPr>
        <w:t>« </w:t>
      </w:r>
      <w:r>
        <w:rPr>
          <w:lang w:val="fr-FR"/>
        </w:rPr>
        <w:t>Propositions</w:t>
      </w:r>
      <w:r w:rsidR="00D36AC8">
        <w:rPr>
          <w:lang w:val="fr-FR"/>
        </w:rPr>
        <w:t> »</w:t>
      </w:r>
      <w:r>
        <w:rPr>
          <w:lang w:val="fr-FR"/>
        </w:rPr>
        <w:t>).</w:t>
      </w:r>
    </w:p>
    <w:p w:rsidR="009129E2" w:rsidRPr="00AA553E" w:rsidRDefault="009129E2" w:rsidP="006D295C">
      <w:pPr>
        <w:pStyle w:val="H23G"/>
        <w:rPr>
          <w:lang w:val="fr-FR"/>
        </w:rPr>
      </w:pPr>
      <w:r>
        <w:rPr>
          <w:lang w:val="fr-FR"/>
        </w:rPr>
        <w:tab/>
      </w:r>
      <w:r w:rsidR="006D295C">
        <w:rPr>
          <w:lang w:val="fr-FR"/>
        </w:rPr>
        <w:tab/>
      </w:r>
      <w:r>
        <w:rPr>
          <w:lang w:val="fr-FR"/>
        </w:rPr>
        <w:t>Comparaison entre le chapitre</w:t>
      </w:r>
      <w:r w:rsidR="006D295C">
        <w:rPr>
          <w:lang w:val="fr-FR"/>
        </w:rPr>
        <w:t> </w:t>
      </w:r>
      <w:r>
        <w:rPr>
          <w:lang w:val="fr-FR"/>
        </w:rPr>
        <w:t>8.5 et le chapitre</w:t>
      </w:r>
      <w:r w:rsidR="006D295C">
        <w:rPr>
          <w:lang w:val="fr-FR"/>
        </w:rPr>
        <w:t> </w:t>
      </w:r>
      <w:r>
        <w:rPr>
          <w:lang w:val="fr-FR"/>
        </w:rPr>
        <w:t>1.10</w:t>
      </w:r>
    </w:p>
    <w:p w:rsidR="009129E2" w:rsidRPr="00AA553E" w:rsidRDefault="009129E2" w:rsidP="009129E2">
      <w:pPr>
        <w:pStyle w:val="SingleTxtG"/>
        <w:rPr>
          <w:lang w:val="fr-FR"/>
        </w:rPr>
      </w:pPr>
      <w:r>
        <w:rPr>
          <w:lang w:val="fr-FR"/>
        </w:rPr>
        <w:t>8.</w:t>
      </w:r>
      <w:r>
        <w:rPr>
          <w:lang w:val="fr-FR"/>
        </w:rPr>
        <w:tab/>
        <w:t xml:space="preserve">Comme il est expliqué plus haut, la Suède est d’avis que les prescriptions supplémentaires S1(6), S16 et S21 contiennent deux dispositions </w:t>
      </w:r>
      <w:r w:rsidR="0007560B">
        <w:rPr>
          <w:lang w:val="fr-FR"/>
        </w:rPr>
        <w:t>« </w:t>
      </w:r>
      <w:r>
        <w:rPr>
          <w:lang w:val="fr-FR"/>
        </w:rPr>
        <w:t>distinctes</w:t>
      </w:r>
      <w:r w:rsidR="0007560B">
        <w:rPr>
          <w:lang w:val="fr-FR"/>
        </w:rPr>
        <w:t> »</w:t>
      </w:r>
      <w:r>
        <w:rPr>
          <w:lang w:val="fr-FR"/>
        </w:rPr>
        <w:t xml:space="preserve"> concernant la surveillance</w:t>
      </w:r>
      <w:r w:rsidR="0007560B">
        <w:rPr>
          <w:lang w:val="fr-FR"/>
        </w:rPr>
        <w:t> </w:t>
      </w:r>
      <w:r>
        <w:rPr>
          <w:lang w:val="fr-FR"/>
        </w:rPr>
        <w:t>; l’une concernant principalement la sécurité et l’autre la sûreté. Cela semble logique, car l’ADR visait à l’origine à assurer la sécurité du transport et les dispositions relatives à la sûreté ont été introduites beaucoup plus tard.</w:t>
      </w:r>
    </w:p>
    <w:p w:rsidR="009129E2" w:rsidRDefault="009129E2" w:rsidP="009129E2">
      <w:pPr>
        <w:pStyle w:val="SingleTxtG"/>
        <w:rPr>
          <w:lang w:val="fr-FR"/>
        </w:rPr>
      </w:pPr>
      <w:r>
        <w:rPr>
          <w:lang w:val="fr-FR"/>
        </w:rPr>
        <w:t>9.</w:t>
      </w:r>
      <w:r>
        <w:rPr>
          <w:lang w:val="fr-FR"/>
        </w:rPr>
        <w:tab/>
        <w:t>Lorsque l’on compare les limites énoncées dans les prescriptions</w:t>
      </w:r>
      <w:r w:rsidR="0007560B">
        <w:rPr>
          <w:lang w:val="fr-FR"/>
        </w:rPr>
        <w:t> </w:t>
      </w:r>
      <w:r>
        <w:rPr>
          <w:lang w:val="fr-FR"/>
        </w:rPr>
        <w:t>S1(6), S16 et S21 avec celles figurant dans le tableau du 1.10.3.1.2, on constate qu’elles ne sont pas tout à fait identiques</w:t>
      </w:r>
      <w:r w:rsidR="0007560B">
        <w:rPr>
          <w:lang w:val="fr-FR"/>
        </w:rPr>
        <w:t> </w:t>
      </w:r>
      <w:r>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6"/>
        <w:gridCol w:w="1779"/>
        <w:gridCol w:w="2655"/>
      </w:tblGrid>
      <w:tr w:rsidR="0007560B" w:rsidRPr="0007560B" w:rsidTr="0007560B">
        <w:trPr>
          <w:tblHeader/>
        </w:trPr>
        <w:tc>
          <w:tcPr>
            <w:tcW w:w="2936" w:type="dxa"/>
            <w:shd w:val="clear" w:color="auto" w:fill="auto"/>
            <w:vAlign w:val="bottom"/>
          </w:tcPr>
          <w:p w:rsidR="009129E2" w:rsidRPr="0007560B" w:rsidRDefault="009129E2" w:rsidP="0007560B">
            <w:pPr>
              <w:suppressAutoHyphens w:val="0"/>
              <w:spacing w:before="80" w:after="80" w:line="200" w:lineRule="exact"/>
              <w:ind w:left="57" w:right="57"/>
              <w:rPr>
                <w:i/>
                <w:sz w:val="16"/>
                <w:lang w:val="fr-FR"/>
              </w:rPr>
            </w:pPr>
          </w:p>
        </w:tc>
        <w:tc>
          <w:tcPr>
            <w:tcW w:w="1779" w:type="dxa"/>
            <w:shd w:val="clear" w:color="auto" w:fill="auto"/>
            <w:vAlign w:val="bottom"/>
          </w:tcPr>
          <w:p w:rsidR="009129E2" w:rsidRPr="0007560B" w:rsidRDefault="009129E2" w:rsidP="0007560B">
            <w:pPr>
              <w:suppressAutoHyphens w:val="0"/>
              <w:spacing w:before="80" w:after="80" w:line="200" w:lineRule="exact"/>
              <w:ind w:left="57" w:right="57"/>
              <w:jc w:val="right"/>
              <w:rPr>
                <w:i/>
                <w:sz w:val="16"/>
                <w:lang w:val="fr-FR"/>
              </w:rPr>
            </w:pPr>
            <w:r w:rsidRPr="0007560B">
              <w:rPr>
                <w:i/>
                <w:sz w:val="16"/>
                <w:lang w:val="fr-FR"/>
              </w:rPr>
              <w:t xml:space="preserve">Seuil d’application de </w:t>
            </w:r>
            <w:r w:rsidR="0007560B">
              <w:rPr>
                <w:i/>
                <w:sz w:val="16"/>
                <w:lang w:val="fr-FR"/>
              </w:rPr>
              <w:br/>
            </w:r>
            <w:r w:rsidRPr="0007560B">
              <w:rPr>
                <w:i/>
                <w:sz w:val="16"/>
                <w:lang w:val="fr-FR"/>
              </w:rPr>
              <w:t>la prescription S1(6)</w:t>
            </w:r>
          </w:p>
        </w:tc>
        <w:tc>
          <w:tcPr>
            <w:tcW w:w="2655" w:type="dxa"/>
            <w:shd w:val="clear" w:color="auto" w:fill="auto"/>
            <w:vAlign w:val="bottom"/>
          </w:tcPr>
          <w:p w:rsidR="009129E2" w:rsidRPr="0007560B" w:rsidRDefault="009129E2" w:rsidP="0007560B">
            <w:pPr>
              <w:suppressAutoHyphens w:val="0"/>
              <w:spacing w:before="80" w:after="80" w:line="200" w:lineRule="exact"/>
              <w:ind w:left="57" w:right="57"/>
              <w:jc w:val="right"/>
              <w:rPr>
                <w:i/>
                <w:sz w:val="16"/>
              </w:rPr>
            </w:pPr>
            <w:r w:rsidRPr="0007560B">
              <w:rPr>
                <w:i/>
                <w:sz w:val="16"/>
                <w:lang w:val="fr-FR"/>
              </w:rPr>
              <w:t>Seuil d’application du 1.10.3</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rPr>
            </w:pPr>
            <w:r w:rsidRPr="0007560B">
              <w:rPr>
                <w:sz w:val="18"/>
                <w:lang w:val="fr-FR"/>
              </w:rPr>
              <w:t>Division 1.1</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c>
          <w:tcPr>
            <w:tcW w:w="2655"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rPr>
            </w:pPr>
            <w:r w:rsidRPr="0007560B">
              <w:rPr>
                <w:sz w:val="18"/>
                <w:lang w:val="fr-FR"/>
              </w:rPr>
              <w:t>Division 1.2</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c>
          <w:tcPr>
            <w:tcW w:w="2655"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rPr>
            </w:pPr>
            <w:r w:rsidRPr="0007560B">
              <w:rPr>
                <w:sz w:val="18"/>
                <w:lang w:val="fr-FR"/>
              </w:rPr>
              <w:t>Division 1.3</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50 kg</w:t>
            </w:r>
          </w:p>
        </w:tc>
        <w:tc>
          <w:tcPr>
            <w:tcW w:w="2655"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szCs w:val="22"/>
              </w:rPr>
            </w:pPr>
            <w:r w:rsidRPr="0007560B">
              <w:rPr>
                <w:sz w:val="18"/>
                <w:lang w:val="fr-FR"/>
              </w:rPr>
              <w:t xml:space="preserve">Sans objet* </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rPr>
            </w:pPr>
            <w:r w:rsidRPr="0007560B">
              <w:rPr>
                <w:sz w:val="18"/>
                <w:lang w:val="fr-FR"/>
              </w:rPr>
              <w:t>Division 1.4</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50 kg</w:t>
            </w:r>
          </w:p>
        </w:tc>
        <w:tc>
          <w:tcPr>
            <w:tcW w:w="2655"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Sans objet*</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rPr>
            </w:pPr>
            <w:r w:rsidRPr="0007560B">
              <w:rPr>
                <w:sz w:val="18"/>
                <w:lang w:val="fr-FR"/>
              </w:rPr>
              <w:t>Division 1.5</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c>
          <w:tcPr>
            <w:tcW w:w="2655"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rPr>
            </w:pPr>
            <w:r w:rsidRPr="0007560B">
              <w:rPr>
                <w:sz w:val="18"/>
                <w:lang w:val="fr-FR"/>
              </w:rPr>
              <w:t>Division 1.6</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50 kg</w:t>
            </w:r>
          </w:p>
        </w:tc>
        <w:tc>
          <w:tcPr>
            <w:tcW w:w="2655"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 à partir de 2021**</w:t>
            </w:r>
          </w:p>
        </w:tc>
      </w:tr>
      <w:tr w:rsidR="0007560B" w:rsidRPr="0007560B" w:rsidTr="0007560B">
        <w:tc>
          <w:tcPr>
            <w:tcW w:w="2936" w:type="dxa"/>
            <w:shd w:val="clear" w:color="auto" w:fill="auto"/>
          </w:tcPr>
          <w:p w:rsidR="009129E2" w:rsidRPr="0007560B" w:rsidRDefault="009129E2" w:rsidP="0007560B">
            <w:pPr>
              <w:suppressAutoHyphens w:val="0"/>
              <w:spacing w:before="40" w:after="40" w:line="220" w:lineRule="exact"/>
              <w:ind w:left="57" w:right="57"/>
              <w:rPr>
                <w:sz w:val="18"/>
                <w:lang w:val="fr-FR"/>
              </w:rPr>
            </w:pPr>
            <w:r w:rsidRPr="0007560B">
              <w:rPr>
                <w:sz w:val="18"/>
                <w:lang w:val="fr-FR"/>
              </w:rPr>
              <w:t xml:space="preserve">Matières et objets </w:t>
            </w:r>
            <w:r w:rsidR="00D007A3">
              <w:rPr>
                <w:sz w:val="18"/>
                <w:lang w:val="fr-FR"/>
              </w:rPr>
              <w:t xml:space="preserve">de la Division 1.4 </w:t>
            </w:r>
            <w:r w:rsidRPr="0007560B">
              <w:rPr>
                <w:sz w:val="18"/>
                <w:lang w:val="fr-FR"/>
              </w:rPr>
              <w:t>affectés aux N</w:t>
            </w:r>
            <w:r w:rsidRPr="0007560B">
              <w:rPr>
                <w:sz w:val="18"/>
                <w:vertAlign w:val="superscript"/>
                <w:lang w:val="fr-FR"/>
              </w:rPr>
              <w:t>os</w:t>
            </w:r>
            <w:r w:rsidR="0007560B">
              <w:rPr>
                <w:sz w:val="18"/>
                <w:lang w:val="fr-FR"/>
              </w:rPr>
              <w:t> </w:t>
            </w:r>
            <w:r w:rsidRPr="0007560B">
              <w:rPr>
                <w:sz w:val="18"/>
                <w:lang w:val="fr-FR"/>
              </w:rPr>
              <w:t>ONU 0104, 0237, 0255, 0267, 0289, 0361, 0365, 0366, 0440, 0441, 0455 et 0500</w:t>
            </w:r>
          </w:p>
        </w:tc>
        <w:tc>
          <w:tcPr>
            <w:tcW w:w="1779" w:type="dxa"/>
            <w:shd w:val="clear" w:color="auto" w:fill="auto"/>
            <w:vAlign w:val="bottom"/>
          </w:tcPr>
          <w:p w:rsidR="009129E2" w:rsidRPr="0007560B" w:rsidRDefault="009129E2" w:rsidP="0007560B">
            <w:pPr>
              <w:suppressAutoHyphens w:val="0"/>
              <w:spacing w:before="40" w:after="40" w:line="220" w:lineRule="exact"/>
              <w:ind w:left="57" w:right="57"/>
              <w:jc w:val="right"/>
              <w:rPr>
                <w:sz w:val="18"/>
              </w:rPr>
            </w:pPr>
            <w:r w:rsidRPr="0007560B">
              <w:rPr>
                <w:sz w:val="18"/>
                <w:lang w:val="fr-FR"/>
              </w:rPr>
              <w:t>0 kg</w:t>
            </w:r>
          </w:p>
        </w:tc>
        <w:tc>
          <w:tcPr>
            <w:tcW w:w="2655" w:type="dxa"/>
            <w:shd w:val="clear" w:color="auto" w:fill="auto"/>
            <w:vAlign w:val="bottom"/>
          </w:tcPr>
          <w:p w:rsidR="009129E2" w:rsidRPr="0007560B" w:rsidRDefault="00926B59" w:rsidP="0007560B">
            <w:pPr>
              <w:suppressAutoHyphens w:val="0"/>
              <w:spacing w:before="40" w:after="40" w:line="220" w:lineRule="exact"/>
              <w:ind w:left="57" w:right="57"/>
              <w:jc w:val="right"/>
              <w:rPr>
                <w:sz w:val="18"/>
              </w:rPr>
            </w:pPr>
            <w:r>
              <w:rPr>
                <w:sz w:val="18"/>
                <w:lang w:val="fr-FR"/>
              </w:rPr>
              <w:t xml:space="preserve">0 </w:t>
            </w:r>
            <w:r w:rsidR="009129E2" w:rsidRPr="0007560B">
              <w:rPr>
                <w:sz w:val="18"/>
                <w:lang w:val="fr-FR"/>
              </w:rPr>
              <w:t>kg</w:t>
            </w:r>
          </w:p>
        </w:tc>
      </w:tr>
    </w:tbl>
    <w:p w:rsidR="009129E2" w:rsidRDefault="009129E2" w:rsidP="0007560B">
      <w:pPr>
        <w:pStyle w:val="SingleTxtG"/>
        <w:spacing w:before="120" w:after="0"/>
        <w:ind w:firstLine="170"/>
        <w:rPr>
          <w:sz w:val="18"/>
          <w:szCs w:val="18"/>
          <w:lang w:val="fr-FR"/>
        </w:rPr>
      </w:pPr>
      <w:r w:rsidRPr="0007560B">
        <w:rPr>
          <w:sz w:val="18"/>
          <w:szCs w:val="18"/>
          <w:lang w:val="fr-FR"/>
        </w:rPr>
        <w:t>*</w:t>
      </w:r>
      <w:r w:rsidR="0007560B">
        <w:rPr>
          <w:sz w:val="18"/>
          <w:szCs w:val="18"/>
          <w:lang w:val="fr-FR"/>
        </w:rPr>
        <w:t xml:space="preserve">  </w:t>
      </w:r>
      <w:r w:rsidRPr="0007560B">
        <w:rPr>
          <w:sz w:val="18"/>
          <w:szCs w:val="18"/>
          <w:lang w:val="fr-FR"/>
        </w:rPr>
        <w:t>Le Sous-Comité TMD a examiné la question de l’inclusion de la division ou du numéro ONU spécifique dans la liste des marchandises dangereuses à haut risque. Aucune décision n’a été prise à ce jour.</w:t>
      </w:r>
    </w:p>
    <w:p w:rsidR="0007560B" w:rsidRPr="0007560B" w:rsidRDefault="0007560B" w:rsidP="0007560B">
      <w:pPr>
        <w:pStyle w:val="SingleTxtG"/>
        <w:spacing w:before="120" w:after="240"/>
        <w:ind w:firstLine="170"/>
        <w:rPr>
          <w:sz w:val="18"/>
          <w:szCs w:val="18"/>
          <w:lang w:val="fr-FR"/>
        </w:rPr>
      </w:pPr>
      <w:r>
        <w:rPr>
          <w:sz w:val="18"/>
          <w:szCs w:val="18"/>
          <w:lang w:val="fr-FR"/>
        </w:rPr>
        <w:t>**</w:t>
      </w:r>
      <w:r w:rsidRPr="0007560B">
        <w:rPr>
          <w:sz w:val="18"/>
          <w:szCs w:val="18"/>
          <w:lang w:val="fr-FR"/>
        </w:rPr>
        <w:t xml:space="preserve">  Voir la section</w:t>
      </w:r>
      <w:r>
        <w:rPr>
          <w:sz w:val="18"/>
          <w:szCs w:val="18"/>
          <w:lang w:val="fr-FR"/>
        </w:rPr>
        <w:t> </w:t>
      </w:r>
      <w:r w:rsidRPr="0007560B">
        <w:rPr>
          <w:sz w:val="18"/>
          <w:szCs w:val="18"/>
          <w:lang w:val="fr-FR"/>
        </w:rPr>
        <w:t>IV</w:t>
      </w:r>
      <w:r>
        <w:rPr>
          <w:sz w:val="18"/>
          <w:szCs w:val="18"/>
          <w:lang w:val="fr-FR"/>
        </w:rPr>
        <w:t> </w:t>
      </w:r>
      <w:r w:rsidRPr="0007560B">
        <w:rPr>
          <w:sz w:val="18"/>
          <w:szCs w:val="18"/>
          <w:lang w:val="fr-FR"/>
        </w:rPr>
        <w:t>F du rapport du Sous-comité TMD</w:t>
      </w:r>
      <w:r>
        <w:rPr>
          <w:sz w:val="18"/>
          <w:szCs w:val="18"/>
          <w:lang w:val="fr-FR"/>
        </w:rPr>
        <w:t> </w:t>
      </w:r>
      <w:r w:rsidRPr="0007560B">
        <w:rPr>
          <w:sz w:val="18"/>
          <w:szCs w:val="18"/>
          <w:lang w:val="fr-FR"/>
        </w:rPr>
        <w:t xml:space="preserve">: </w:t>
      </w:r>
      <w:hyperlink r:id="rId8" w:history="1">
        <w:r w:rsidRPr="00A14A92">
          <w:rPr>
            <w:rStyle w:val="Hyperlink"/>
            <w:sz w:val="18"/>
            <w:szCs w:val="18"/>
            <w:lang w:val="fr-FR"/>
          </w:rPr>
          <w:t>https://www.unece.org/fileadmin/DAM/</w:t>
        </w:r>
        <w:r w:rsidRPr="00A14A92">
          <w:rPr>
            <w:rStyle w:val="Hyperlink"/>
            <w:sz w:val="18"/>
            <w:szCs w:val="18"/>
            <w:lang w:val="fr-FR"/>
          </w:rPr>
          <w:br/>
          <w:t>trans/doc/2017/dgac10c3/ST-SG-AC10-C3-104e.pdf</w:t>
        </w:r>
      </w:hyperlink>
      <w:r w:rsidRPr="0007560B">
        <w:rPr>
          <w:sz w:val="18"/>
          <w:szCs w:val="18"/>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7"/>
        <w:gridCol w:w="1687"/>
        <w:gridCol w:w="2526"/>
      </w:tblGrid>
      <w:tr w:rsidR="00A14A92" w:rsidRPr="00A14A92" w:rsidTr="00BE18FE">
        <w:trPr>
          <w:tblHeader/>
        </w:trPr>
        <w:tc>
          <w:tcPr>
            <w:tcW w:w="3157" w:type="dxa"/>
            <w:shd w:val="clear" w:color="auto" w:fill="auto"/>
            <w:vAlign w:val="bottom"/>
          </w:tcPr>
          <w:p w:rsidR="009129E2" w:rsidRPr="00A14A92" w:rsidRDefault="009129E2" w:rsidP="00D06AC0">
            <w:pPr>
              <w:keepNext/>
              <w:keepLines/>
              <w:suppressAutoHyphens w:val="0"/>
              <w:spacing w:before="80" w:after="80" w:line="200" w:lineRule="exact"/>
              <w:ind w:left="57" w:right="57"/>
              <w:rPr>
                <w:i/>
                <w:sz w:val="16"/>
                <w:lang w:val="fr-FR"/>
              </w:rPr>
            </w:pPr>
          </w:p>
        </w:tc>
        <w:tc>
          <w:tcPr>
            <w:tcW w:w="1687" w:type="dxa"/>
            <w:shd w:val="clear" w:color="auto" w:fill="auto"/>
            <w:vAlign w:val="bottom"/>
          </w:tcPr>
          <w:p w:rsidR="009129E2" w:rsidRPr="00A14A92" w:rsidRDefault="009129E2" w:rsidP="00D06AC0">
            <w:pPr>
              <w:keepNext/>
              <w:keepLines/>
              <w:suppressAutoHyphens w:val="0"/>
              <w:spacing w:before="80" w:after="80" w:line="200" w:lineRule="exact"/>
              <w:ind w:left="57" w:right="57"/>
              <w:jc w:val="right"/>
              <w:rPr>
                <w:i/>
                <w:sz w:val="16"/>
                <w:lang w:val="fr-FR"/>
              </w:rPr>
            </w:pPr>
            <w:r w:rsidRPr="00A14A92">
              <w:rPr>
                <w:i/>
                <w:sz w:val="16"/>
                <w:lang w:val="fr-FR"/>
              </w:rPr>
              <w:t>Seuil d’application de la</w:t>
            </w:r>
            <w:r w:rsidR="00BE18FE">
              <w:rPr>
                <w:i/>
                <w:sz w:val="16"/>
                <w:lang w:val="fr-FR"/>
              </w:rPr>
              <w:t> </w:t>
            </w:r>
            <w:r w:rsidRPr="00A14A92">
              <w:rPr>
                <w:i/>
                <w:sz w:val="16"/>
                <w:lang w:val="fr-FR"/>
              </w:rPr>
              <w:t>prescription S16</w:t>
            </w:r>
          </w:p>
        </w:tc>
        <w:tc>
          <w:tcPr>
            <w:tcW w:w="2526" w:type="dxa"/>
            <w:shd w:val="clear" w:color="auto" w:fill="auto"/>
            <w:vAlign w:val="bottom"/>
          </w:tcPr>
          <w:p w:rsidR="009129E2" w:rsidRPr="00A14A92" w:rsidRDefault="009129E2" w:rsidP="00D06AC0">
            <w:pPr>
              <w:keepNext/>
              <w:keepLines/>
              <w:suppressAutoHyphens w:val="0"/>
              <w:spacing w:before="80" w:after="80" w:line="200" w:lineRule="exact"/>
              <w:ind w:left="57" w:right="57"/>
              <w:jc w:val="right"/>
              <w:rPr>
                <w:i/>
                <w:sz w:val="16"/>
              </w:rPr>
            </w:pPr>
            <w:r w:rsidRPr="00A14A92">
              <w:rPr>
                <w:i/>
                <w:sz w:val="16"/>
                <w:lang w:val="fr-FR"/>
              </w:rPr>
              <w:t>Seuil d’application du 1.10.3</w:t>
            </w:r>
          </w:p>
        </w:tc>
      </w:tr>
      <w:tr w:rsidR="00A14A92" w:rsidRPr="00A14A92" w:rsidTr="00BE18FE">
        <w:tc>
          <w:tcPr>
            <w:tcW w:w="3157" w:type="dxa"/>
            <w:shd w:val="clear" w:color="auto" w:fill="auto"/>
          </w:tcPr>
          <w:p w:rsidR="009129E2" w:rsidRPr="00A14A92" w:rsidRDefault="009129E2" w:rsidP="00D06AC0">
            <w:pPr>
              <w:keepNext/>
              <w:keepLines/>
              <w:suppressAutoHyphens w:val="0"/>
              <w:spacing w:before="40" w:after="40" w:line="220" w:lineRule="exact"/>
              <w:ind w:left="57" w:right="57"/>
              <w:rPr>
                <w:sz w:val="18"/>
              </w:rPr>
            </w:pPr>
            <w:r w:rsidRPr="00A14A92">
              <w:rPr>
                <w:sz w:val="18"/>
                <w:lang w:val="fr-FR"/>
              </w:rPr>
              <w:t>ONU 3111 et ONU 3112 (classe 5.2)</w:t>
            </w:r>
          </w:p>
        </w:tc>
        <w:tc>
          <w:tcPr>
            <w:tcW w:w="1687" w:type="dxa"/>
            <w:shd w:val="clear" w:color="auto" w:fill="auto"/>
            <w:vAlign w:val="bottom"/>
          </w:tcPr>
          <w:p w:rsidR="009129E2" w:rsidRPr="00A14A92" w:rsidRDefault="009129E2" w:rsidP="00D06AC0">
            <w:pPr>
              <w:keepNext/>
              <w:keepLines/>
              <w:suppressAutoHyphens w:val="0"/>
              <w:spacing w:before="40" w:after="40" w:line="220" w:lineRule="exact"/>
              <w:ind w:left="57" w:right="57"/>
              <w:jc w:val="right"/>
              <w:rPr>
                <w:sz w:val="18"/>
              </w:rPr>
            </w:pPr>
            <w:r w:rsidRPr="00A14A92">
              <w:rPr>
                <w:sz w:val="18"/>
                <w:lang w:val="fr-FR"/>
              </w:rPr>
              <w:t>500 kg</w:t>
            </w:r>
          </w:p>
        </w:tc>
        <w:tc>
          <w:tcPr>
            <w:tcW w:w="2526" w:type="dxa"/>
            <w:shd w:val="clear" w:color="auto" w:fill="auto"/>
            <w:vAlign w:val="bottom"/>
          </w:tcPr>
          <w:p w:rsidR="009129E2" w:rsidRPr="00A14A92" w:rsidRDefault="009129E2" w:rsidP="00D06AC0">
            <w:pPr>
              <w:keepNext/>
              <w:keepLines/>
              <w:suppressAutoHyphens w:val="0"/>
              <w:spacing w:before="40" w:after="40" w:line="220" w:lineRule="exact"/>
              <w:ind w:left="57" w:right="57"/>
              <w:jc w:val="right"/>
              <w:rPr>
                <w:sz w:val="18"/>
              </w:rPr>
            </w:pPr>
            <w:r w:rsidRPr="00A14A92">
              <w:rPr>
                <w:sz w:val="18"/>
                <w:lang w:val="fr-FR"/>
              </w:rPr>
              <w:t>Sans objet</w:t>
            </w:r>
          </w:p>
        </w:tc>
      </w:tr>
      <w:tr w:rsidR="00A14A92" w:rsidRPr="00A14A92" w:rsidTr="00BE18FE">
        <w:tc>
          <w:tcPr>
            <w:tcW w:w="3157" w:type="dxa"/>
            <w:shd w:val="clear" w:color="auto" w:fill="auto"/>
          </w:tcPr>
          <w:p w:rsidR="009129E2" w:rsidRPr="00A14A92" w:rsidRDefault="009129E2" w:rsidP="00BE18FE">
            <w:pPr>
              <w:suppressAutoHyphens w:val="0"/>
              <w:spacing w:before="40" w:after="40" w:line="220" w:lineRule="exact"/>
              <w:ind w:left="57" w:right="57"/>
              <w:rPr>
                <w:sz w:val="18"/>
              </w:rPr>
            </w:pPr>
            <w:r w:rsidRPr="00A14A92">
              <w:rPr>
                <w:sz w:val="18"/>
                <w:lang w:val="fr-FR"/>
              </w:rPr>
              <w:t>ONU 3231 et ONU 3232 (classe 4.1)</w:t>
            </w:r>
          </w:p>
        </w:tc>
        <w:tc>
          <w:tcPr>
            <w:tcW w:w="1687" w:type="dxa"/>
            <w:shd w:val="clear" w:color="auto" w:fill="auto"/>
            <w:vAlign w:val="bottom"/>
          </w:tcPr>
          <w:p w:rsidR="009129E2" w:rsidRPr="00A14A92" w:rsidRDefault="009129E2" w:rsidP="00BE18FE">
            <w:pPr>
              <w:suppressAutoHyphens w:val="0"/>
              <w:spacing w:before="40" w:after="40" w:line="220" w:lineRule="exact"/>
              <w:ind w:left="57" w:right="57"/>
              <w:jc w:val="right"/>
              <w:rPr>
                <w:sz w:val="18"/>
              </w:rPr>
            </w:pPr>
            <w:r w:rsidRPr="00A14A92">
              <w:rPr>
                <w:sz w:val="18"/>
                <w:lang w:val="fr-FR"/>
              </w:rPr>
              <w:t>500 kg</w:t>
            </w:r>
          </w:p>
        </w:tc>
        <w:tc>
          <w:tcPr>
            <w:tcW w:w="2526" w:type="dxa"/>
            <w:shd w:val="clear" w:color="auto" w:fill="auto"/>
            <w:vAlign w:val="bottom"/>
          </w:tcPr>
          <w:p w:rsidR="009129E2" w:rsidRPr="00A14A92" w:rsidRDefault="009129E2" w:rsidP="00BE18FE">
            <w:pPr>
              <w:suppressAutoHyphens w:val="0"/>
              <w:spacing w:before="40" w:after="40" w:line="220" w:lineRule="exact"/>
              <w:ind w:left="57" w:right="57"/>
              <w:jc w:val="right"/>
              <w:rPr>
                <w:sz w:val="18"/>
              </w:rPr>
            </w:pPr>
            <w:r w:rsidRPr="00A14A92">
              <w:rPr>
                <w:sz w:val="18"/>
                <w:lang w:val="fr-FR"/>
              </w:rPr>
              <w:t>Sans objet</w:t>
            </w:r>
          </w:p>
        </w:tc>
      </w:tr>
      <w:tr w:rsidR="00A14A92" w:rsidRPr="00A14A92" w:rsidTr="00BE18FE">
        <w:tc>
          <w:tcPr>
            <w:tcW w:w="7370" w:type="dxa"/>
            <w:gridSpan w:val="3"/>
            <w:shd w:val="clear" w:color="auto" w:fill="auto"/>
          </w:tcPr>
          <w:p w:rsidR="009129E2" w:rsidRPr="00A14A92" w:rsidRDefault="009129E2" w:rsidP="00BE18FE">
            <w:pPr>
              <w:suppressAutoHyphens w:val="0"/>
              <w:spacing w:before="40" w:after="40" w:line="220" w:lineRule="exact"/>
              <w:ind w:left="57" w:right="57"/>
              <w:rPr>
                <w:sz w:val="18"/>
                <w:lang w:val="fr-FR"/>
              </w:rPr>
            </w:pPr>
            <w:r w:rsidRPr="00A14A92">
              <w:rPr>
                <w:i/>
                <w:iCs/>
                <w:sz w:val="18"/>
                <w:lang w:val="fr-FR"/>
              </w:rPr>
              <w:t>Note</w:t>
            </w:r>
            <w:r w:rsidR="00BE18FE">
              <w:rPr>
                <w:i/>
                <w:iCs/>
                <w:sz w:val="18"/>
                <w:lang w:val="fr-FR"/>
              </w:rPr>
              <w:t> </w:t>
            </w:r>
            <w:r w:rsidRPr="00A14A92">
              <w:rPr>
                <w:sz w:val="18"/>
                <w:lang w:val="fr-FR"/>
              </w:rPr>
              <w:t>: Les dispositions ne sont pas identiques. Une proposition distincte pourrait traiter de cette question si on le juge nécessaire.</w:t>
            </w:r>
          </w:p>
        </w:tc>
      </w:tr>
    </w:tbl>
    <w:p w:rsidR="009129E2" w:rsidRPr="00AA553E" w:rsidRDefault="009129E2" w:rsidP="009129E2">
      <w:pPr>
        <w:pStyle w:val="SingleTxtG"/>
        <w:rPr>
          <w:b/>
          <w:lang w:val="fr-FR"/>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123"/>
        <w:gridCol w:w="4247"/>
      </w:tblGrid>
      <w:tr w:rsidR="00BE18FE" w:rsidRPr="00BE18FE" w:rsidTr="008913F4">
        <w:trPr>
          <w:tblHeader/>
        </w:trPr>
        <w:tc>
          <w:tcPr>
            <w:tcW w:w="7370" w:type="dxa"/>
            <w:gridSpan w:val="2"/>
            <w:shd w:val="clear" w:color="auto" w:fill="auto"/>
            <w:vAlign w:val="bottom"/>
          </w:tcPr>
          <w:p w:rsidR="009129E2" w:rsidRPr="00BE18FE" w:rsidRDefault="009129E2" w:rsidP="008913F4">
            <w:pPr>
              <w:spacing w:before="80" w:after="80" w:line="200" w:lineRule="exact"/>
              <w:ind w:left="57" w:right="57"/>
              <w:rPr>
                <w:i/>
                <w:sz w:val="16"/>
                <w:lang w:val="fr-FR"/>
              </w:rPr>
            </w:pPr>
            <w:r w:rsidRPr="00BE18FE">
              <w:rPr>
                <w:i/>
                <w:sz w:val="16"/>
                <w:lang w:val="fr-FR"/>
              </w:rPr>
              <w:t>Comparaison entre la prescription supplémentaire S21 et le 1.10.3</w:t>
            </w:r>
          </w:p>
        </w:tc>
      </w:tr>
      <w:tr w:rsidR="008913F4" w:rsidRPr="00BE18FE" w:rsidTr="008913F4">
        <w:tc>
          <w:tcPr>
            <w:tcW w:w="3123" w:type="dxa"/>
            <w:shd w:val="clear" w:color="auto" w:fill="auto"/>
          </w:tcPr>
          <w:p w:rsidR="009129E2" w:rsidRPr="00BE18FE" w:rsidRDefault="009129E2" w:rsidP="008913F4">
            <w:pPr>
              <w:spacing w:before="40" w:after="120"/>
              <w:ind w:left="57" w:right="57"/>
              <w:rPr>
                <w:b/>
                <w:lang w:val="fr-FR"/>
              </w:rPr>
            </w:pPr>
            <w:r w:rsidRPr="00BE18FE">
              <w:rPr>
                <w:lang w:val="fr-FR"/>
              </w:rPr>
              <w:t>La prescription S21 s’applique à toutes les matières de la classe</w:t>
            </w:r>
            <w:r w:rsidR="008913F4">
              <w:rPr>
                <w:lang w:val="fr-FR"/>
              </w:rPr>
              <w:t> </w:t>
            </w:r>
            <w:r w:rsidRPr="00BE18FE">
              <w:rPr>
                <w:lang w:val="fr-FR"/>
              </w:rPr>
              <w:t>7, quelle que soit leur masse.</w:t>
            </w:r>
          </w:p>
        </w:tc>
        <w:tc>
          <w:tcPr>
            <w:tcW w:w="4247" w:type="dxa"/>
            <w:shd w:val="clear" w:color="auto" w:fill="auto"/>
          </w:tcPr>
          <w:p w:rsidR="009129E2" w:rsidRPr="00BE18FE" w:rsidRDefault="009129E2" w:rsidP="008913F4">
            <w:pPr>
              <w:spacing w:before="40" w:after="120"/>
              <w:ind w:left="57" w:right="57"/>
              <w:rPr>
                <w:b/>
                <w:lang w:val="fr-FR"/>
              </w:rPr>
            </w:pPr>
            <w:r w:rsidRPr="00BE18FE">
              <w:rPr>
                <w:lang w:val="fr-FR"/>
              </w:rPr>
              <w:t>Les dispositions de la section 1.10.3 relatives aux</w:t>
            </w:r>
            <w:r w:rsidR="008913F4">
              <w:rPr>
                <w:lang w:val="fr-FR"/>
              </w:rPr>
              <w:t> </w:t>
            </w:r>
            <w:r w:rsidRPr="00BE18FE">
              <w:rPr>
                <w:lang w:val="fr-FR"/>
              </w:rPr>
              <w:t>marchandises dangereuses à haut risque s’appliquent aux matières radioactives dont l’activité dépasse un seuil précis.</w:t>
            </w:r>
          </w:p>
        </w:tc>
      </w:tr>
      <w:tr w:rsidR="008913F4" w:rsidRPr="00BE18FE" w:rsidTr="008913F4">
        <w:tc>
          <w:tcPr>
            <w:tcW w:w="7370" w:type="dxa"/>
            <w:gridSpan w:val="2"/>
            <w:shd w:val="clear" w:color="auto" w:fill="auto"/>
          </w:tcPr>
          <w:p w:rsidR="009129E2" w:rsidRPr="008913F4" w:rsidRDefault="009129E2" w:rsidP="008913F4">
            <w:pPr>
              <w:spacing w:before="40" w:after="120"/>
              <w:ind w:left="57" w:right="57"/>
              <w:rPr>
                <w:sz w:val="18"/>
                <w:szCs w:val="18"/>
                <w:lang w:val="fr-FR"/>
              </w:rPr>
            </w:pPr>
            <w:r w:rsidRPr="008913F4">
              <w:rPr>
                <w:i/>
                <w:sz w:val="18"/>
                <w:szCs w:val="18"/>
                <w:lang w:val="fr-FR"/>
              </w:rPr>
              <w:t>Note</w:t>
            </w:r>
            <w:r w:rsidR="008913F4" w:rsidRPr="008913F4">
              <w:rPr>
                <w:sz w:val="18"/>
                <w:szCs w:val="18"/>
                <w:lang w:val="fr-FR"/>
              </w:rPr>
              <w:t> </w:t>
            </w:r>
            <w:r w:rsidRPr="008913F4">
              <w:rPr>
                <w:sz w:val="18"/>
                <w:szCs w:val="18"/>
                <w:lang w:val="fr-FR"/>
              </w:rPr>
              <w:t>: La Suède estime qu’il n’y a pas de véritable discordance entre ces deux dispositions.</w:t>
            </w:r>
          </w:p>
        </w:tc>
      </w:tr>
    </w:tbl>
    <w:p w:rsidR="009129E2" w:rsidRPr="00AA553E" w:rsidRDefault="009129E2" w:rsidP="00D3137D">
      <w:pPr>
        <w:pStyle w:val="SingleTxtG"/>
        <w:spacing w:before="240"/>
        <w:rPr>
          <w:lang w:val="fr-FR"/>
        </w:rPr>
      </w:pPr>
      <w:r>
        <w:rPr>
          <w:lang w:val="fr-FR"/>
        </w:rPr>
        <w:t>10.</w:t>
      </w:r>
      <w:r>
        <w:rPr>
          <w:lang w:val="fr-FR"/>
        </w:rPr>
        <w:tab/>
        <w:t>Comme il est expliqué plus haut, il y a quelques différences entre les limites fixées au chapitre</w:t>
      </w:r>
      <w:r w:rsidR="0047470F">
        <w:rPr>
          <w:lang w:val="fr-FR"/>
        </w:rPr>
        <w:t> </w:t>
      </w:r>
      <w:r>
        <w:rPr>
          <w:lang w:val="fr-FR"/>
        </w:rPr>
        <w:t>8.5 et celles de la section</w:t>
      </w:r>
      <w:r w:rsidR="0047470F">
        <w:rPr>
          <w:lang w:val="fr-FR"/>
        </w:rPr>
        <w:t> </w:t>
      </w:r>
      <w:r>
        <w:rPr>
          <w:lang w:val="fr-FR"/>
        </w:rPr>
        <w:t>1.10.3. Bien que cette question soit digne d’intérêt, il est préférable qu’elle soit traitée séparément, et ce pour deux raisons</w:t>
      </w:r>
      <w:r w:rsidR="00E25CB6">
        <w:rPr>
          <w:lang w:val="fr-FR"/>
        </w:rPr>
        <w:t> </w:t>
      </w:r>
      <w:r>
        <w:rPr>
          <w:lang w:val="fr-FR"/>
        </w:rPr>
        <w:t>: premièrement, cela permettrait de continuer d’avancer sur la question qui fait l’objet du présent document</w:t>
      </w:r>
      <w:r w:rsidR="009F06A4">
        <w:rPr>
          <w:lang w:val="fr-FR"/>
        </w:rPr>
        <w:t> </w:t>
      </w:r>
      <w:r>
        <w:rPr>
          <w:lang w:val="fr-FR"/>
        </w:rPr>
        <w:t>; deuxièmement, tout ce qui touche au chapitre</w:t>
      </w:r>
      <w:r w:rsidR="0047470F">
        <w:rPr>
          <w:lang w:val="fr-FR"/>
        </w:rPr>
        <w:t> </w:t>
      </w:r>
      <w:r>
        <w:rPr>
          <w:lang w:val="fr-FR"/>
        </w:rPr>
        <w:t>1.10 devrait d’abord être examiné par le Sous-comité TMD. C’est pourquoi les amendements proposés par la Suède ne sont pas tributaires d’une éventuelle modification future de la liste visée au 1.10.3.</w:t>
      </w:r>
    </w:p>
    <w:p w:rsidR="009129E2" w:rsidRPr="00AA553E" w:rsidRDefault="009129E2" w:rsidP="0047470F">
      <w:pPr>
        <w:pStyle w:val="H1G"/>
        <w:rPr>
          <w:lang w:val="fr-FR"/>
        </w:rPr>
      </w:pPr>
      <w:r>
        <w:rPr>
          <w:lang w:val="fr-FR"/>
        </w:rPr>
        <w:tab/>
      </w:r>
      <w:r>
        <w:rPr>
          <w:lang w:val="fr-FR"/>
        </w:rPr>
        <w:tab/>
        <w:t>Résumé</w:t>
      </w:r>
    </w:p>
    <w:p w:rsidR="009129E2" w:rsidRPr="00AA553E" w:rsidRDefault="009129E2" w:rsidP="009129E2">
      <w:pPr>
        <w:pStyle w:val="SingleTxtG"/>
        <w:rPr>
          <w:lang w:val="fr-FR"/>
        </w:rPr>
      </w:pPr>
      <w:r>
        <w:rPr>
          <w:lang w:val="fr-FR"/>
        </w:rPr>
        <w:t>11.</w:t>
      </w:r>
      <w:r>
        <w:rPr>
          <w:lang w:val="fr-FR"/>
        </w:rPr>
        <w:tab/>
        <w:t xml:space="preserve">Les discussions menées précédemment ainsi que les résultats du questionnaire indiquent qu’il serait difficile de définir ce que l’on entend par </w:t>
      </w:r>
      <w:r w:rsidR="0047470F">
        <w:rPr>
          <w:lang w:val="fr-FR"/>
        </w:rPr>
        <w:t>« </w:t>
      </w:r>
      <w:r>
        <w:rPr>
          <w:lang w:val="fr-FR"/>
        </w:rPr>
        <w:t>surveillance</w:t>
      </w:r>
      <w:r w:rsidR="0047470F">
        <w:rPr>
          <w:lang w:val="fr-FR"/>
        </w:rPr>
        <w:t> »</w:t>
      </w:r>
      <w:r>
        <w:rPr>
          <w:lang w:val="fr-FR"/>
        </w:rPr>
        <w:t xml:space="preserve"> en indiquant des mesures spécifiques dans les prescriptions supplémentaires S1(6), S16 et S21. Pour cette raison, la Suède estime qu’une disposition qui peut être adaptée aux circonstances particulières de chaque transport serait une solution plus appropriée.</w:t>
      </w:r>
    </w:p>
    <w:p w:rsidR="009129E2" w:rsidRPr="00AA553E" w:rsidRDefault="009129E2" w:rsidP="009129E2">
      <w:pPr>
        <w:pStyle w:val="SingleTxtG"/>
        <w:rPr>
          <w:lang w:val="fr-FR"/>
        </w:rPr>
      </w:pPr>
      <w:r>
        <w:rPr>
          <w:lang w:val="fr-FR"/>
        </w:rPr>
        <w:t>12.</w:t>
      </w:r>
      <w:r>
        <w:rPr>
          <w:lang w:val="fr-FR"/>
        </w:rPr>
        <w:tab/>
        <w:t>Le chapitre</w:t>
      </w:r>
      <w:r w:rsidR="0047470F">
        <w:rPr>
          <w:lang w:val="fr-FR"/>
        </w:rPr>
        <w:t> </w:t>
      </w:r>
      <w:r>
        <w:rPr>
          <w:lang w:val="fr-FR"/>
        </w:rPr>
        <w:t>1.10 a pour objet de prescrire des mesures et des précautions à prendre pour réduire autant que possible le risque de vol ou d’utilisation impropre de marchandises dangereuses pouvant mettre en danger des personnes, des biens ou l’environnement. La</w:t>
      </w:r>
      <w:r w:rsidR="0047470F">
        <w:rPr>
          <w:lang w:val="fr-FR"/>
        </w:rPr>
        <w:t> </w:t>
      </w:r>
      <w:r>
        <w:rPr>
          <w:lang w:val="fr-FR"/>
        </w:rPr>
        <w:t>disposition relative aux plans de sûreté précise, entre autres, ce qui suit</w:t>
      </w:r>
      <w:r w:rsidR="00E25CB6">
        <w:rPr>
          <w:lang w:val="fr-FR"/>
        </w:rPr>
        <w:t> </w:t>
      </w:r>
      <w:r>
        <w:rPr>
          <w:lang w:val="fr-FR"/>
        </w:rPr>
        <w:t>:</w:t>
      </w:r>
    </w:p>
    <w:p w:rsidR="009129E2" w:rsidRPr="00E329CC" w:rsidRDefault="00E87E80" w:rsidP="009129E2">
      <w:pPr>
        <w:pStyle w:val="SingleTxtG"/>
        <w:rPr>
          <w:i/>
          <w:lang w:val="fr-FR"/>
        </w:rPr>
      </w:pPr>
      <w:r>
        <w:rPr>
          <w:lang w:val="fr-FR"/>
        </w:rPr>
        <w:t>« </w:t>
      </w:r>
      <w:r w:rsidR="009129E2">
        <w:rPr>
          <w:lang w:val="fr-FR"/>
        </w:rPr>
        <w:t>1.10.3.2</w:t>
      </w:r>
      <w:r>
        <w:rPr>
          <w:lang w:val="fr-FR"/>
        </w:rPr>
        <w:tab/>
      </w:r>
      <w:r w:rsidR="009129E2" w:rsidRPr="00E329CC">
        <w:rPr>
          <w:i/>
          <w:lang w:val="fr-FR"/>
        </w:rPr>
        <w:t>Tout plan de sûreté doit inclure au moins les éléments suivants</w:t>
      </w:r>
      <w:r>
        <w:rPr>
          <w:i/>
          <w:lang w:val="fr-FR"/>
        </w:rPr>
        <w:t> </w:t>
      </w:r>
      <w:r w:rsidR="009129E2" w:rsidRPr="00E329CC">
        <w:rPr>
          <w:i/>
          <w:lang w:val="fr-FR"/>
        </w:rPr>
        <w:t>:</w:t>
      </w:r>
    </w:p>
    <w:p w:rsidR="009129E2" w:rsidRPr="00AA553E" w:rsidRDefault="009129E2" w:rsidP="00E87E80">
      <w:pPr>
        <w:pStyle w:val="SingleTxtG"/>
        <w:ind w:left="1701" w:hanging="567"/>
        <w:rPr>
          <w:lang w:val="fr-FR"/>
        </w:rPr>
      </w:pPr>
      <w:r w:rsidRPr="00E329CC">
        <w:rPr>
          <w:i/>
          <w:lang w:val="fr-FR"/>
        </w:rPr>
        <w:t>c)</w:t>
      </w:r>
      <w:r w:rsidRPr="00E329CC">
        <w:rPr>
          <w:i/>
          <w:lang w:val="fr-FR"/>
        </w:rPr>
        <w:tab/>
        <w:t xml:space="preserve">Évaluation des opérations courantes et des risques pour la sûreté qui en résultent </w:t>
      </w:r>
      <w:r w:rsidRPr="00E329CC">
        <w:rPr>
          <w:i/>
          <w:u w:val="single"/>
          <w:lang w:val="fr-FR"/>
        </w:rPr>
        <w:t>incluant les arrêts nécessités par les conditions de transport</w:t>
      </w:r>
      <w:r w:rsidRPr="00E329CC">
        <w:rPr>
          <w:i/>
          <w:lang w:val="fr-FR"/>
        </w:rPr>
        <w:t>, le séjour des marchandises dangereuses dans les véhicules, citernes et conteneurs nécessités par les conditions de trafic avant, pendant et après le changement de lieu, et le séjour temporaire intermédiaire des marchandises dangereuses aux fins de changement de mode ou de moyen de transport (transbordement), comme approprié</w:t>
      </w:r>
      <w:r w:rsidR="00691B54">
        <w:rPr>
          <w:i/>
          <w:lang w:val="fr-FR"/>
        </w:rPr>
        <w:t> ; </w:t>
      </w:r>
      <w:r w:rsidR="00691B54" w:rsidRPr="00691B54">
        <w:rPr>
          <w:lang w:val="fr-FR"/>
        </w:rPr>
        <w:t>».</w:t>
      </w:r>
    </w:p>
    <w:p w:rsidR="009129E2" w:rsidRDefault="009129E2" w:rsidP="009129E2">
      <w:pPr>
        <w:pStyle w:val="SingleTxtG"/>
        <w:rPr>
          <w:lang w:val="fr-FR"/>
        </w:rPr>
      </w:pPr>
      <w:r>
        <w:rPr>
          <w:lang w:val="fr-FR"/>
        </w:rPr>
        <w:t>13.</w:t>
      </w:r>
      <w:r>
        <w:rPr>
          <w:lang w:val="fr-FR"/>
        </w:rPr>
        <w:tab/>
        <w:t>Compte tenu des discussions qui ont eu lieu et des faits qui se sont dégagés au cours de ces travaux ainsi que du raisonnement susmentionné, la Suède suggère qu’une référence aux plans de sûreté de la sous-section</w:t>
      </w:r>
      <w:r w:rsidR="00691B54">
        <w:rPr>
          <w:lang w:val="fr-FR"/>
        </w:rPr>
        <w:t> </w:t>
      </w:r>
      <w:r>
        <w:rPr>
          <w:lang w:val="fr-FR"/>
        </w:rPr>
        <w:t>1.10.3.2 soit ajoutée dans les parties pertinentes des prescriptions supplémentaires du chapitre</w:t>
      </w:r>
      <w:r w:rsidR="00691B54">
        <w:rPr>
          <w:lang w:val="fr-FR"/>
        </w:rPr>
        <w:t> </w:t>
      </w:r>
      <w:r>
        <w:rPr>
          <w:lang w:val="fr-FR"/>
        </w:rPr>
        <w:t>8.5.</w:t>
      </w:r>
    </w:p>
    <w:p w:rsidR="000C5054" w:rsidRPr="00AA553E" w:rsidRDefault="000C5054" w:rsidP="004F73B3">
      <w:pPr>
        <w:pStyle w:val="HChG"/>
        <w:rPr>
          <w:lang w:val="fr-FR"/>
        </w:rPr>
      </w:pPr>
      <w:r>
        <w:rPr>
          <w:lang w:val="fr-FR"/>
        </w:rPr>
        <w:lastRenderedPageBreak/>
        <w:tab/>
      </w:r>
      <w:r>
        <w:rPr>
          <w:lang w:val="fr-FR"/>
        </w:rPr>
        <w:tab/>
        <w:t>Propositions</w:t>
      </w:r>
    </w:p>
    <w:p w:rsidR="000C5054" w:rsidRPr="00AA553E" w:rsidRDefault="000C5054" w:rsidP="004F73B3">
      <w:pPr>
        <w:pStyle w:val="SingleTxtG"/>
        <w:keepNext/>
        <w:keepLines/>
        <w:rPr>
          <w:lang w:val="fr-FR"/>
        </w:rPr>
      </w:pPr>
      <w:r>
        <w:rPr>
          <w:lang w:val="fr-FR"/>
        </w:rPr>
        <w:t>14.</w:t>
      </w:r>
      <w:r>
        <w:rPr>
          <w:lang w:val="fr-FR"/>
        </w:rPr>
        <w:tab/>
        <w:t>Modifier le texte de la prescription supplémentaire S1(6) du chapitre</w:t>
      </w:r>
      <w:r w:rsidR="0014147F">
        <w:rPr>
          <w:lang w:val="fr-FR"/>
        </w:rPr>
        <w:t> </w:t>
      </w:r>
      <w:r>
        <w:rPr>
          <w:lang w:val="fr-FR"/>
        </w:rPr>
        <w:t>8.5 comme suit (les parties modifiées sont soulignées)</w:t>
      </w:r>
      <w:r w:rsidR="0014147F">
        <w:rPr>
          <w:lang w:val="fr-FR"/>
        </w:rPr>
        <w:t> </w:t>
      </w:r>
      <w:r>
        <w:rPr>
          <w:lang w:val="fr-FR"/>
        </w:rPr>
        <w:t>:</w:t>
      </w:r>
    </w:p>
    <w:p w:rsidR="000C5054" w:rsidRPr="00AA553E" w:rsidRDefault="0014147F" w:rsidP="004F73B3">
      <w:pPr>
        <w:pStyle w:val="SingleTxtG"/>
        <w:keepNext/>
        <w:keepLines/>
        <w:ind w:left="1701" w:hanging="567"/>
        <w:rPr>
          <w:i/>
          <w:lang w:val="fr-FR"/>
        </w:rPr>
      </w:pPr>
      <w:r>
        <w:rPr>
          <w:lang w:val="fr-FR"/>
        </w:rPr>
        <w:t>« </w:t>
      </w:r>
      <w:r w:rsidR="000C5054" w:rsidRPr="0014147F">
        <w:rPr>
          <w:b/>
          <w:lang w:val="fr-FR"/>
        </w:rPr>
        <w:t>S1(6)</w:t>
      </w:r>
      <w:r w:rsidRPr="0014147F">
        <w:rPr>
          <w:b/>
          <w:lang w:val="fr-FR"/>
        </w:rPr>
        <w:tab/>
      </w:r>
      <w:r w:rsidR="000C5054" w:rsidRPr="0014147F">
        <w:rPr>
          <w:b/>
          <w:i/>
          <w:iCs/>
          <w:lang w:val="fr-FR"/>
        </w:rPr>
        <w:t>Surveillance des véhicules</w:t>
      </w:r>
    </w:p>
    <w:p w:rsidR="000C5054" w:rsidRPr="00AA553E" w:rsidRDefault="000C5054" w:rsidP="004F73B3">
      <w:pPr>
        <w:pStyle w:val="SingleTxtG"/>
        <w:keepNext/>
        <w:keepLines/>
        <w:ind w:left="2268"/>
        <w:rPr>
          <w:lang w:val="fr-FR"/>
        </w:rPr>
      </w:pPr>
      <w:r>
        <w:rPr>
          <w:lang w:val="fr-FR"/>
        </w:rPr>
        <w:t>Les prescriptions du chapitre</w:t>
      </w:r>
      <w:r w:rsidR="0014147F">
        <w:rPr>
          <w:lang w:val="fr-FR"/>
        </w:rPr>
        <w:t> </w:t>
      </w:r>
      <w:r>
        <w:rPr>
          <w:lang w:val="fr-FR"/>
        </w:rPr>
        <w:t>8.4 ne sont applicables que lorsque la masse totale nette de matière explosible des matières et objets de la classe</w:t>
      </w:r>
      <w:r w:rsidR="0014147F">
        <w:rPr>
          <w:lang w:val="fr-FR"/>
        </w:rPr>
        <w:t> </w:t>
      </w:r>
      <w:r>
        <w:rPr>
          <w:lang w:val="fr-FR"/>
        </w:rPr>
        <w:t>1 transportés dans un véhicule est supérieure aux limites indiquées ci-après</w:t>
      </w:r>
      <w:r w:rsidR="0014147F">
        <w:rPr>
          <w:lang w:val="fr-FR"/>
        </w:rPr>
        <w:t> </w:t>
      </w:r>
      <w:r>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6901"/>
        <w:gridCol w:w="469"/>
      </w:tblGrid>
      <w:tr w:rsidR="0014147F" w:rsidRPr="00FB0A6C" w:rsidTr="0014147F">
        <w:trPr>
          <w:cantSplit/>
        </w:trPr>
        <w:tc>
          <w:tcPr>
            <w:tcW w:w="6901" w:type="dxa"/>
            <w:shd w:val="clear" w:color="auto" w:fill="auto"/>
          </w:tcPr>
          <w:p w:rsidR="0014147F" w:rsidRPr="00FB0A6C" w:rsidRDefault="0014147F" w:rsidP="0014147F">
            <w:pPr>
              <w:suppressAutoHyphens w:val="0"/>
              <w:spacing w:before="40" w:after="40" w:line="220" w:lineRule="exact"/>
              <w:ind w:left="1139"/>
              <w:rPr>
                <w:lang w:val="fr-FR"/>
              </w:rPr>
            </w:pPr>
            <w:r w:rsidRPr="00FB0A6C">
              <w:rPr>
                <w:lang w:val="fr-FR"/>
              </w:rPr>
              <w:t>Division1.1 :</w:t>
            </w:r>
          </w:p>
        </w:tc>
        <w:tc>
          <w:tcPr>
            <w:tcW w:w="469" w:type="dxa"/>
            <w:shd w:val="clear" w:color="auto" w:fill="auto"/>
            <w:vAlign w:val="bottom"/>
          </w:tcPr>
          <w:p w:rsidR="0014147F" w:rsidRPr="00FB0A6C" w:rsidRDefault="0014147F" w:rsidP="0014147F">
            <w:pPr>
              <w:suppressAutoHyphens w:val="0"/>
              <w:spacing w:before="40" w:after="40" w:line="220" w:lineRule="exact"/>
              <w:jc w:val="right"/>
              <w:rPr>
                <w:lang w:val="fr-FR"/>
              </w:rPr>
            </w:pPr>
            <w:r w:rsidRPr="00FB0A6C">
              <w:rPr>
                <w:lang w:val="fr-FR"/>
              </w:rPr>
              <w:t>0 kg</w:t>
            </w:r>
          </w:p>
        </w:tc>
      </w:tr>
      <w:tr w:rsidR="0014147F" w:rsidRPr="00FB0A6C" w:rsidTr="0014147F">
        <w:trPr>
          <w:cantSplit/>
        </w:trPr>
        <w:tc>
          <w:tcPr>
            <w:tcW w:w="6901" w:type="dxa"/>
            <w:shd w:val="clear" w:color="auto" w:fill="auto"/>
          </w:tcPr>
          <w:p w:rsidR="0014147F" w:rsidRPr="00FB0A6C" w:rsidRDefault="0014147F" w:rsidP="0014147F">
            <w:pPr>
              <w:suppressAutoHyphens w:val="0"/>
              <w:spacing w:before="40" w:after="40" w:line="220" w:lineRule="exact"/>
              <w:ind w:left="1139"/>
              <w:rPr>
                <w:lang w:val="fr-FR"/>
              </w:rPr>
            </w:pPr>
            <w:r w:rsidRPr="00FB0A6C">
              <w:rPr>
                <w:lang w:val="fr-FR"/>
              </w:rPr>
              <w:t>Division 1.2 :</w:t>
            </w:r>
          </w:p>
        </w:tc>
        <w:tc>
          <w:tcPr>
            <w:tcW w:w="469" w:type="dxa"/>
            <w:shd w:val="clear" w:color="auto" w:fill="auto"/>
            <w:vAlign w:val="bottom"/>
          </w:tcPr>
          <w:p w:rsidR="0014147F" w:rsidRPr="00FB0A6C" w:rsidRDefault="00FB0A6C" w:rsidP="0014147F">
            <w:pPr>
              <w:suppressAutoHyphens w:val="0"/>
              <w:spacing w:before="40" w:after="40" w:line="220" w:lineRule="exact"/>
              <w:jc w:val="right"/>
              <w:rPr>
                <w:lang w:val="fr-FR"/>
              </w:rPr>
            </w:pPr>
            <w:r w:rsidRPr="00FB0A6C">
              <w:rPr>
                <w:lang w:val="fr-FR"/>
              </w:rPr>
              <w:t>0 kg</w:t>
            </w:r>
          </w:p>
        </w:tc>
      </w:tr>
      <w:tr w:rsidR="0014147F" w:rsidRPr="00FB0A6C" w:rsidTr="0014147F">
        <w:trPr>
          <w:cantSplit/>
        </w:trPr>
        <w:tc>
          <w:tcPr>
            <w:tcW w:w="6901" w:type="dxa"/>
            <w:shd w:val="clear" w:color="auto" w:fill="auto"/>
          </w:tcPr>
          <w:p w:rsidR="000C5054" w:rsidRPr="00FB0A6C" w:rsidRDefault="000C5054" w:rsidP="0014147F">
            <w:pPr>
              <w:suppressAutoHyphens w:val="0"/>
              <w:spacing w:before="40" w:after="40" w:line="220" w:lineRule="exact"/>
              <w:ind w:left="1139"/>
              <w:rPr>
                <w:lang w:val="fr-FR"/>
              </w:rPr>
            </w:pPr>
            <w:r w:rsidRPr="00FB0A6C">
              <w:rPr>
                <w:lang w:val="fr-FR"/>
              </w:rPr>
              <w:t xml:space="preserve">Division 1.3, matières et objets explosibles du groupe </w:t>
            </w:r>
            <w:r w:rsidR="00985A02">
              <w:rPr>
                <w:lang w:val="fr-FR"/>
              </w:rPr>
              <w:br/>
            </w:r>
            <w:r w:rsidRPr="00FB0A6C">
              <w:rPr>
                <w:lang w:val="fr-FR"/>
              </w:rPr>
              <w:t>de compatibilité C</w:t>
            </w:r>
            <w:r w:rsidR="0014147F" w:rsidRPr="00FB0A6C">
              <w:rPr>
                <w:lang w:val="fr-FR"/>
              </w:rPr>
              <w:t> </w:t>
            </w:r>
            <w:r w:rsidRPr="00FB0A6C">
              <w:rPr>
                <w:lang w:val="fr-FR"/>
              </w:rPr>
              <w:t>:</w:t>
            </w:r>
          </w:p>
        </w:tc>
        <w:tc>
          <w:tcPr>
            <w:tcW w:w="469" w:type="dxa"/>
            <w:shd w:val="clear" w:color="auto" w:fill="auto"/>
            <w:vAlign w:val="bottom"/>
          </w:tcPr>
          <w:p w:rsidR="000C5054" w:rsidRPr="00FB0A6C" w:rsidRDefault="000C5054" w:rsidP="0014147F">
            <w:pPr>
              <w:suppressAutoHyphens w:val="0"/>
              <w:spacing w:before="40" w:after="40" w:line="220" w:lineRule="exact"/>
              <w:jc w:val="right"/>
            </w:pPr>
            <w:r w:rsidRPr="00FB0A6C">
              <w:rPr>
                <w:lang w:val="fr-FR"/>
              </w:rPr>
              <w:t>0 kg</w:t>
            </w:r>
          </w:p>
        </w:tc>
      </w:tr>
      <w:tr w:rsidR="0014147F" w:rsidRPr="00FB0A6C" w:rsidTr="0014147F">
        <w:trPr>
          <w:cantSplit/>
        </w:trPr>
        <w:tc>
          <w:tcPr>
            <w:tcW w:w="6901" w:type="dxa"/>
            <w:shd w:val="clear" w:color="auto" w:fill="auto"/>
          </w:tcPr>
          <w:p w:rsidR="000C5054" w:rsidRPr="00FB0A6C" w:rsidRDefault="000C5054" w:rsidP="0014147F">
            <w:pPr>
              <w:suppressAutoHyphens w:val="0"/>
              <w:spacing w:before="40" w:after="40" w:line="220" w:lineRule="exact"/>
              <w:ind w:left="1139"/>
              <w:rPr>
                <w:lang w:val="fr-FR"/>
              </w:rPr>
            </w:pPr>
            <w:r w:rsidRPr="00FB0A6C">
              <w:rPr>
                <w:lang w:val="fr-FR"/>
              </w:rPr>
              <w:t xml:space="preserve">Division 1.3, matières et objets explosibles n’appartenant pas </w:t>
            </w:r>
            <w:r w:rsidR="00985A02">
              <w:rPr>
                <w:lang w:val="fr-FR"/>
              </w:rPr>
              <w:br/>
            </w:r>
            <w:r w:rsidRPr="00FB0A6C">
              <w:rPr>
                <w:lang w:val="fr-FR"/>
              </w:rPr>
              <w:t>au groupe de compatibilité C</w:t>
            </w:r>
            <w:r w:rsidR="0014147F" w:rsidRPr="00FB0A6C">
              <w:rPr>
                <w:lang w:val="fr-FR"/>
              </w:rPr>
              <w:t> </w:t>
            </w:r>
            <w:r w:rsidRPr="00FB0A6C">
              <w:rPr>
                <w:lang w:val="fr-FR"/>
              </w:rPr>
              <w:t>:</w:t>
            </w:r>
          </w:p>
        </w:tc>
        <w:tc>
          <w:tcPr>
            <w:tcW w:w="469" w:type="dxa"/>
            <w:shd w:val="clear" w:color="auto" w:fill="auto"/>
            <w:vAlign w:val="bottom"/>
          </w:tcPr>
          <w:p w:rsidR="000C5054" w:rsidRPr="00FB0A6C" w:rsidRDefault="000C5054" w:rsidP="0014147F">
            <w:pPr>
              <w:suppressAutoHyphens w:val="0"/>
              <w:spacing w:before="40" w:after="40" w:line="220" w:lineRule="exact"/>
              <w:jc w:val="right"/>
            </w:pPr>
            <w:r w:rsidRPr="00FB0A6C">
              <w:rPr>
                <w:lang w:val="fr-FR"/>
              </w:rPr>
              <w:t>50 kg</w:t>
            </w:r>
          </w:p>
        </w:tc>
      </w:tr>
      <w:tr w:rsidR="0014147F" w:rsidRPr="00FB0A6C" w:rsidTr="0014147F">
        <w:trPr>
          <w:cantSplit/>
        </w:trPr>
        <w:tc>
          <w:tcPr>
            <w:tcW w:w="6901" w:type="dxa"/>
            <w:shd w:val="clear" w:color="auto" w:fill="auto"/>
          </w:tcPr>
          <w:p w:rsidR="000C5054" w:rsidRPr="00FB0A6C" w:rsidRDefault="000C5054" w:rsidP="0014147F">
            <w:pPr>
              <w:suppressAutoHyphens w:val="0"/>
              <w:spacing w:before="40" w:after="40" w:line="220" w:lineRule="exact"/>
              <w:ind w:left="1139"/>
              <w:rPr>
                <w:lang w:val="fr-FR"/>
              </w:rPr>
            </w:pPr>
            <w:r w:rsidRPr="00FB0A6C">
              <w:rPr>
                <w:lang w:val="fr-FR"/>
              </w:rPr>
              <w:t xml:space="preserve">Division 1.4, matières et objets autres que ceux qui sont énumérés </w:t>
            </w:r>
            <w:r w:rsidR="00985A02">
              <w:rPr>
                <w:lang w:val="fr-FR"/>
              </w:rPr>
              <w:br/>
            </w:r>
            <w:r w:rsidRPr="00FB0A6C">
              <w:rPr>
                <w:lang w:val="fr-FR"/>
              </w:rPr>
              <w:t>ci-dessous</w:t>
            </w:r>
            <w:r w:rsidR="0014147F" w:rsidRPr="00FB0A6C">
              <w:rPr>
                <w:lang w:val="fr-FR"/>
              </w:rPr>
              <w:t> </w:t>
            </w:r>
            <w:r w:rsidRPr="00FB0A6C">
              <w:rPr>
                <w:lang w:val="fr-FR"/>
              </w:rPr>
              <w:t>:</w:t>
            </w:r>
          </w:p>
        </w:tc>
        <w:tc>
          <w:tcPr>
            <w:tcW w:w="469" w:type="dxa"/>
            <w:shd w:val="clear" w:color="auto" w:fill="auto"/>
            <w:vAlign w:val="bottom"/>
          </w:tcPr>
          <w:p w:rsidR="000C5054" w:rsidRPr="00FB0A6C" w:rsidRDefault="000C5054" w:rsidP="0014147F">
            <w:pPr>
              <w:suppressAutoHyphens w:val="0"/>
              <w:spacing w:before="40" w:after="40" w:line="220" w:lineRule="exact"/>
              <w:jc w:val="right"/>
            </w:pPr>
            <w:r w:rsidRPr="00FB0A6C">
              <w:rPr>
                <w:lang w:val="fr-FR"/>
              </w:rPr>
              <w:t>50 kg</w:t>
            </w:r>
          </w:p>
        </w:tc>
      </w:tr>
      <w:tr w:rsidR="0014147F" w:rsidRPr="00FB0A6C" w:rsidTr="0014147F">
        <w:trPr>
          <w:cantSplit/>
        </w:trPr>
        <w:tc>
          <w:tcPr>
            <w:tcW w:w="6901" w:type="dxa"/>
            <w:shd w:val="clear" w:color="auto" w:fill="auto"/>
          </w:tcPr>
          <w:p w:rsidR="000C5054" w:rsidRPr="00FB0A6C" w:rsidRDefault="000C5054" w:rsidP="0014147F">
            <w:pPr>
              <w:suppressAutoHyphens w:val="0"/>
              <w:spacing w:before="40" w:after="40" w:line="220" w:lineRule="exact"/>
              <w:ind w:left="1139"/>
              <w:rPr>
                <w:lang w:val="fr-FR"/>
              </w:rPr>
            </w:pPr>
            <w:r w:rsidRPr="00FB0A6C">
              <w:rPr>
                <w:lang w:val="fr-FR"/>
              </w:rPr>
              <w:t>Division 1.5</w:t>
            </w:r>
            <w:r w:rsidR="0014147F" w:rsidRPr="00FB0A6C">
              <w:rPr>
                <w:lang w:val="fr-FR"/>
              </w:rPr>
              <w:t> </w:t>
            </w:r>
            <w:r w:rsidRPr="00FB0A6C">
              <w:rPr>
                <w:lang w:val="fr-FR"/>
              </w:rPr>
              <w:t>:</w:t>
            </w:r>
          </w:p>
        </w:tc>
        <w:tc>
          <w:tcPr>
            <w:tcW w:w="469" w:type="dxa"/>
            <w:shd w:val="clear" w:color="auto" w:fill="auto"/>
            <w:vAlign w:val="bottom"/>
          </w:tcPr>
          <w:p w:rsidR="000C5054" w:rsidRPr="00FB0A6C" w:rsidRDefault="000C5054" w:rsidP="0014147F">
            <w:pPr>
              <w:suppressAutoHyphens w:val="0"/>
              <w:spacing w:before="40" w:after="40" w:line="220" w:lineRule="exact"/>
              <w:jc w:val="right"/>
            </w:pPr>
            <w:r w:rsidRPr="00FB0A6C">
              <w:rPr>
                <w:lang w:val="fr-FR"/>
              </w:rPr>
              <w:t>0 kg</w:t>
            </w:r>
          </w:p>
        </w:tc>
      </w:tr>
      <w:tr w:rsidR="0014147F" w:rsidRPr="00FB0A6C" w:rsidTr="0014147F">
        <w:trPr>
          <w:cantSplit/>
        </w:trPr>
        <w:tc>
          <w:tcPr>
            <w:tcW w:w="6901" w:type="dxa"/>
            <w:shd w:val="clear" w:color="auto" w:fill="auto"/>
          </w:tcPr>
          <w:p w:rsidR="000C5054" w:rsidRPr="00FB0A6C" w:rsidRDefault="000C5054" w:rsidP="0014147F">
            <w:pPr>
              <w:suppressAutoHyphens w:val="0"/>
              <w:spacing w:before="40" w:after="40" w:line="220" w:lineRule="exact"/>
              <w:ind w:left="1139"/>
              <w:rPr>
                <w:lang w:val="fr-FR"/>
              </w:rPr>
            </w:pPr>
            <w:r w:rsidRPr="00FB0A6C">
              <w:rPr>
                <w:lang w:val="fr-FR"/>
              </w:rPr>
              <w:t>Division 1.6</w:t>
            </w:r>
            <w:r w:rsidR="0014147F" w:rsidRPr="00FB0A6C">
              <w:rPr>
                <w:lang w:val="fr-FR"/>
              </w:rPr>
              <w:t> </w:t>
            </w:r>
            <w:r w:rsidRPr="00FB0A6C">
              <w:rPr>
                <w:lang w:val="fr-FR"/>
              </w:rPr>
              <w:t>:</w:t>
            </w:r>
          </w:p>
        </w:tc>
        <w:tc>
          <w:tcPr>
            <w:tcW w:w="469" w:type="dxa"/>
            <w:shd w:val="clear" w:color="auto" w:fill="auto"/>
            <w:vAlign w:val="bottom"/>
          </w:tcPr>
          <w:p w:rsidR="000C5054" w:rsidRPr="00FB0A6C" w:rsidRDefault="000C5054" w:rsidP="0014147F">
            <w:pPr>
              <w:suppressAutoHyphens w:val="0"/>
              <w:spacing w:before="40" w:after="40" w:line="220" w:lineRule="exact"/>
              <w:jc w:val="right"/>
            </w:pPr>
            <w:r w:rsidRPr="00FB0A6C">
              <w:rPr>
                <w:lang w:val="fr-FR"/>
              </w:rPr>
              <w:t>50 kg</w:t>
            </w:r>
          </w:p>
        </w:tc>
      </w:tr>
      <w:tr w:rsidR="0014147F" w:rsidRPr="00FB0A6C" w:rsidTr="0014147F">
        <w:trPr>
          <w:cantSplit/>
        </w:trPr>
        <w:tc>
          <w:tcPr>
            <w:tcW w:w="6901" w:type="dxa"/>
            <w:shd w:val="clear" w:color="auto" w:fill="auto"/>
          </w:tcPr>
          <w:p w:rsidR="000C5054" w:rsidRPr="00FB0A6C" w:rsidRDefault="000C5054" w:rsidP="0014147F">
            <w:pPr>
              <w:suppressAutoHyphens w:val="0"/>
              <w:spacing w:before="40" w:after="40" w:line="220" w:lineRule="exact"/>
              <w:ind w:left="1139"/>
              <w:rPr>
                <w:lang w:val="fr-FR"/>
              </w:rPr>
            </w:pPr>
            <w:r w:rsidRPr="00FB0A6C">
              <w:rPr>
                <w:lang w:val="fr-FR"/>
              </w:rPr>
              <w:t xml:space="preserve">Matières et objets de la Division 1.4 affectés aux numéros </w:t>
            </w:r>
            <w:r w:rsidR="004F73B3">
              <w:rPr>
                <w:lang w:val="fr-FR"/>
              </w:rPr>
              <w:br/>
            </w:r>
            <w:r w:rsidRPr="00FB0A6C">
              <w:rPr>
                <w:lang w:val="fr-FR"/>
              </w:rPr>
              <w:t xml:space="preserve">ONU 0104, 0237, 0255, 0267, 0289, 0361, 0365, 0366, </w:t>
            </w:r>
            <w:r w:rsidR="004F73B3">
              <w:rPr>
                <w:lang w:val="fr-FR"/>
              </w:rPr>
              <w:br/>
            </w:r>
            <w:r w:rsidRPr="00FB0A6C">
              <w:rPr>
                <w:lang w:val="fr-FR"/>
              </w:rPr>
              <w:t>0440, 0441, 0455, 0456 et</w:t>
            </w:r>
            <w:r w:rsidR="004F73B3">
              <w:rPr>
                <w:lang w:val="fr-FR"/>
              </w:rPr>
              <w:t xml:space="preserve"> </w:t>
            </w:r>
            <w:r w:rsidRPr="00FB0A6C">
              <w:rPr>
                <w:lang w:val="fr-FR"/>
              </w:rPr>
              <w:t>0500</w:t>
            </w:r>
            <w:r w:rsidR="0014147F" w:rsidRPr="00FB0A6C">
              <w:rPr>
                <w:lang w:val="fr-FR"/>
              </w:rPr>
              <w:t> </w:t>
            </w:r>
            <w:r w:rsidRPr="00FB0A6C">
              <w:rPr>
                <w:lang w:val="fr-FR"/>
              </w:rPr>
              <w:t>:</w:t>
            </w:r>
          </w:p>
        </w:tc>
        <w:tc>
          <w:tcPr>
            <w:tcW w:w="469" w:type="dxa"/>
            <w:shd w:val="clear" w:color="auto" w:fill="auto"/>
            <w:vAlign w:val="bottom"/>
          </w:tcPr>
          <w:p w:rsidR="000C5054" w:rsidRPr="00FB0A6C" w:rsidRDefault="000C5054" w:rsidP="0014147F">
            <w:pPr>
              <w:suppressAutoHyphens w:val="0"/>
              <w:spacing w:before="40" w:after="40" w:line="220" w:lineRule="exact"/>
              <w:jc w:val="right"/>
            </w:pPr>
            <w:r w:rsidRPr="00FB0A6C">
              <w:rPr>
                <w:lang w:val="fr-FR"/>
              </w:rPr>
              <w:t>0 kg</w:t>
            </w:r>
          </w:p>
        </w:tc>
      </w:tr>
    </w:tbl>
    <w:p w:rsidR="000C5054" w:rsidRPr="00AA553E" w:rsidRDefault="000C5054" w:rsidP="003B63D7">
      <w:pPr>
        <w:pStyle w:val="SingleTxtG"/>
        <w:spacing w:before="120"/>
        <w:ind w:left="2268"/>
        <w:rPr>
          <w:lang w:val="fr-FR"/>
        </w:rPr>
      </w:pPr>
      <w:r>
        <w:rPr>
          <w:lang w:val="fr-FR"/>
        </w:rPr>
        <w:tab/>
        <w:t>Pour les chargements en commun, la limite la plus basse applicable à l’une quelconque des matières ou à l’un quelconque des objets transportés sera utilisée pour l’ensemble du chargement.</w:t>
      </w:r>
    </w:p>
    <w:p w:rsidR="0014147F" w:rsidRDefault="000C5054" w:rsidP="0014147F">
      <w:pPr>
        <w:pStyle w:val="SingleTxtG"/>
        <w:ind w:left="2268"/>
        <w:rPr>
          <w:lang w:val="fr-FR"/>
        </w:rPr>
      </w:pPr>
      <w:r>
        <w:rPr>
          <w:lang w:val="fr-FR"/>
        </w:rPr>
        <w:tab/>
        <w:t>En outre, ces matières et objets</w:t>
      </w:r>
      <w:r>
        <w:rPr>
          <w:u w:val="single"/>
          <w:lang w:val="fr-FR"/>
        </w:rPr>
        <w:t>, lorsqu’ils sont soumis aux dispositions du 1.10.3,</w:t>
      </w:r>
      <w:r>
        <w:rPr>
          <w:lang w:val="fr-FR"/>
        </w:rPr>
        <w:t xml:space="preserve"> doivent faire 1’objet d’une surveillance constante</w:t>
      </w:r>
      <w:r>
        <w:rPr>
          <w:u w:val="single"/>
          <w:lang w:val="fr-FR"/>
        </w:rPr>
        <w:t xml:space="preserve">, conformément au plan de sûreté visé au 1.10.3.2, </w:t>
      </w:r>
      <w:r>
        <w:rPr>
          <w:lang w:val="fr-FR"/>
        </w:rPr>
        <w:t>destinée à prévenir tout acte de malveillance et à alerter le conducteur et les autorités compétentes en cas de perte ou d’incendie.</w:t>
      </w:r>
    </w:p>
    <w:p w:rsidR="000C5054" w:rsidRPr="008E4A96" w:rsidRDefault="000C5054" w:rsidP="0014147F">
      <w:pPr>
        <w:pStyle w:val="SingleTxtG"/>
        <w:ind w:left="2268"/>
        <w:rPr>
          <w:lang w:val="fr-FR"/>
        </w:rPr>
      </w:pPr>
      <w:r w:rsidRPr="008E4A96">
        <w:rPr>
          <w:lang w:val="fr-FR"/>
        </w:rPr>
        <w:tab/>
      </w:r>
      <w:r w:rsidRPr="008E4A96">
        <w:rPr>
          <w:iCs/>
          <w:lang w:val="fr-FR"/>
        </w:rPr>
        <w:t>Les emballages vides non nettoyés en sont exemptés.</w:t>
      </w:r>
      <w:r w:rsidR="0014147F" w:rsidRPr="008E4A96">
        <w:rPr>
          <w:iCs/>
          <w:lang w:val="fr-FR"/>
        </w:rPr>
        <w:t> ».</w:t>
      </w:r>
    </w:p>
    <w:p w:rsidR="000C5054" w:rsidRPr="00AA553E" w:rsidRDefault="000C5054" w:rsidP="0014147F">
      <w:pPr>
        <w:pStyle w:val="SingleTxtG"/>
        <w:rPr>
          <w:lang w:val="fr-FR"/>
        </w:rPr>
      </w:pPr>
      <w:r>
        <w:rPr>
          <w:lang w:val="fr-FR"/>
        </w:rPr>
        <w:t>15.</w:t>
      </w:r>
      <w:r>
        <w:rPr>
          <w:lang w:val="fr-FR"/>
        </w:rPr>
        <w:tab/>
        <w:t>Modifier le texte de la prescription supplémentaire S16 du chapitre</w:t>
      </w:r>
      <w:r w:rsidR="0014147F">
        <w:rPr>
          <w:lang w:val="fr-FR"/>
        </w:rPr>
        <w:t> </w:t>
      </w:r>
      <w:r>
        <w:rPr>
          <w:lang w:val="fr-FR"/>
        </w:rPr>
        <w:t>8.5 comme suit (les parties modifiées sont biffées ou soulignées)</w:t>
      </w:r>
      <w:r w:rsidR="0014147F">
        <w:rPr>
          <w:lang w:val="fr-FR"/>
        </w:rPr>
        <w:t> </w:t>
      </w:r>
      <w:r>
        <w:rPr>
          <w:lang w:val="fr-FR"/>
        </w:rPr>
        <w:t>:</w:t>
      </w:r>
    </w:p>
    <w:p w:rsidR="000C5054" w:rsidRPr="00AA553E" w:rsidRDefault="0014147F" w:rsidP="00880CCC">
      <w:pPr>
        <w:pStyle w:val="SingleTxtG"/>
        <w:ind w:left="1985" w:hanging="851"/>
        <w:rPr>
          <w:lang w:val="fr-FR"/>
        </w:rPr>
      </w:pPr>
      <w:r>
        <w:rPr>
          <w:lang w:val="fr-FR"/>
        </w:rPr>
        <w:t>« </w:t>
      </w:r>
      <w:r w:rsidR="000C5054" w:rsidRPr="00880CCC">
        <w:rPr>
          <w:b/>
          <w:lang w:val="fr-FR"/>
        </w:rPr>
        <w:t>S16</w:t>
      </w:r>
      <w:r>
        <w:rPr>
          <w:lang w:val="fr-FR"/>
        </w:rPr>
        <w:t> </w:t>
      </w:r>
      <w:r w:rsidR="000C5054">
        <w:rPr>
          <w:lang w:val="fr-FR"/>
        </w:rPr>
        <w:t>:</w:t>
      </w:r>
      <w:r w:rsidR="000C5054">
        <w:rPr>
          <w:lang w:val="fr-FR"/>
        </w:rPr>
        <w:tab/>
        <w:t>Les dispositions du chapitre</w:t>
      </w:r>
      <w:r>
        <w:rPr>
          <w:lang w:val="fr-FR"/>
        </w:rPr>
        <w:t> </w:t>
      </w:r>
      <w:r w:rsidR="000C5054">
        <w:rPr>
          <w:lang w:val="fr-FR"/>
        </w:rPr>
        <w:t>8.4 relatives à la surveillance des véhicules s’appliquent lorsque la masse totale de cette marchandise dans le véhicule dépasse 500</w:t>
      </w:r>
      <w:r>
        <w:rPr>
          <w:lang w:val="fr-FR"/>
        </w:rPr>
        <w:t> </w:t>
      </w:r>
      <w:r w:rsidR="000C5054">
        <w:rPr>
          <w:lang w:val="fr-FR"/>
        </w:rPr>
        <w:t>kg.</w:t>
      </w:r>
    </w:p>
    <w:p w:rsidR="000C5054" w:rsidRPr="00AA553E" w:rsidRDefault="000C5054" w:rsidP="00880CCC">
      <w:pPr>
        <w:pStyle w:val="SingleTxtG"/>
        <w:ind w:left="1985"/>
        <w:rPr>
          <w:lang w:val="fr-FR"/>
        </w:rPr>
      </w:pPr>
      <w:r>
        <w:rPr>
          <w:lang w:val="fr-FR"/>
        </w:rPr>
        <w:t>En outre, les véhicules transportant plus de [500]</w:t>
      </w:r>
      <w:r w:rsidR="00880CCC">
        <w:rPr>
          <w:lang w:val="fr-FR"/>
        </w:rPr>
        <w:t> </w:t>
      </w:r>
      <w:r>
        <w:rPr>
          <w:lang w:val="fr-FR"/>
        </w:rPr>
        <w:t>kg de cette marchandise</w:t>
      </w:r>
      <w:r>
        <w:rPr>
          <w:u w:val="single"/>
          <w:lang w:val="fr-FR"/>
        </w:rPr>
        <w:t>, lorsqu’ils sont soumis aux dispositions du 1.10.3,</w:t>
      </w:r>
      <w:r>
        <w:rPr>
          <w:lang w:val="fr-FR"/>
        </w:rPr>
        <w:t xml:space="preserve"> </w:t>
      </w:r>
      <w:r>
        <w:rPr>
          <w:strike/>
          <w:lang w:val="fr-FR"/>
        </w:rPr>
        <w:t xml:space="preserve">feront toujours </w:t>
      </w:r>
      <w:r>
        <w:rPr>
          <w:u w:val="single"/>
          <w:lang w:val="fr-FR"/>
        </w:rPr>
        <w:t xml:space="preserve">doivent faire </w:t>
      </w:r>
      <w:r>
        <w:rPr>
          <w:lang w:val="fr-FR"/>
        </w:rPr>
        <w:t>1’objet d’une surveillance</w:t>
      </w:r>
      <w:r>
        <w:rPr>
          <w:u w:val="single"/>
          <w:lang w:val="fr-FR"/>
        </w:rPr>
        <w:t xml:space="preserve"> constante, conformément au plan de sûreté visé au 1.10.3.2,</w:t>
      </w:r>
      <w:r>
        <w:rPr>
          <w:lang w:val="fr-FR"/>
        </w:rPr>
        <w:t xml:space="preserve"> propre à empêcher toute action de malveillance et à alerter le conducteur et les autorités compétentes en cas de perte ou d’incendie.</w:t>
      </w:r>
      <w:r w:rsidR="00880CCC">
        <w:rPr>
          <w:lang w:val="fr-FR"/>
        </w:rPr>
        <w:t> ».</w:t>
      </w:r>
    </w:p>
    <w:p w:rsidR="000C5054" w:rsidRPr="00AA553E" w:rsidRDefault="000C5054" w:rsidP="0014147F">
      <w:pPr>
        <w:pStyle w:val="SingleTxtG"/>
        <w:rPr>
          <w:lang w:val="fr-FR"/>
        </w:rPr>
      </w:pPr>
      <w:r>
        <w:rPr>
          <w:lang w:val="fr-FR"/>
        </w:rPr>
        <w:t>16.</w:t>
      </w:r>
      <w:r>
        <w:rPr>
          <w:lang w:val="fr-FR"/>
        </w:rPr>
        <w:tab/>
        <w:t>Modifier le texte de la prescription supplémentaire S21 du chapitre</w:t>
      </w:r>
      <w:r w:rsidR="00664178">
        <w:rPr>
          <w:lang w:val="fr-FR"/>
        </w:rPr>
        <w:t> </w:t>
      </w:r>
      <w:r>
        <w:rPr>
          <w:lang w:val="fr-FR"/>
        </w:rPr>
        <w:t>8.5 comme suit (les parties modifiées sont biffées ou soulignées)</w:t>
      </w:r>
      <w:r w:rsidR="00664178">
        <w:rPr>
          <w:lang w:val="fr-FR"/>
        </w:rPr>
        <w:t> </w:t>
      </w:r>
      <w:r>
        <w:rPr>
          <w:lang w:val="fr-FR"/>
        </w:rPr>
        <w:t>:</w:t>
      </w:r>
    </w:p>
    <w:p w:rsidR="000C5054" w:rsidRPr="00AA553E" w:rsidRDefault="00664178" w:rsidP="00880CCC">
      <w:pPr>
        <w:pStyle w:val="SingleTxtG"/>
        <w:ind w:left="1985" w:hanging="851"/>
        <w:rPr>
          <w:lang w:val="fr-FR"/>
        </w:rPr>
      </w:pPr>
      <w:r>
        <w:rPr>
          <w:lang w:val="fr-FR"/>
        </w:rPr>
        <w:t>« </w:t>
      </w:r>
      <w:r w:rsidR="000C5054" w:rsidRPr="00664178">
        <w:rPr>
          <w:b/>
          <w:lang w:val="fr-FR"/>
        </w:rPr>
        <w:t>S21</w:t>
      </w:r>
      <w:r>
        <w:rPr>
          <w:lang w:val="fr-FR"/>
        </w:rPr>
        <w:t> </w:t>
      </w:r>
      <w:r w:rsidR="000C5054">
        <w:rPr>
          <w:lang w:val="fr-FR"/>
        </w:rPr>
        <w:t>:</w:t>
      </w:r>
      <w:r w:rsidR="000C5054">
        <w:rPr>
          <w:lang w:val="fr-FR"/>
        </w:rPr>
        <w:tab/>
        <w:t>Les dispositions du chapitre</w:t>
      </w:r>
      <w:r>
        <w:rPr>
          <w:lang w:val="fr-FR"/>
        </w:rPr>
        <w:t> </w:t>
      </w:r>
      <w:r w:rsidR="000C5054">
        <w:rPr>
          <w:lang w:val="fr-FR"/>
        </w:rPr>
        <w:t xml:space="preserve">8.4 relatives à la surveillance des véhicules sont applicables à toutes les matières, quelle que soit la masse. </w:t>
      </w:r>
      <w:r w:rsidR="000C5054">
        <w:rPr>
          <w:strike/>
          <w:lang w:val="fr-FR"/>
        </w:rPr>
        <w:t>En outre, ces marchandises doivent faire toujours 1’objet d’une surveillance propre à empêcher toute action de malveillance et à alerter le conducteur et les autorités compétentes en cas de perte ou d’incendie.</w:t>
      </w:r>
      <w:r w:rsidR="000C5054">
        <w:rPr>
          <w:lang w:val="fr-FR"/>
        </w:rPr>
        <w:t xml:space="preserve"> Toutefois, il n’est pas nécessaire d’appliquer les dispositions du chapitre</w:t>
      </w:r>
      <w:r>
        <w:rPr>
          <w:lang w:val="fr-FR"/>
        </w:rPr>
        <w:t> </w:t>
      </w:r>
      <w:r w:rsidR="000C5054">
        <w:rPr>
          <w:lang w:val="fr-FR"/>
        </w:rPr>
        <w:t>8.4 dans le cas où</w:t>
      </w:r>
      <w:r>
        <w:rPr>
          <w:lang w:val="fr-FR"/>
        </w:rPr>
        <w:t> </w:t>
      </w:r>
      <w:r w:rsidR="000C5054">
        <w:rPr>
          <w:lang w:val="fr-FR"/>
        </w:rPr>
        <w:t>:</w:t>
      </w:r>
    </w:p>
    <w:p w:rsidR="00664178" w:rsidRDefault="000C5054" w:rsidP="00664178">
      <w:pPr>
        <w:pStyle w:val="SingleTxtG"/>
        <w:tabs>
          <w:tab w:val="left" w:pos="567"/>
        </w:tabs>
        <w:ind w:left="1985"/>
        <w:rPr>
          <w:lang w:val="fr-FR"/>
        </w:rPr>
      </w:pPr>
      <w:r>
        <w:rPr>
          <w:lang w:val="fr-FR"/>
        </w:rPr>
        <w:t>a)</w:t>
      </w:r>
      <w:r w:rsidR="00664178">
        <w:rPr>
          <w:lang w:val="fr-FR"/>
        </w:rPr>
        <w:tab/>
      </w:r>
      <w:r>
        <w:rPr>
          <w:lang w:val="fr-FR"/>
        </w:rPr>
        <w:t>Le compartiment chargé est verrouillé ou les colis transportés sont protégés d’une autre manière contre tout déchargement illégal</w:t>
      </w:r>
      <w:r w:rsidR="00664178">
        <w:rPr>
          <w:lang w:val="fr-FR"/>
        </w:rPr>
        <w:t> </w:t>
      </w:r>
      <w:r>
        <w:rPr>
          <w:lang w:val="fr-FR"/>
        </w:rPr>
        <w:t>; et</w:t>
      </w:r>
    </w:p>
    <w:p w:rsidR="000C5054" w:rsidRPr="00AA553E" w:rsidRDefault="000C5054" w:rsidP="00664178">
      <w:pPr>
        <w:pStyle w:val="SingleTxtG"/>
        <w:ind w:left="1985"/>
        <w:rPr>
          <w:lang w:val="fr-FR"/>
        </w:rPr>
      </w:pPr>
      <w:r>
        <w:rPr>
          <w:lang w:val="fr-FR"/>
        </w:rPr>
        <w:lastRenderedPageBreak/>
        <w:t>b)</w:t>
      </w:r>
      <w:r>
        <w:rPr>
          <w:lang w:val="fr-FR"/>
        </w:rPr>
        <w:tab/>
        <w:t>Le débit de dose ne dépasse pas 5</w:t>
      </w:r>
      <w:r w:rsidR="00664178">
        <w:rPr>
          <w:lang w:val="fr-FR"/>
        </w:rPr>
        <w:t> </w:t>
      </w:r>
      <w:r>
        <w:rPr>
          <w:lang w:val="fr-FR"/>
        </w:rPr>
        <w:t>μSv/h en tout point accessible de la surface du véhicule.</w:t>
      </w:r>
    </w:p>
    <w:p w:rsidR="000C5054" w:rsidRPr="00AA553E" w:rsidRDefault="000C5054" w:rsidP="00664178">
      <w:pPr>
        <w:pStyle w:val="SingleTxtG"/>
        <w:ind w:left="1985"/>
        <w:rPr>
          <w:u w:val="single"/>
          <w:lang w:val="fr-FR"/>
        </w:rPr>
      </w:pPr>
      <w:r>
        <w:rPr>
          <w:u w:val="single"/>
          <w:lang w:val="fr-FR"/>
        </w:rPr>
        <w:t>En outre, ces marchandises, lorsqu’elles sont soumises aux dispositions du</w:t>
      </w:r>
      <w:r w:rsidR="00664178">
        <w:rPr>
          <w:u w:val="single"/>
          <w:lang w:val="fr-FR"/>
        </w:rPr>
        <w:t> </w:t>
      </w:r>
      <w:r>
        <w:rPr>
          <w:u w:val="single"/>
          <w:lang w:val="fr-FR"/>
        </w:rPr>
        <w:t xml:space="preserve">1.10.3, doivent faire 1’objet d’une surveillance constante, conformément au plan de sûreté visé au 1.10.3.2, destinée à prévenir tout acte de malveillance et à </w:t>
      </w:r>
      <w:r w:rsidRPr="00664178">
        <w:rPr>
          <w:spacing w:val="-1"/>
          <w:u w:val="single"/>
          <w:lang w:val="fr-FR"/>
        </w:rPr>
        <w:t>alerter le conducteur et les autorités compétentes en cas de perte ou d’incendie.</w:t>
      </w:r>
      <w:r w:rsidR="00664178" w:rsidRPr="00664178">
        <w:rPr>
          <w:spacing w:val="-1"/>
          <w:u w:val="single"/>
          <w:lang w:val="fr-FR"/>
        </w:rPr>
        <w:t> ».</w:t>
      </w:r>
    </w:p>
    <w:p w:rsidR="000C5054" w:rsidRPr="00AA553E" w:rsidRDefault="000C5054" w:rsidP="00664178">
      <w:pPr>
        <w:pStyle w:val="HChG"/>
        <w:rPr>
          <w:lang w:val="fr-FR"/>
        </w:rPr>
      </w:pPr>
      <w:r>
        <w:rPr>
          <w:lang w:val="fr-FR"/>
        </w:rPr>
        <w:tab/>
      </w:r>
      <w:r>
        <w:rPr>
          <w:lang w:val="fr-FR"/>
        </w:rPr>
        <w:tab/>
        <w:t>Justification</w:t>
      </w:r>
    </w:p>
    <w:p w:rsidR="000C5054" w:rsidRPr="00AA553E" w:rsidRDefault="000C5054" w:rsidP="0014147F">
      <w:pPr>
        <w:pStyle w:val="SingleTxtG"/>
        <w:rPr>
          <w:lang w:val="fr-FR"/>
        </w:rPr>
      </w:pPr>
      <w:r>
        <w:rPr>
          <w:lang w:val="fr-FR"/>
        </w:rPr>
        <w:t>17.</w:t>
      </w:r>
      <w:r>
        <w:rPr>
          <w:lang w:val="fr-FR"/>
        </w:rPr>
        <w:tab/>
        <w:t>Le chapitre</w:t>
      </w:r>
      <w:r w:rsidR="00664178">
        <w:rPr>
          <w:lang w:val="fr-FR"/>
        </w:rPr>
        <w:t> </w:t>
      </w:r>
      <w:r>
        <w:rPr>
          <w:lang w:val="fr-FR"/>
        </w:rPr>
        <w:t>1.10 traite des dispositions relatives à la sûreté. Des travaux ont été effectués et sont toujours en cours pour déterminer les substances et objets qui devraient être considérés comme des marchandises dangereuses à haut risque et pour lesquels des mesures spécifiques devraient être prises afin de réduire autant que possible le risque de vol ou d’utilisation impropre. Le fait d’ajouter, au chapitre</w:t>
      </w:r>
      <w:r w:rsidR="00664178">
        <w:rPr>
          <w:lang w:val="fr-FR"/>
        </w:rPr>
        <w:t> </w:t>
      </w:r>
      <w:r>
        <w:rPr>
          <w:lang w:val="fr-FR"/>
        </w:rPr>
        <w:t>8.5, une référence aux plans de sûreté visés au chapitre</w:t>
      </w:r>
      <w:r w:rsidR="00664178">
        <w:rPr>
          <w:lang w:val="fr-FR"/>
        </w:rPr>
        <w:t> </w:t>
      </w:r>
      <w:r>
        <w:rPr>
          <w:lang w:val="fr-FR"/>
        </w:rPr>
        <w:t>1.10 rendrait donc ces dispositions plus cohérentes.</w:t>
      </w:r>
    </w:p>
    <w:p w:rsidR="000C5054" w:rsidRDefault="000C5054" w:rsidP="000C5054">
      <w:pPr>
        <w:pStyle w:val="SingleTxtG"/>
        <w:rPr>
          <w:lang w:val="fr-FR"/>
        </w:rPr>
      </w:pPr>
      <w:r>
        <w:rPr>
          <w:lang w:val="fr-FR"/>
        </w:rPr>
        <w:t>18.</w:t>
      </w:r>
      <w:r>
        <w:rPr>
          <w:lang w:val="fr-FR"/>
        </w:rPr>
        <w:tab/>
        <w:t>En outre, la sous-section</w:t>
      </w:r>
      <w:r w:rsidR="00664178">
        <w:rPr>
          <w:lang w:val="fr-FR"/>
        </w:rPr>
        <w:t> </w:t>
      </w:r>
      <w:r>
        <w:rPr>
          <w:lang w:val="fr-FR"/>
        </w:rPr>
        <w:t>1.10.3.3 exige que des dispositifs, des équipements ou procédures destinés à prévenir le vol des véhicules transportant des marchandises dangereuses à haut risque et de leur chargement soient mis en place, et que des dispositions soient prises pour que cette protection soit opérationnelle et efficace à tout moment.</w:t>
      </w:r>
    </w:p>
    <w:p w:rsidR="000C5054" w:rsidRPr="000C5054" w:rsidRDefault="000C5054" w:rsidP="000C5054">
      <w:pPr>
        <w:pStyle w:val="SingleTxtG"/>
        <w:spacing w:before="240" w:after="0"/>
        <w:jc w:val="center"/>
        <w:rPr>
          <w:u w:val="single"/>
        </w:rPr>
      </w:pPr>
      <w:r>
        <w:rPr>
          <w:u w:val="single"/>
        </w:rPr>
        <w:tab/>
      </w:r>
      <w:r>
        <w:rPr>
          <w:u w:val="single"/>
        </w:rPr>
        <w:tab/>
      </w:r>
      <w:r>
        <w:rPr>
          <w:u w:val="single"/>
        </w:rPr>
        <w:tab/>
      </w:r>
    </w:p>
    <w:sectPr w:rsidR="000C5054" w:rsidRPr="000C5054" w:rsidSect="007D0C7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C5" w:rsidRDefault="008F24C5" w:rsidP="00F95C08">
      <w:pPr>
        <w:spacing w:line="240" w:lineRule="auto"/>
      </w:pPr>
    </w:p>
  </w:endnote>
  <w:endnote w:type="continuationSeparator" w:id="0">
    <w:p w:rsidR="008F24C5" w:rsidRPr="00AC3823" w:rsidRDefault="008F24C5" w:rsidP="00AC3823">
      <w:pPr>
        <w:pStyle w:val="Footer"/>
      </w:pPr>
    </w:p>
  </w:endnote>
  <w:endnote w:type="continuationNotice" w:id="1">
    <w:p w:rsidR="008F24C5" w:rsidRDefault="008F24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F" w:rsidRPr="007D0C7F" w:rsidRDefault="007D0C7F" w:rsidP="007D0C7F">
    <w:pPr>
      <w:pStyle w:val="Footer"/>
      <w:tabs>
        <w:tab w:val="right" w:pos="9638"/>
      </w:tabs>
    </w:pPr>
    <w:r w:rsidRPr="007D0C7F">
      <w:rPr>
        <w:b/>
        <w:sz w:val="18"/>
      </w:rPr>
      <w:fldChar w:fldCharType="begin"/>
    </w:r>
    <w:r w:rsidRPr="007D0C7F">
      <w:rPr>
        <w:b/>
        <w:sz w:val="18"/>
      </w:rPr>
      <w:instrText xml:space="preserve"> PAGE  \* MERGEFORMAT </w:instrText>
    </w:r>
    <w:r w:rsidRPr="007D0C7F">
      <w:rPr>
        <w:b/>
        <w:sz w:val="18"/>
      </w:rPr>
      <w:fldChar w:fldCharType="separate"/>
    </w:r>
    <w:r w:rsidR="00452A3A">
      <w:rPr>
        <w:b/>
        <w:noProof/>
        <w:sz w:val="18"/>
      </w:rPr>
      <w:t>2</w:t>
    </w:r>
    <w:r w:rsidRPr="007D0C7F">
      <w:rPr>
        <w:b/>
        <w:sz w:val="18"/>
      </w:rPr>
      <w:fldChar w:fldCharType="end"/>
    </w:r>
    <w:r>
      <w:rPr>
        <w:b/>
        <w:sz w:val="18"/>
      </w:rPr>
      <w:tab/>
    </w:r>
    <w:r>
      <w:t>GE.19-02581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F" w:rsidRPr="007D0C7F" w:rsidRDefault="007D0C7F" w:rsidP="007D0C7F">
    <w:pPr>
      <w:pStyle w:val="Footer"/>
      <w:tabs>
        <w:tab w:val="right" w:pos="9638"/>
      </w:tabs>
      <w:rPr>
        <w:b/>
        <w:sz w:val="18"/>
      </w:rPr>
    </w:pPr>
    <w:r>
      <w:t>GE.19-02581</w:t>
    </w:r>
    <w:r>
      <w:tab/>
    </w:r>
    <w:r w:rsidRPr="007D0C7F">
      <w:rPr>
        <w:b/>
        <w:sz w:val="18"/>
      </w:rPr>
      <w:fldChar w:fldCharType="begin"/>
    </w:r>
    <w:r w:rsidRPr="007D0C7F">
      <w:rPr>
        <w:b/>
        <w:sz w:val="18"/>
      </w:rPr>
      <w:instrText xml:space="preserve"> PAGE  \* MERGEFORMAT </w:instrText>
    </w:r>
    <w:r w:rsidRPr="007D0C7F">
      <w:rPr>
        <w:b/>
        <w:sz w:val="18"/>
      </w:rPr>
      <w:fldChar w:fldCharType="separate"/>
    </w:r>
    <w:r w:rsidR="00452A3A">
      <w:rPr>
        <w:b/>
        <w:noProof/>
        <w:sz w:val="18"/>
      </w:rPr>
      <w:t>3</w:t>
    </w:r>
    <w:r w:rsidRPr="007D0C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D0C7F" w:rsidRDefault="007D0C7F" w:rsidP="007D0C7F">
    <w:pPr>
      <w:pStyle w:val="Footer"/>
      <w:spacing w:before="120"/>
      <w:rPr>
        <w:sz w:val="20"/>
      </w:rPr>
    </w:pPr>
    <w:r>
      <w:rPr>
        <w:sz w:val="20"/>
      </w:rPr>
      <w:t>GE.</w:t>
    </w:r>
    <w:r w:rsidR="007F20FA">
      <w:rPr>
        <w:noProof/>
        <w:lang w:val="en-GB" w:eastAsia="zh-CN"/>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19-02581  (F)    060319    180319</w:t>
    </w:r>
    <w:r>
      <w:rPr>
        <w:sz w:val="20"/>
      </w:rPr>
      <w:br/>
    </w:r>
    <w:r w:rsidRPr="007D0C7F">
      <w:rPr>
        <w:rFonts w:ascii="C39T30Lfz" w:hAnsi="C39T30Lfz"/>
        <w:sz w:val="56"/>
      </w:rPr>
      <w:t></w:t>
    </w:r>
    <w:r w:rsidRPr="007D0C7F">
      <w:rPr>
        <w:rFonts w:ascii="C39T30Lfz" w:hAnsi="C39T30Lfz"/>
        <w:sz w:val="56"/>
      </w:rPr>
      <w:t></w:t>
    </w:r>
    <w:r w:rsidRPr="007D0C7F">
      <w:rPr>
        <w:rFonts w:ascii="C39T30Lfz" w:hAnsi="C39T30Lfz"/>
        <w:sz w:val="56"/>
      </w:rPr>
      <w:t></w:t>
    </w:r>
    <w:r w:rsidRPr="007D0C7F">
      <w:rPr>
        <w:rFonts w:ascii="C39T30Lfz" w:hAnsi="C39T30Lfz"/>
        <w:sz w:val="56"/>
      </w:rPr>
      <w:t></w:t>
    </w:r>
    <w:r w:rsidRPr="007D0C7F">
      <w:rPr>
        <w:rFonts w:ascii="C39T30Lfz" w:hAnsi="C39T30Lfz"/>
        <w:sz w:val="56"/>
      </w:rPr>
      <w:t></w:t>
    </w:r>
    <w:r w:rsidRPr="007D0C7F">
      <w:rPr>
        <w:rFonts w:ascii="C39T30Lfz" w:hAnsi="C39T30Lfz"/>
        <w:sz w:val="56"/>
      </w:rPr>
      <w:t></w:t>
    </w:r>
    <w:r w:rsidRPr="007D0C7F">
      <w:rPr>
        <w:rFonts w:ascii="C39T30Lfz" w:hAnsi="C39T30Lfz"/>
        <w:sz w:val="56"/>
      </w:rPr>
      <w:t></w:t>
    </w:r>
    <w:r w:rsidRPr="007D0C7F">
      <w:rPr>
        <w:rFonts w:ascii="C39T30Lfz" w:hAnsi="C39T30Lfz"/>
        <w:sz w:val="56"/>
      </w:rPr>
      <w:t></w:t>
    </w:r>
    <w:r w:rsidRPr="007D0C7F">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C5" w:rsidRPr="00AC3823" w:rsidRDefault="008F24C5" w:rsidP="00AC3823">
      <w:pPr>
        <w:pStyle w:val="Footer"/>
        <w:tabs>
          <w:tab w:val="right" w:pos="2155"/>
        </w:tabs>
        <w:spacing w:after="80" w:line="240" w:lineRule="atLeast"/>
        <w:ind w:left="680"/>
        <w:rPr>
          <w:u w:val="single"/>
        </w:rPr>
      </w:pPr>
      <w:r>
        <w:rPr>
          <w:u w:val="single"/>
        </w:rPr>
        <w:tab/>
      </w:r>
    </w:p>
  </w:footnote>
  <w:footnote w:type="continuationSeparator" w:id="0">
    <w:p w:rsidR="008F24C5" w:rsidRPr="00AC3823" w:rsidRDefault="008F24C5" w:rsidP="00AC3823">
      <w:pPr>
        <w:pStyle w:val="Footer"/>
        <w:tabs>
          <w:tab w:val="right" w:pos="2155"/>
        </w:tabs>
        <w:spacing w:after="80" w:line="240" w:lineRule="atLeast"/>
        <w:ind w:left="680"/>
        <w:rPr>
          <w:u w:val="single"/>
        </w:rPr>
      </w:pPr>
      <w:r>
        <w:rPr>
          <w:u w:val="single"/>
        </w:rPr>
        <w:tab/>
      </w:r>
    </w:p>
  </w:footnote>
  <w:footnote w:type="continuationNotice" w:id="1">
    <w:p w:rsidR="008F24C5" w:rsidRPr="00AC3823" w:rsidRDefault="008F24C5">
      <w:pPr>
        <w:spacing w:line="240" w:lineRule="auto"/>
        <w:rPr>
          <w:sz w:val="2"/>
          <w:szCs w:val="2"/>
        </w:rPr>
      </w:pPr>
    </w:p>
  </w:footnote>
  <w:footnote w:id="2">
    <w:p w:rsidR="009129E2" w:rsidRPr="009129E2" w:rsidRDefault="009129E2">
      <w:pPr>
        <w:pStyle w:val="FootnoteText"/>
      </w:pPr>
      <w:r>
        <w:rPr>
          <w:rStyle w:val="FootnoteReference"/>
        </w:rPr>
        <w:tab/>
      </w:r>
      <w:r w:rsidRPr="009129E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F" w:rsidRPr="007D0C7F" w:rsidRDefault="00452A3A">
    <w:pPr>
      <w:pStyle w:val="Header"/>
    </w:pPr>
    <w:r>
      <w:fldChar w:fldCharType="begin"/>
    </w:r>
    <w:r>
      <w:instrText xml:space="preserve"> TITLE  \* MERGEFORMAT </w:instrText>
    </w:r>
    <w:r>
      <w:fldChar w:fldCharType="separate"/>
    </w:r>
    <w:r w:rsidR="00A71968">
      <w:t>ECE/TRANS/WP.15/2019/12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F" w:rsidRPr="007D0C7F" w:rsidRDefault="00452A3A" w:rsidP="007D0C7F">
    <w:pPr>
      <w:pStyle w:val="Header"/>
      <w:jc w:val="right"/>
    </w:pPr>
    <w:r>
      <w:fldChar w:fldCharType="begin"/>
    </w:r>
    <w:r>
      <w:instrText xml:space="preserve"> TITLE  \* MERGEFORMAT </w:instrText>
    </w:r>
    <w:r>
      <w:fldChar w:fldCharType="separate"/>
    </w:r>
    <w:r w:rsidR="00A71968">
      <w:t>ECE/TRANS/WP.15/2019/12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C5"/>
    <w:rsid w:val="00017F94"/>
    <w:rsid w:val="00023842"/>
    <w:rsid w:val="000334F9"/>
    <w:rsid w:val="00045FEB"/>
    <w:rsid w:val="00065D25"/>
    <w:rsid w:val="0007560B"/>
    <w:rsid w:val="0007796D"/>
    <w:rsid w:val="000B7790"/>
    <w:rsid w:val="000C5054"/>
    <w:rsid w:val="00111F2F"/>
    <w:rsid w:val="0014147F"/>
    <w:rsid w:val="0014365E"/>
    <w:rsid w:val="00143C66"/>
    <w:rsid w:val="00176178"/>
    <w:rsid w:val="001858C4"/>
    <w:rsid w:val="001B1775"/>
    <w:rsid w:val="001F525A"/>
    <w:rsid w:val="00223272"/>
    <w:rsid w:val="0024779E"/>
    <w:rsid w:val="00257168"/>
    <w:rsid w:val="002744B8"/>
    <w:rsid w:val="002832AC"/>
    <w:rsid w:val="002D7C93"/>
    <w:rsid w:val="00305801"/>
    <w:rsid w:val="003916DE"/>
    <w:rsid w:val="003B63D7"/>
    <w:rsid w:val="00421996"/>
    <w:rsid w:val="00441C3B"/>
    <w:rsid w:val="00446FE5"/>
    <w:rsid w:val="00452396"/>
    <w:rsid w:val="00452A3A"/>
    <w:rsid w:val="0047470F"/>
    <w:rsid w:val="004837D8"/>
    <w:rsid w:val="004E2EED"/>
    <w:rsid w:val="004E468C"/>
    <w:rsid w:val="004F73B3"/>
    <w:rsid w:val="005505B7"/>
    <w:rsid w:val="00573BE5"/>
    <w:rsid w:val="00586ED3"/>
    <w:rsid w:val="00596AA9"/>
    <w:rsid w:val="005A3A52"/>
    <w:rsid w:val="005A5442"/>
    <w:rsid w:val="00664178"/>
    <w:rsid w:val="00691B54"/>
    <w:rsid w:val="006D295C"/>
    <w:rsid w:val="006F2502"/>
    <w:rsid w:val="00706EE9"/>
    <w:rsid w:val="0071601D"/>
    <w:rsid w:val="00760259"/>
    <w:rsid w:val="007A62E6"/>
    <w:rsid w:val="007D0C7F"/>
    <w:rsid w:val="007F20FA"/>
    <w:rsid w:val="0080684C"/>
    <w:rsid w:val="00871C75"/>
    <w:rsid w:val="008776DC"/>
    <w:rsid w:val="00880CCC"/>
    <w:rsid w:val="008913F4"/>
    <w:rsid w:val="008967F4"/>
    <w:rsid w:val="008E4A96"/>
    <w:rsid w:val="008F24C5"/>
    <w:rsid w:val="009013EF"/>
    <w:rsid w:val="009129E2"/>
    <w:rsid w:val="00926B59"/>
    <w:rsid w:val="009400C5"/>
    <w:rsid w:val="009446C0"/>
    <w:rsid w:val="009705C8"/>
    <w:rsid w:val="00985A02"/>
    <w:rsid w:val="009C1CF4"/>
    <w:rsid w:val="009F06A4"/>
    <w:rsid w:val="009F6B74"/>
    <w:rsid w:val="00A14A92"/>
    <w:rsid w:val="00A3029F"/>
    <w:rsid w:val="00A30353"/>
    <w:rsid w:val="00A71968"/>
    <w:rsid w:val="00AC3823"/>
    <w:rsid w:val="00AE323C"/>
    <w:rsid w:val="00AF0CB5"/>
    <w:rsid w:val="00B00181"/>
    <w:rsid w:val="00B00B0D"/>
    <w:rsid w:val="00B45F2E"/>
    <w:rsid w:val="00B765F7"/>
    <w:rsid w:val="00BA0CA9"/>
    <w:rsid w:val="00BE18FE"/>
    <w:rsid w:val="00C02897"/>
    <w:rsid w:val="00C97039"/>
    <w:rsid w:val="00D007A3"/>
    <w:rsid w:val="00D06AC0"/>
    <w:rsid w:val="00D3137D"/>
    <w:rsid w:val="00D3407F"/>
    <w:rsid w:val="00D3439C"/>
    <w:rsid w:val="00D36AC8"/>
    <w:rsid w:val="00D6368A"/>
    <w:rsid w:val="00DB1831"/>
    <w:rsid w:val="00DD3BFD"/>
    <w:rsid w:val="00DE0587"/>
    <w:rsid w:val="00DF6678"/>
    <w:rsid w:val="00E0299A"/>
    <w:rsid w:val="00E25CB6"/>
    <w:rsid w:val="00E64033"/>
    <w:rsid w:val="00E85C74"/>
    <w:rsid w:val="00E87E80"/>
    <w:rsid w:val="00EA6547"/>
    <w:rsid w:val="00EF2E22"/>
    <w:rsid w:val="00F35BAF"/>
    <w:rsid w:val="00F660DF"/>
    <w:rsid w:val="00F94664"/>
    <w:rsid w:val="00F9573C"/>
    <w:rsid w:val="00F95C08"/>
    <w:rsid w:val="00FB0A6C"/>
    <w:rsid w:val="00FB4500"/>
    <w:rsid w:val="00FD20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B796EE-7215-45C7-AFE1-1F00DDB4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60259"/>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A1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12339</Characters>
  <Application>Microsoft Office Word</Application>
  <DocSecurity>0</DocSecurity>
  <Lines>280</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ECE/TRANS/WP.15/2019/12</vt:lpstr>
      <vt:lpstr>ECE/TRANS/WP.15/2019/12</vt:lpstr>
    </vt:vector>
  </TitlesOfParts>
  <Company>DCM</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ECE/TRANS/WP.15/2019/12</dc:title>
  <dc:subject/>
  <dc:creator>xx</dc:creator>
  <cp:keywords/>
  <cp:lastModifiedBy>Christine Barrio-Champeau</cp:lastModifiedBy>
  <cp:revision>2</cp:revision>
  <cp:lastPrinted>2019-03-18T14:07:00Z</cp:lastPrinted>
  <dcterms:created xsi:type="dcterms:W3CDTF">2019-03-18T15:25:00Z</dcterms:created>
  <dcterms:modified xsi:type="dcterms:W3CDTF">2019-03-18T15:25:00Z</dcterms:modified>
</cp:coreProperties>
</file>