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36" w:rsidRPr="00267B69" w:rsidRDefault="00982036" w:rsidP="00982036">
      <w:pPr>
        <w:spacing w:before="120"/>
        <w:rPr>
          <w:b/>
          <w:sz w:val="28"/>
          <w:szCs w:val="28"/>
        </w:rPr>
      </w:pPr>
      <w:r w:rsidRPr="00267B69">
        <w:rPr>
          <w:b/>
          <w:sz w:val="28"/>
          <w:szCs w:val="28"/>
        </w:rPr>
        <w:t>Economic Commission for Europe</w:t>
      </w:r>
    </w:p>
    <w:p w:rsidR="00982036" w:rsidRPr="00267B69" w:rsidRDefault="00982036" w:rsidP="00982036">
      <w:pPr>
        <w:spacing w:before="120"/>
        <w:rPr>
          <w:sz w:val="28"/>
          <w:szCs w:val="28"/>
        </w:rPr>
      </w:pPr>
      <w:r w:rsidRPr="00267B69">
        <w:rPr>
          <w:sz w:val="28"/>
          <w:szCs w:val="28"/>
        </w:rPr>
        <w:t>Inland Transport Committee</w:t>
      </w:r>
    </w:p>
    <w:p w:rsidR="00982036" w:rsidRPr="00267B69" w:rsidRDefault="00982036" w:rsidP="00982036">
      <w:pPr>
        <w:spacing w:before="120"/>
        <w:rPr>
          <w:b/>
          <w:sz w:val="24"/>
          <w:szCs w:val="24"/>
        </w:rPr>
      </w:pPr>
      <w:r w:rsidRPr="00267B69">
        <w:rPr>
          <w:b/>
          <w:sz w:val="24"/>
          <w:szCs w:val="24"/>
        </w:rPr>
        <w:t>Working Party on the Transport of Dangerous Goods</w:t>
      </w:r>
    </w:p>
    <w:p w:rsidR="00982036" w:rsidRPr="00267B69" w:rsidRDefault="007851CB" w:rsidP="00084795">
      <w:pPr>
        <w:spacing w:before="120"/>
        <w:rPr>
          <w:b/>
        </w:rPr>
      </w:pPr>
      <w:r w:rsidRPr="00267B69">
        <w:rPr>
          <w:b/>
        </w:rPr>
        <w:t>10</w:t>
      </w:r>
      <w:r w:rsidR="0063012C">
        <w:rPr>
          <w:b/>
        </w:rPr>
        <w:t>6</w:t>
      </w:r>
      <w:r w:rsidRPr="00267B69">
        <w:rPr>
          <w:b/>
        </w:rPr>
        <w:t>th</w:t>
      </w:r>
      <w:r w:rsidR="00982036" w:rsidRPr="00267B69">
        <w:rPr>
          <w:b/>
        </w:rPr>
        <w:t xml:space="preserve"> session</w:t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2709B0" w:rsidRPr="00267B69">
        <w:rPr>
          <w:b/>
        </w:rPr>
        <w:tab/>
      </w:r>
      <w:r w:rsidR="002709B0" w:rsidRPr="00267B69">
        <w:rPr>
          <w:b/>
        </w:rPr>
        <w:tab/>
      </w:r>
      <w:r w:rsidR="00D13D3B" w:rsidRPr="00267B69">
        <w:rPr>
          <w:b/>
        </w:rPr>
        <w:tab/>
      </w:r>
      <w:r w:rsidR="00B96BDE">
        <w:rPr>
          <w:b/>
        </w:rPr>
        <w:t xml:space="preserve"> 10 </w:t>
      </w:r>
      <w:r w:rsidR="00C75A4D" w:rsidRPr="00267B69">
        <w:rPr>
          <w:b/>
        </w:rPr>
        <w:t>May</w:t>
      </w:r>
      <w:r w:rsidR="001D4954" w:rsidRPr="00267B69">
        <w:rPr>
          <w:b/>
        </w:rPr>
        <w:t xml:space="preserve"> 201</w:t>
      </w:r>
      <w:r w:rsidR="0063012C">
        <w:rPr>
          <w:b/>
        </w:rPr>
        <w:t>9</w:t>
      </w:r>
    </w:p>
    <w:p w:rsidR="00982036" w:rsidRPr="00267B69" w:rsidRDefault="00982036" w:rsidP="00982036">
      <w:r w:rsidRPr="00267B69">
        <w:t>Geneva</w:t>
      </w:r>
      <w:r w:rsidR="00AF0EA9" w:rsidRPr="00267B69">
        <w:t xml:space="preserve">, </w:t>
      </w:r>
      <w:r w:rsidR="007851CB" w:rsidRPr="00267B69">
        <w:t>1</w:t>
      </w:r>
      <w:r w:rsidR="0063012C">
        <w:t>3</w:t>
      </w:r>
      <w:r w:rsidR="007851CB" w:rsidRPr="00267B69">
        <w:t>–</w:t>
      </w:r>
      <w:r w:rsidR="002709B0" w:rsidRPr="00267B69">
        <w:t>1</w:t>
      </w:r>
      <w:r w:rsidR="007851CB" w:rsidRPr="00267B69">
        <w:t>7</w:t>
      </w:r>
      <w:r w:rsidR="0097696C">
        <w:t xml:space="preserve"> (p.m.)</w:t>
      </w:r>
      <w:r w:rsidR="009A776B" w:rsidRPr="00267B69">
        <w:t xml:space="preserve"> </w:t>
      </w:r>
      <w:r w:rsidR="0089025B" w:rsidRPr="00267B69">
        <w:t>May</w:t>
      </w:r>
      <w:r w:rsidR="00AF0EA9" w:rsidRPr="00267B69">
        <w:t xml:space="preserve"> 201</w:t>
      </w:r>
      <w:r w:rsidR="0063012C">
        <w:t>9</w:t>
      </w:r>
    </w:p>
    <w:p w:rsidR="00982036" w:rsidRPr="00267B69" w:rsidRDefault="00982036" w:rsidP="00982036">
      <w:r w:rsidRPr="00267B69">
        <w:t>Item 1 of the provisional agenda</w:t>
      </w:r>
    </w:p>
    <w:p w:rsidR="00A6129C" w:rsidRPr="00267B69" w:rsidRDefault="00920CA3" w:rsidP="00C96DF2">
      <w:pPr>
        <w:rPr>
          <w:b/>
        </w:rPr>
      </w:pPr>
      <w:r w:rsidRPr="00267B69">
        <w:rPr>
          <w:b/>
        </w:rPr>
        <w:t>Adoption of the agenda</w:t>
      </w:r>
    </w:p>
    <w:p w:rsidR="005E5BC9" w:rsidRPr="003B4873" w:rsidRDefault="00920CA3" w:rsidP="005E5BC9">
      <w:pPr>
        <w:pStyle w:val="HChG"/>
        <w:spacing w:after="120"/>
      </w:pPr>
      <w:r w:rsidRPr="00267B69">
        <w:tab/>
      </w:r>
      <w:r w:rsidR="005E5BC9" w:rsidRPr="003B4873">
        <w:tab/>
      </w:r>
      <w:r w:rsidR="005E5BC9" w:rsidRPr="003B4873">
        <w:tab/>
        <w:t xml:space="preserve">List of documents under agenda item </w:t>
      </w:r>
    </w:p>
    <w:p w:rsidR="0097696C" w:rsidRPr="00636F0C" w:rsidRDefault="0097696C" w:rsidP="0097696C">
      <w:pPr>
        <w:pStyle w:val="SingleTxtG"/>
        <w:rPr>
          <w:bCs/>
          <w:i/>
          <w:iCs/>
          <w:sz w:val="28"/>
          <w:lang w:val="en-GB"/>
        </w:rPr>
      </w:pPr>
      <w:r w:rsidRPr="00636F0C">
        <w:rPr>
          <w:i/>
          <w:iCs/>
          <w:bdr w:val="none" w:sz="0" w:space="0" w:color="auto" w:frame="1"/>
          <w:shd w:val="clear" w:color="auto" w:fill="FFFFFF"/>
          <w:lang w:val="en-GB"/>
        </w:rPr>
        <w:t xml:space="preserve">Note: </w:t>
      </w:r>
      <w:r w:rsidR="00636F0C" w:rsidRPr="00636F0C">
        <w:rPr>
          <w:i/>
          <w:iCs/>
          <w:bdr w:val="none" w:sz="0" w:space="0" w:color="auto" w:frame="1"/>
          <w:shd w:val="clear" w:color="auto" w:fill="FFFFFF"/>
          <w:lang w:val="en-GB"/>
        </w:rPr>
        <w:t xml:space="preserve">There will be no meeting of the Working Party on 13 May afternoon. </w:t>
      </w:r>
      <w:r w:rsidR="00636F0C">
        <w:rPr>
          <w:i/>
          <w:iCs/>
          <w:bdr w:val="none" w:sz="0" w:space="0" w:color="auto" w:frame="1"/>
          <w:shd w:val="clear" w:color="auto" w:fill="FFFFFF"/>
          <w:lang w:val="en-GB"/>
        </w:rPr>
        <w:t xml:space="preserve">This afternoon is reserved for the </w:t>
      </w:r>
      <w:r w:rsidR="00636F0C" w:rsidRPr="00636F0C">
        <w:rPr>
          <w:i/>
          <w:iCs/>
          <w:bdr w:val="none" w:sz="0" w:space="0" w:color="auto" w:frame="1"/>
          <w:shd w:val="clear" w:color="auto" w:fill="FFFFFF"/>
          <w:lang w:val="en-GB"/>
        </w:rPr>
        <w:t xml:space="preserve">Conference of the Parties </w:t>
      </w:r>
      <w:r w:rsidR="00636F0C">
        <w:rPr>
          <w:i/>
          <w:iCs/>
          <w:bdr w:val="none" w:sz="0" w:space="0" w:color="auto" w:frame="1"/>
          <w:shd w:val="clear" w:color="auto" w:fill="FFFFFF"/>
          <w:lang w:val="en-GB"/>
        </w:rPr>
        <w:t>(see 4</w:t>
      </w:r>
      <w:proofErr w:type="gramStart"/>
      <w:r w:rsidR="00636F0C">
        <w:rPr>
          <w:i/>
          <w:iCs/>
          <w:bdr w:val="none" w:sz="0" w:space="0" w:color="auto" w:frame="1"/>
          <w:shd w:val="clear" w:color="auto" w:fill="FFFFFF"/>
          <w:lang w:val="en-GB"/>
        </w:rPr>
        <w:t xml:space="preserve">. </w:t>
      </w:r>
      <w:proofErr w:type="gramEnd"/>
      <w:r w:rsidR="00636F0C">
        <w:rPr>
          <w:i/>
          <w:iCs/>
          <w:bdr w:val="none" w:sz="0" w:space="0" w:color="auto" w:frame="1"/>
          <w:shd w:val="clear" w:color="auto" w:fill="FFFFFF"/>
          <w:lang w:val="en-GB"/>
        </w:rPr>
        <w:t>below)</w:t>
      </w:r>
      <w:r w:rsidR="00636F0C" w:rsidRPr="00636F0C">
        <w:rPr>
          <w:i/>
          <w:iCs/>
          <w:bdr w:val="none" w:sz="0" w:space="0" w:color="auto" w:frame="1"/>
          <w:shd w:val="clear" w:color="auto" w:fill="FFFFFF"/>
          <w:lang w:val="en-GB"/>
        </w:rPr>
        <w:t xml:space="preserve">.  </w:t>
      </w:r>
      <w:r w:rsidRPr="00636F0C">
        <w:rPr>
          <w:i/>
          <w:iCs/>
          <w:bdr w:val="none" w:sz="0" w:space="0" w:color="auto" w:frame="1"/>
          <w:shd w:val="clear" w:color="auto" w:fill="FFFFFF"/>
          <w:lang w:val="en-GB"/>
        </w:rPr>
        <w:t>The session will end at 12.30 on Friday 17 May.</w:t>
      </w:r>
      <w:r w:rsidR="00636F0C" w:rsidRPr="00636F0C">
        <w:rPr>
          <w:i/>
          <w:iCs/>
          <w:bdr w:val="none" w:sz="0" w:space="0" w:color="auto" w:frame="1"/>
          <w:shd w:val="clear" w:color="auto" w:fill="FFFFFF"/>
          <w:lang w:val="en-GB"/>
        </w:rPr>
        <w:t xml:space="preserve"> </w:t>
      </w:r>
    </w:p>
    <w:p w:rsidR="00BF0CF2" w:rsidRPr="00267B69" w:rsidRDefault="005E5BC9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 w:rsidR="00BF0CF2" w:rsidRPr="00267B69">
        <w:rPr>
          <w:b/>
          <w:sz w:val="28"/>
        </w:rPr>
        <w:t>1.</w:t>
      </w:r>
      <w:r w:rsidR="00BF0CF2" w:rsidRPr="00267B69">
        <w:rPr>
          <w:b/>
          <w:sz w:val="28"/>
        </w:rPr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F0CF2" w:rsidRPr="00267B69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267B69" w:rsidRDefault="007851CB" w:rsidP="00DF6C26">
            <w:pPr>
              <w:spacing w:line="360" w:lineRule="auto"/>
              <w:ind w:right="99"/>
              <w:rPr>
                <w:rFonts w:asciiTheme="majorBidi" w:hAnsiTheme="majorBidi" w:cstheme="majorBidi"/>
              </w:rPr>
            </w:pPr>
            <w:r w:rsidRPr="00267B69">
              <w:rPr>
                <w:rFonts w:asciiTheme="majorBidi" w:hAnsiTheme="majorBidi" w:cstheme="majorBidi"/>
              </w:rPr>
              <w:t>ECE/TRANS/WP.15/24</w:t>
            </w:r>
            <w:r w:rsidR="0063012C">
              <w:rPr>
                <w:rFonts w:asciiTheme="majorBidi" w:hAnsiTheme="majorBidi" w:cstheme="majorBidi"/>
              </w:rPr>
              <w:t>5</w:t>
            </w:r>
            <w:r w:rsidR="00BF0CF2" w:rsidRPr="00267B69">
              <w:rPr>
                <w:rFonts w:asciiTheme="majorBidi" w:hAnsiTheme="majorBidi" w:cstheme="majorBidi"/>
              </w:rPr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267B69" w:rsidRDefault="007851CB" w:rsidP="00DF6C26">
            <w:pPr>
              <w:spacing w:line="360" w:lineRule="auto"/>
              <w:rPr>
                <w:rFonts w:asciiTheme="majorBidi" w:hAnsiTheme="majorBidi" w:cstheme="majorBidi"/>
              </w:rPr>
            </w:pPr>
            <w:r w:rsidRPr="00267B69">
              <w:rPr>
                <w:rFonts w:asciiTheme="majorBidi" w:hAnsiTheme="majorBidi" w:cstheme="majorBidi"/>
              </w:rPr>
              <w:t>Provisional agenda for the 10</w:t>
            </w:r>
            <w:r w:rsidR="0063012C">
              <w:rPr>
                <w:rFonts w:asciiTheme="majorBidi" w:hAnsiTheme="majorBidi" w:cstheme="majorBidi"/>
              </w:rPr>
              <w:t>6</w:t>
            </w:r>
            <w:r w:rsidRPr="00267B69">
              <w:rPr>
                <w:rFonts w:asciiTheme="majorBidi" w:hAnsiTheme="majorBidi" w:cstheme="majorBidi"/>
              </w:rPr>
              <w:t>th</w:t>
            </w:r>
            <w:r w:rsidR="00BF0CF2" w:rsidRPr="00267B69">
              <w:rPr>
                <w:rFonts w:asciiTheme="majorBidi" w:hAnsiTheme="majorBidi" w:cstheme="majorBidi"/>
              </w:rPr>
              <w:t xml:space="preserve"> session</w:t>
            </w:r>
          </w:p>
        </w:tc>
      </w:tr>
      <w:tr w:rsidR="00BF0CF2" w:rsidRPr="00267B69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267B69" w:rsidRDefault="007851CB" w:rsidP="009E7286">
            <w:pPr>
              <w:spacing w:after="240" w:line="240" w:lineRule="auto"/>
              <w:ind w:right="99"/>
              <w:rPr>
                <w:rFonts w:asciiTheme="majorBidi" w:hAnsiTheme="majorBidi" w:cstheme="majorBidi"/>
              </w:rPr>
            </w:pPr>
            <w:r w:rsidRPr="00267B69">
              <w:rPr>
                <w:rFonts w:asciiTheme="majorBidi" w:hAnsiTheme="majorBidi" w:cstheme="majorBidi"/>
              </w:rPr>
              <w:t>ECE/TRANS/WP.15/24</w:t>
            </w:r>
            <w:r w:rsidR="0063012C">
              <w:rPr>
                <w:rFonts w:asciiTheme="majorBidi" w:hAnsiTheme="majorBidi" w:cstheme="majorBidi"/>
              </w:rPr>
              <w:t>5</w:t>
            </w:r>
            <w:r w:rsidR="00BF0CF2" w:rsidRPr="00267B69">
              <w:rPr>
                <w:rFonts w:asciiTheme="majorBidi" w:hAnsiTheme="majorBidi" w:cstheme="majorBidi"/>
              </w:rPr>
              <w:t>/Add.1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267B69" w:rsidRDefault="00BF0CF2" w:rsidP="00DF6C26">
            <w:pPr>
              <w:spacing w:line="360" w:lineRule="auto"/>
              <w:rPr>
                <w:rFonts w:asciiTheme="majorBidi" w:hAnsiTheme="majorBidi" w:cstheme="majorBidi"/>
              </w:rPr>
            </w:pPr>
            <w:r w:rsidRPr="00267B69">
              <w:rPr>
                <w:rFonts w:asciiTheme="majorBidi" w:hAnsiTheme="majorBidi" w:cstheme="majorBidi"/>
              </w:rPr>
              <w:t>Annotations and list of documents</w:t>
            </w:r>
          </w:p>
        </w:tc>
      </w:tr>
      <w:tr w:rsidR="00BF0CF2" w:rsidRPr="00267B69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267B69" w:rsidRDefault="00BF0CF2" w:rsidP="00DF6C26">
            <w:pPr>
              <w:pStyle w:val="SingleTxtG"/>
              <w:spacing w:after="0" w:line="360" w:lineRule="auto"/>
              <w:ind w:left="0" w:right="99"/>
              <w:jc w:val="left"/>
              <w:rPr>
                <w:rFonts w:asciiTheme="majorBidi" w:hAnsiTheme="majorBidi" w:cstheme="majorBidi"/>
                <w:lang w:val="en-GB"/>
              </w:rPr>
            </w:pPr>
            <w:r w:rsidRPr="00267B69">
              <w:rPr>
                <w:rFonts w:asciiTheme="majorBidi" w:hAnsiTheme="majorBidi" w:cstheme="majorBidi"/>
                <w:lang w:val="en-GB"/>
              </w:rPr>
              <w:t>INF.1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267B69" w:rsidRDefault="00BF0CF2" w:rsidP="00DF6C26">
            <w:pPr>
              <w:pStyle w:val="SingleTxtG"/>
              <w:spacing w:after="0" w:line="360" w:lineRule="auto"/>
              <w:ind w:left="0" w:right="0"/>
              <w:jc w:val="left"/>
              <w:rPr>
                <w:rFonts w:asciiTheme="majorBidi" w:hAnsiTheme="majorBidi" w:cstheme="majorBidi"/>
                <w:lang w:val="en-GB"/>
              </w:rPr>
            </w:pPr>
            <w:r w:rsidRPr="00267B69">
              <w:rPr>
                <w:rFonts w:asciiTheme="majorBidi" w:hAnsiTheme="majorBidi" w:cstheme="majorBidi"/>
                <w:lang w:val="en-GB"/>
              </w:rPr>
              <w:t>List of documents</w:t>
            </w:r>
          </w:p>
        </w:tc>
      </w:tr>
      <w:tr w:rsidR="00BF0CF2" w:rsidRPr="00267B69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267B69" w:rsidRDefault="00BF0CF2" w:rsidP="00DF6C26">
            <w:pPr>
              <w:pStyle w:val="SingleTxtG"/>
              <w:spacing w:after="0" w:line="360" w:lineRule="auto"/>
              <w:ind w:left="0" w:right="99"/>
              <w:jc w:val="left"/>
              <w:rPr>
                <w:rFonts w:asciiTheme="majorBidi" w:hAnsiTheme="majorBidi" w:cstheme="majorBidi"/>
                <w:lang w:val="en-GB"/>
              </w:rPr>
            </w:pPr>
            <w:r w:rsidRPr="00267B69">
              <w:rPr>
                <w:rFonts w:asciiTheme="majorBidi" w:hAnsiTheme="majorBidi" w:cstheme="majorBidi"/>
                <w:lang w:val="en-GB"/>
              </w:rPr>
              <w:t>INF.2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267B69" w:rsidRDefault="00BF0CF2" w:rsidP="00DF6C26">
            <w:pPr>
              <w:pStyle w:val="SingleTxtG"/>
              <w:spacing w:after="0" w:line="360" w:lineRule="auto"/>
              <w:ind w:left="0" w:right="0"/>
              <w:jc w:val="left"/>
              <w:rPr>
                <w:rFonts w:asciiTheme="majorBidi" w:hAnsiTheme="majorBidi" w:cstheme="majorBidi"/>
                <w:lang w:val="en-GB"/>
              </w:rPr>
            </w:pPr>
            <w:r w:rsidRPr="00267B69">
              <w:rPr>
                <w:rFonts w:asciiTheme="majorBidi" w:hAnsiTheme="majorBidi" w:cstheme="majorBidi"/>
                <w:lang w:val="en-GB"/>
              </w:rPr>
              <w:t>List of documents under agenda item</w:t>
            </w:r>
          </w:p>
        </w:tc>
      </w:tr>
    </w:tbl>
    <w:p w:rsidR="00BF0CF2" w:rsidRPr="00267B69" w:rsidRDefault="00BF0CF2" w:rsidP="00BF0CF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267B69">
        <w:rPr>
          <w:b/>
          <w:sz w:val="24"/>
        </w:rPr>
        <w:tab/>
      </w:r>
      <w:r w:rsidRPr="00267B69">
        <w:rPr>
          <w:b/>
          <w:sz w:val="24"/>
        </w:rPr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BF0CF2" w:rsidRPr="00267B69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267B69" w:rsidRDefault="00BF0CF2" w:rsidP="009E7286">
            <w:pPr>
              <w:spacing w:line="240" w:lineRule="auto"/>
              <w:ind w:right="99"/>
              <w:rPr>
                <w:b/>
              </w:rPr>
            </w:pPr>
            <w:r w:rsidRPr="00267B69">
              <w:t>ECE/TRANS/WP.15/190/Add.1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267B69" w:rsidRDefault="00BF0CF2" w:rsidP="009E7286">
            <w:pPr>
              <w:spacing w:after="240" w:line="240" w:lineRule="auto"/>
              <w:rPr>
                <w:b/>
              </w:rPr>
            </w:pPr>
            <w:r w:rsidRPr="00267B69">
              <w:t>Terms of Reference and Rules of Procedure of the Working Party</w:t>
            </w:r>
          </w:p>
        </w:tc>
      </w:tr>
      <w:tr w:rsidR="00BF0CF2" w:rsidRPr="00267B69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267B69" w:rsidRDefault="007851CB" w:rsidP="00DF6C26">
            <w:pPr>
              <w:spacing w:line="360" w:lineRule="auto"/>
              <w:ind w:right="99"/>
            </w:pPr>
            <w:r w:rsidRPr="00267B69">
              <w:t>ECE/TRANS/WP.15/2</w:t>
            </w:r>
            <w:r w:rsidR="0063012C">
              <w:t>44</w:t>
            </w:r>
            <w:r w:rsidR="00BF0CF2" w:rsidRPr="00267B69"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:rsidR="00BF0CF2" w:rsidRPr="00267B69" w:rsidRDefault="00BF0CF2" w:rsidP="009E7286">
            <w:pPr>
              <w:spacing w:after="240" w:line="240" w:lineRule="auto"/>
            </w:pPr>
            <w:r w:rsidRPr="00267B69">
              <w:t>Report o</w:t>
            </w:r>
            <w:r w:rsidR="007851CB" w:rsidRPr="00267B69">
              <w:t>f the Working Party on its 10</w:t>
            </w:r>
            <w:r w:rsidR="0063012C">
              <w:t>5th</w:t>
            </w:r>
            <w:r w:rsidRPr="00267B69">
              <w:t xml:space="preserve"> session (Geneva, </w:t>
            </w:r>
            <w:r w:rsidR="007851CB" w:rsidRPr="00267B69">
              <w:t>6</w:t>
            </w:r>
            <w:r w:rsidRPr="00267B69">
              <w:t xml:space="preserve"> to </w:t>
            </w:r>
            <w:r w:rsidR="0063012C">
              <w:t>9</w:t>
            </w:r>
            <w:r w:rsidRPr="00267B69">
              <w:t xml:space="preserve"> November 201</w:t>
            </w:r>
            <w:r w:rsidR="0063012C">
              <w:t>8</w:t>
            </w:r>
            <w:r w:rsidRPr="00267B69">
              <w:t xml:space="preserve">) </w:t>
            </w:r>
          </w:p>
        </w:tc>
      </w:tr>
      <w:tr w:rsidR="007851CB" w:rsidRPr="00267B69" w:rsidTr="00DB11D5">
        <w:trPr>
          <w:cantSplit/>
        </w:trPr>
        <w:tc>
          <w:tcPr>
            <w:tcW w:w="3402" w:type="dxa"/>
            <w:shd w:val="clear" w:color="auto" w:fill="auto"/>
          </w:tcPr>
          <w:p w:rsidR="00BF0CF2" w:rsidRPr="00267B69" w:rsidRDefault="00BF0CF2" w:rsidP="00CC2893">
            <w:pPr>
              <w:spacing w:line="240" w:lineRule="auto"/>
              <w:ind w:right="99"/>
            </w:pPr>
            <w:r w:rsidRPr="00267B69">
              <w:t>ECE/TRANS/2</w:t>
            </w:r>
            <w:r w:rsidR="0063012C">
              <w:t>75</w:t>
            </w:r>
          </w:p>
        </w:tc>
        <w:tc>
          <w:tcPr>
            <w:tcW w:w="3969" w:type="dxa"/>
            <w:shd w:val="clear" w:color="auto" w:fill="auto"/>
          </w:tcPr>
          <w:p w:rsidR="00BF0CF2" w:rsidRPr="00267B69" w:rsidRDefault="00BF0CF2" w:rsidP="00CC2893">
            <w:pPr>
              <w:spacing w:line="240" w:lineRule="auto"/>
            </w:pPr>
            <w:r w:rsidRPr="00267B69">
              <w:t>ADR applicable as from 1 January 201</w:t>
            </w:r>
            <w:r w:rsidR="0063012C">
              <w:t>9</w:t>
            </w:r>
            <w:r w:rsidR="0013299E" w:rsidRPr="00267B69">
              <w:t xml:space="preserve"> as amended</w:t>
            </w:r>
          </w:p>
        </w:tc>
      </w:tr>
    </w:tbl>
    <w:p w:rsidR="00BF0CF2" w:rsidRPr="00267B69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267B69">
        <w:rPr>
          <w:b/>
          <w:sz w:val="28"/>
        </w:rPr>
        <w:tab/>
        <w:t>2.</w:t>
      </w:r>
      <w:r w:rsidRPr="00267B69">
        <w:rPr>
          <w:b/>
          <w:sz w:val="28"/>
        </w:rPr>
        <w:tab/>
      </w:r>
      <w:r w:rsidR="007851CB" w:rsidRPr="00267B69">
        <w:rPr>
          <w:b/>
          <w:sz w:val="28"/>
        </w:rPr>
        <w:t>Eight</w:t>
      </w:r>
      <w:r w:rsidR="0063012C">
        <w:rPr>
          <w:b/>
          <w:sz w:val="28"/>
        </w:rPr>
        <w:t>y-first</w:t>
      </w:r>
      <w:r w:rsidRPr="00267B69">
        <w:rPr>
          <w:b/>
          <w:sz w:val="28"/>
        </w:rPr>
        <w:t xml:space="preserve"> session of the Inland Transport Committee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C74F5" w:rsidRPr="00267B69" w:rsidTr="00D22D7E">
        <w:trPr>
          <w:cantSplit/>
        </w:trPr>
        <w:tc>
          <w:tcPr>
            <w:tcW w:w="3402" w:type="dxa"/>
            <w:shd w:val="clear" w:color="auto" w:fill="auto"/>
          </w:tcPr>
          <w:p w:rsidR="006C74F5" w:rsidRPr="00267B69" w:rsidRDefault="00636F0C" w:rsidP="00636F0C">
            <w:pPr>
              <w:spacing w:line="240" w:lineRule="auto"/>
              <w:ind w:right="99"/>
            </w:pPr>
            <w:r w:rsidRPr="00636F0C">
              <w:t>ITC Informal document No. 9/Rev.5</w:t>
            </w:r>
          </w:p>
        </w:tc>
        <w:tc>
          <w:tcPr>
            <w:tcW w:w="3969" w:type="dxa"/>
            <w:shd w:val="clear" w:color="auto" w:fill="auto"/>
          </w:tcPr>
          <w:p w:rsidR="006C74F5" w:rsidRPr="00267B69" w:rsidRDefault="00636F0C" w:rsidP="00D22D7E">
            <w:pPr>
              <w:spacing w:line="240" w:lineRule="auto"/>
            </w:pPr>
            <w:r>
              <w:t>List of main decisions</w:t>
            </w:r>
            <w:r w:rsidR="006C74F5" w:rsidRPr="006C74F5">
              <w:t xml:space="preserve"> of the ITC on its </w:t>
            </w:r>
            <w:r w:rsidR="006C74F5" w:rsidRPr="00EC1C08">
              <w:t>eighty-first</w:t>
            </w:r>
            <w:r w:rsidR="006C74F5" w:rsidRPr="006C74F5">
              <w:t xml:space="preserve"> session (19-22 February 2019)</w:t>
            </w:r>
          </w:p>
        </w:tc>
      </w:tr>
    </w:tbl>
    <w:p w:rsidR="006C74F5" w:rsidRPr="006C74F5" w:rsidRDefault="00636F0C" w:rsidP="00636F0C">
      <w:pPr>
        <w:pStyle w:val="SingleTxtG"/>
        <w:spacing w:before="120"/>
        <w:rPr>
          <w:i/>
          <w:iCs/>
          <w:lang w:val="en-GB"/>
        </w:rPr>
      </w:pPr>
      <w:r w:rsidRPr="00636F0C">
        <w:rPr>
          <w:i/>
          <w:iCs/>
          <w:lang w:val="en-GB"/>
        </w:rPr>
        <w:t>Available in English, French and Russian at http://www.unece.org/trans/main/itc/itc_main_decisions_2019.html</w:t>
      </w:r>
      <w:r w:rsidR="006C74F5" w:rsidRPr="006C74F5">
        <w:rPr>
          <w:i/>
          <w:iCs/>
          <w:lang w:val="en-GB"/>
        </w:rPr>
        <w:t xml:space="preserve"> </w:t>
      </w:r>
      <w:bookmarkStart w:id="0" w:name="_GoBack"/>
      <w:bookmarkEnd w:id="0"/>
    </w:p>
    <w:p w:rsidR="00BF0CF2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267B69">
        <w:rPr>
          <w:b/>
          <w:sz w:val="28"/>
        </w:rPr>
        <w:lastRenderedPageBreak/>
        <w:tab/>
        <w:t>3.</w:t>
      </w:r>
      <w:r w:rsidRPr="00267B69">
        <w:rPr>
          <w:b/>
          <w:sz w:val="28"/>
        </w:rPr>
        <w:tab/>
      </w:r>
      <w:r w:rsidR="001D4AEC" w:rsidRPr="00EC1C08">
        <w:rPr>
          <w:b/>
          <w:sz w:val="28"/>
        </w:rPr>
        <w:t>Status of the European Agreement concerning the International Carriage of Dangerous Goods by Road (ADR) and related issues</w:t>
      </w:r>
    </w:p>
    <w:p w:rsidR="00BF0CF2" w:rsidRPr="00267B69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267B69">
        <w:rPr>
          <w:b/>
          <w:sz w:val="28"/>
        </w:rPr>
        <w:tab/>
        <w:t>4.</w:t>
      </w:r>
      <w:r w:rsidRPr="00267B69">
        <w:rPr>
          <w:b/>
          <w:sz w:val="28"/>
        </w:rPr>
        <w:tab/>
      </w:r>
      <w:r w:rsidR="001D4AEC" w:rsidRPr="00EC1C08">
        <w:rPr>
          <w:b/>
          <w:sz w:val="28"/>
        </w:rPr>
        <w:t>Conference of the Parties to the ADR</w:t>
      </w:r>
    </w:p>
    <w:p w:rsidR="006C74F5" w:rsidRDefault="00636F0C" w:rsidP="006C74F5">
      <w:pPr>
        <w:pStyle w:val="SingleTxtG"/>
      </w:pPr>
      <w:r>
        <w:rPr>
          <w:lang w:val="fr-CH"/>
        </w:rPr>
        <w:t>T</w:t>
      </w:r>
      <w:r w:rsidRPr="00EC1C08">
        <w:t xml:space="preserve">he Conference of the Parties will be held on 13 May 2019, starting at </w:t>
      </w:r>
      <w:proofErr w:type="gramStart"/>
      <w:r w:rsidRPr="00EC1C08">
        <w:t>14:</w:t>
      </w:r>
      <w:proofErr w:type="gramEnd"/>
      <w:r w:rsidRPr="00EC1C08">
        <w:t>30</w:t>
      </w:r>
      <w:r>
        <w:rPr>
          <w:lang w:val="fr-CH"/>
        </w:rPr>
        <w:t xml:space="preserve">. </w:t>
      </w:r>
      <w:r w:rsidR="006C74F5" w:rsidRPr="00EC1C08">
        <w:t xml:space="preserve">All the documentation and information related to the Conference </w:t>
      </w:r>
      <w:r>
        <w:rPr>
          <w:lang w:val="fr-CH"/>
        </w:rPr>
        <w:t>are</w:t>
      </w:r>
      <w:r w:rsidR="006C74F5" w:rsidRPr="00EC1C08">
        <w:t xml:space="preserve"> available at: </w:t>
      </w:r>
      <w:bookmarkStart w:id="1" w:name="_Hlk2591794"/>
      <w:r w:rsidR="006C74F5">
        <w:fldChar w:fldCharType="begin"/>
      </w:r>
      <w:r w:rsidR="006C74F5">
        <w:instrText xml:space="preserve"> HYPERLINK "</w:instrText>
      </w:r>
      <w:r w:rsidR="006C74F5" w:rsidRPr="00EC1C08">
        <w:instrText>https://www.unece.org/index.php?id=51214</w:instrText>
      </w:r>
      <w:r w:rsidR="006C74F5">
        <w:instrText xml:space="preserve">" </w:instrText>
      </w:r>
      <w:r w:rsidR="006C74F5">
        <w:fldChar w:fldCharType="separate"/>
      </w:r>
      <w:r w:rsidR="006C74F5" w:rsidRPr="002415E7">
        <w:rPr>
          <w:rStyle w:val="Hyperlink"/>
        </w:rPr>
        <w:t>https://www.unece.org/index.php?id=51214</w:t>
      </w:r>
      <w:bookmarkEnd w:id="1"/>
      <w:r w:rsidR="006C74F5">
        <w:fldChar w:fldCharType="end"/>
      </w:r>
      <w:r w:rsidR="006C74F5" w:rsidRPr="00EC1C08">
        <w:t>.</w:t>
      </w:r>
    </w:p>
    <w:p w:rsidR="00BF0CF2" w:rsidRPr="00267B69" w:rsidRDefault="00BF0CF2" w:rsidP="00BF0CF2">
      <w:pPr>
        <w:pStyle w:val="HChG"/>
        <w:ind w:left="0" w:firstLine="0"/>
        <w:rPr>
          <w:lang w:val="en-GB"/>
        </w:rPr>
      </w:pPr>
      <w:r w:rsidRPr="00267B69">
        <w:rPr>
          <w:lang w:val="en-GB"/>
        </w:rPr>
        <w:tab/>
        <w:t>5.</w:t>
      </w:r>
      <w:r w:rsidRPr="00267B69">
        <w:rPr>
          <w:lang w:val="en-GB"/>
        </w:rPr>
        <w:tab/>
      </w:r>
      <w:r w:rsidR="0063012C">
        <w:t>Work of the RID/ADR/ADN Joint Meeting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C74F5" w:rsidRPr="00EC1C08" w:rsidTr="00D22D7E">
        <w:trPr>
          <w:cantSplit/>
        </w:trPr>
        <w:tc>
          <w:tcPr>
            <w:tcW w:w="3402" w:type="dxa"/>
            <w:shd w:val="clear" w:color="auto" w:fill="auto"/>
          </w:tcPr>
          <w:p w:rsidR="006C74F5" w:rsidRPr="00EC1C08" w:rsidRDefault="006C74F5" w:rsidP="00D22D7E">
            <w:pPr>
              <w:spacing w:after="60"/>
              <w:ind w:right="99"/>
            </w:pPr>
            <w:r w:rsidRPr="006C74F5">
              <w:t>ECE/TRANS/WP.15/AC.1/154</w:t>
            </w:r>
            <w:r w:rsidR="00E43BF2">
              <w:t>, Annex II</w:t>
            </w:r>
          </w:p>
        </w:tc>
        <w:tc>
          <w:tcPr>
            <w:tcW w:w="3969" w:type="dxa"/>
            <w:shd w:val="clear" w:color="auto" w:fill="auto"/>
          </w:tcPr>
          <w:p w:rsidR="006C74F5" w:rsidRPr="00EC1C08" w:rsidRDefault="006C74F5" w:rsidP="006C74F5">
            <w:pPr>
              <w:spacing w:after="60"/>
              <w:ind w:right="99"/>
            </w:pPr>
            <w:r w:rsidRPr="006C74F5">
              <w:t>Report of the Joint Meeting of the RID Committee of Experts and the Working Party on the Transport of Dangerous Goods on its spring 2019 session</w:t>
            </w:r>
            <w:r w:rsidR="00E43BF2">
              <w:t xml:space="preserve">, Annex II: </w:t>
            </w:r>
            <w:r w:rsidR="00E43BF2">
              <w:t>Draft amendments to RID, ADR and ADN for entry into force on 1 January 2021</w:t>
            </w:r>
          </w:p>
        </w:tc>
      </w:tr>
    </w:tbl>
    <w:p w:rsidR="006C74F5" w:rsidRPr="006C74F5" w:rsidRDefault="006C74F5" w:rsidP="006C74F5">
      <w:pPr>
        <w:pStyle w:val="SingleTxtG"/>
        <w:spacing w:before="120"/>
        <w:rPr>
          <w:i/>
          <w:iCs/>
          <w:lang w:val="en-GB"/>
        </w:rPr>
      </w:pPr>
      <w:r w:rsidRPr="006C74F5">
        <w:rPr>
          <w:i/>
          <w:iCs/>
          <w:lang w:val="en-GB"/>
        </w:rPr>
        <w:t>Available in English</w:t>
      </w:r>
      <w:r>
        <w:rPr>
          <w:i/>
          <w:iCs/>
          <w:lang w:val="en-GB"/>
        </w:rPr>
        <w:t xml:space="preserve"> and French</w:t>
      </w:r>
      <w:r w:rsidRPr="006C74F5">
        <w:rPr>
          <w:i/>
          <w:iCs/>
          <w:lang w:val="en-GB"/>
        </w:rPr>
        <w:t xml:space="preserve"> at </w:t>
      </w:r>
      <w:hyperlink r:id="rId8" w:history="1">
        <w:r w:rsidRPr="002415E7">
          <w:rPr>
            <w:rStyle w:val="Hyperlink"/>
            <w:i/>
            <w:iCs/>
            <w:lang w:val="en-GB"/>
          </w:rPr>
          <w:t>http://www.unece.org/trans/main/dgdb/ac1/ac1rep.html</w:t>
        </w:r>
      </w:hyperlink>
      <w:r>
        <w:rPr>
          <w:i/>
          <w:iCs/>
          <w:lang w:val="en-GB"/>
        </w:rPr>
        <w:t xml:space="preserve">. </w:t>
      </w:r>
      <w:r w:rsidR="00DB5C6F">
        <w:rPr>
          <w:i/>
          <w:iCs/>
          <w:lang w:val="en-GB"/>
        </w:rPr>
        <w:t>Russian version forthcoming.</w:t>
      </w:r>
    </w:p>
    <w:p w:rsidR="00BF0CF2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267B69">
        <w:rPr>
          <w:b/>
          <w:sz w:val="28"/>
        </w:rPr>
        <w:tab/>
        <w:t>6.</w:t>
      </w:r>
      <w:r w:rsidRPr="00267B69">
        <w:rPr>
          <w:b/>
          <w:sz w:val="28"/>
        </w:rPr>
        <w:tab/>
      </w:r>
      <w:r w:rsidR="0063012C" w:rsidRPr="0063012C">
        <w:rPr>
          <w:b/>
          <w:sz w:val="28"/>
        </w:rPr>
        <w:t>Proposals for amendments to annexes A and B of ADR</w:t>
      </w:r>
      <w:r w:rsidR="0063012C">
        <w:rPr>
          <w:b/>
          <w:sz w:val="28"/>
        </w:rPr>
        <w:t xml:space="preserve"> </w:t>
      </w:r>
      <w:r w:rsidRPr="00267B69">
        <w:rPr>
          <w:b/>
          <w:sz w:val="28"/>
        </w:rPr>
        <w:t>Interpretation of ADR</w:t>
      </w:r>
    </w:p>
    <w:p w:rsidR="0063012C" w:rsidRPr="0063012C" w:rsidRDefault="008D2334" w:rsidP="0063012C">
      <w:pPr>
        <w:pStyle w:val="H1G"/>
      </w:pPr>
      <w:r>
        <w:tab/>
      </w:r>
      <w:r w:rsidR="0063012C" w:rsidRPr="00267B69">
        <w:t>(a)</w:t>
      </w:r>
      <w:r w:rsidR="0063012C" w:rsidRPr="00267B69">
        <w:tab/>
        <w:t>Construction and approval of vehicles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812BD8" w:rsidRPr="00EC1C08" w:rsidTr="00405E5E">
        <w:trPr>
          <w:cantSplit/>
        </w:trPr>
        <w:tc>
          <w:tcPr>
            <w:tcW w:w="3402" w:type="dxa"/>
            <w:shd w:val="clear" w:color="auto" w:fill="auto"/>
          </w:tcPr>
          <w:p w:rsidR="00812BD8" w:rsidRDefault="00812BD8" w:rsidP="00405E5E">
            <w:pPr>
              <w:spacing w:after="60"/>
              <w:ind w:right="99"/>
            </w:pPr>
            <w:r w:rsidRPr="00EC1C08">
              <w:t>ECE/TRANS/WP.15/2019/1 (CEFIC)</w:t>
            </w:r>
          </w:p>
          <w:p w:rsidR="00812BD8" w:rsidRPr="00812BD8" w:rsidRDefault="00812BD8" w:rsidP="00405E5E">
            <w:pPr>
              <w:spacing w:after="60"/>
              <w:ind w:right="99"/>
              <w:rPr>
                <w:i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812BD8" w:rsidRPr="00EC1C08" w:rsidRDefault="00812BD8" w:rsidP="00405E5E">
            <w:pPr>
              <w:spacing w:after="60"/>
              <w:ind w:right="99"/>
            </w:pPr>
            <w:r w:rsidRPr="00EC1C08">
              <w:t xml:space="preserve">Temperature controlled transport in refrigerated containers - temperature monitoring in the driver’s cab – section 9.6.1 (c) in ADR </w:t>
            </w:r>
          </w:p>
        </w:tc>
      </w:tr>
      <w:tr w:rsidR="00812BD8" w:rsidRPr="00EC1C08" w:rsidTr="00EB1710">
        <w:trPr>
          <w:cantSplit/>
        </w:trPr>
        <w:tc>
          <w:tcPr>
            <w:tcW w:w="3402" w:type="dxa"/>
            <w:shd w:val="clear" w:color="auto" w:fill="auto"/>
          </w:tcPr>
          <w:p w:rsidR="00812BD8" w:rsidRPr="0097696C" w:rsidRDefault="00812BD8" w:rsidP="00EB1710">
            <w:pPr>
              <w:spacing w:after="60"/>
              <w:ind w:right="99"/>
            </w:pPr>
            <w:bookmarkStart w:id="2" w:name="_Hlk8313354"/>
            <w:r w:rsidRPr="0097696C">
              <w:t>ECE/TRANS/WP.15/2019/3</w:t>
            </w:r>
            <w:bookmarkEnd w:id="2"/>
            <w:r w:rsidRPr="0097696C">
              <w:t xml:space="preserve"> (Switzerland)</w:t>
            </w:r>
            <w:r w:rsidR="003E7397" w:rsidRPr="0097696C">
              <w:br/>
              <w:t>+ informal document INF.</w:t>
            </w:r>
            <w:r w:rsidR="0097696C" w:rsidRPr="0097696C">
              <w:t>15</w:t>
            </w:r>
            <w:r w:rsidR="003E7397" w:rsidRPr="0097696C">
              <w:t xml:space="preserve"> (Germany)</w:t>
            </w:r>
          </w:p>
        </w:tc>
        <w:tc>
          <w:tcPr>
            <w:tcW w:w="3969" w:type="dxa"/>
            <w:shd w:val="clear" w:color="auto" w:fill="auto"/>
          </w:tcPr>
          <w:p w:rsidR="00812BD8" w:rsidRPr="00EC1C08" w:rsidRDefault="00812BD8" w:rsidP="00EB1710">
            <w:pPr>
              <w:spacing w:after="60"/>
              <w:ind w:right="99"/>
            </w:pPr>
            <w:r w:rsidRPr="00EC1C08">
              <w:t>Proposal for clarification of the scope of 9.1.3.4</w:t>
            </w:r>
          </w:p>
        </w:tc>
      </w:tr>
      <w:tr w:rsidR="00F15436" w:rsidRPr="00EC1C08" w:rsidTr="00262FA1">
        <w:trPr>
          <w:cantSplit/>
        </w:trPr>
        <w:tc>
          <w:tcPr>
            <w:tcW w:w="3402" w:type="dxa"/>
            <w:shd w:val="clear" w:color="auto" w:fill="auto"/>
          </w:tcPr>
          <w:p w:rsidR="00F15436" w:rsidRPr="00EC1C08" w:rsidRDefault="00F15436" w:rsidP="00262FA1">
            <w:pPr>
              <w:spacing w:after="60"/>
              <w:ind w:right="99"/>
            </w:pPr>
            <w:r w:rsidRPr="00EC1C08">
              <w:t>Informal document INF.</w:t>
            </w:r>
            <w:r>
              <w:t>6</w:t>
            </w:r>
            <w:r w:rsidRPr="00EC1C08">
              <w:br/>
              <w:t>(</w:t>
            </w:r>
            <w:r>
              <w:t>Sweden</w:t>
            </w:r>
            <w:r w:rsidRPr="00EC1C08">
              <w:t>)</w:t>
            </w:r>
          </w:p>
        </w:tc>
        <w:tc>
          <w:tcPr>
            <w:tcW w:w="3969" w:type="dxa"/>
            <w:shd w:val="clear" w:color="auto" w:fill="auto"/>
          </w:tcPr>
          <w:p w:rsidR="00F15436" w:rsidRDefault="00F15436" w:rsidP="00262FA1">
            <w:pPr>
              <w:spacing w:after="60"/>
              <w:ind w:right="99"/>
            </w:pPr>
            <w:r w:rsidRPr="004A301A">
              <w:t xml:space="preserve">9.2.1 Braking system for EX/II vehicles of </w:t>
            </w:r>
            <w:r>
              <w:br/>
            </w:r>
            <w:r w:rsidRPr="004A301A">
              <w:t>categories O</w:t>
            </w:r>
            <w:r w:rsidRPr="004A301A">
              <w:rPr>
                <w:vertAlign w:val="subscript"/>
              </w:rPr>
              <w:t xml:space="preserve">1 </w:t>
            </w:r>
            <w:r w:rsidRPr="004A301A">
              <w:t>and O</w:t>
            </w:r>
            <w:r w:rsidRPr="004A301A">
              <w:rPr>
                <w:vertAlign w:val="subscript"/>
              </w:rPr>
              <w:t>2</w:t>
            </w:r>
          </w:p>
          <w:p w:rsidR="00F15436" w:rsidRPr="00EC1C08" w:rsidRDefault="00F15436" w:rsidP="00262FA1">
            <w:pPr>
              <w:spacing w:after="60"/>
              <w:ind w:right="99"/>
            </w:pPr>
          </w:p>
        </w:tc>
      </w:tr>
    </w:tbl>
    <w:p w:rsidR="00812BD8" w:rsidRPr="00812BD8" w:rsidRDefault="00812BD8" w:rsidP="00812BD8">
      <w:pPr>
        <w:pStyle w:val="SingleTxtG"/>
        <w:rPr>
          <w:i/>
          <w:iCs/>
        </w:rPr>
      </w:pPr>
      <w:r w:rsidRPr="00812BD8">
        <w:rPr>
          <w:i/>
          <w:iCs/>
        </w:rPr>
        <w:t xml:space="preserve">Note: </w:t>
      </w:r>
      <w:r w:rsidRPr="001A1D4B">
        <w:rPr>
          <w:i/>
          <w:iCs/>
          <w:lang w:val="en-GB"/>
        </w:rPr>
        <w:t>Documents ECE/TRANS/WP.15/2019/1</w:t>
      </w:r>
      <w:r w:rsidR="004732BE">
        <w:rPr>
          <w:i/>
          <w:iCs/>
          <w:lang w:val="en-GB"/>
        </w:rPr>
        <w:t xml:space="preserve"> and</w:t>
      </w:r>
      <w:r w:rsidRPr="001A1D4B">
        <w:rPr>
          <w:i/>
          <w:iCs/>
          <w:lang w:val="en-GB"/>
        </w:rPr>
        <w:t xml:space="preserve"> ECE/TRANS/WP.15/2019/3</w:t>
      </w:r>
      <w:r w:rsidR="004732BE">
        <w:rPr>
          <w:i/>
          <w:iCs/>
          <w:lang w:val="en-GB"/>
        </w:rPr>
        <w:t xml:space="preserve"> were</w:t>
      </w:r>
      <w:r w:rsidRPr="00812BD8">
        <w:rPr>
          <w:i/>
          <w:iCs/>
        </w:rPr>
        <w:t xml:space="preserve"> originally submitted under agenda item 6 (b)</w:t>
      </w:r>
    </w:p>
    <w:p w:rsidR="0063012C" w:rsidRDefault="008D2334" w:rsidP="0063012C">
      <w:pPr>
        <w:pStyle w:val="H1G"/>
      </w:pPr>
      <w:r>
        <w:tab/>
      </w:r>
      <w:r w:rsidR="0063012C" w:rsidRPr="00267B69">
        <w:t>(b)</w:t>
      </w:r>
      <w:r w:rsidR="0063012C" w:rsidRPr="00267B69">
        <w:tab/>
        <w:t>Miscellaneous proposals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1"/>
        <w:gridCol w:w="21"/>
        <w:gridCol w:w="3969"/>
      </w:tblGrid>
      <w:tr w:rsidR="001D4AEC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1D4AEC" w:rsidRDefault="001D4AEC" w:rsidP="00887D43">
            <w:pPr>
              <w:spacing w:after="60"/>
              <w:ind w:right="99"/>
            </w:pPr>
            <w:r w:rsidRPr="00EC1C08">
              <w:t>ECE/TRANS/WP.15/2019/2 (Switzerland)</w:t>
            </w:r>
          </w:p>
          <w:p w:rsidR="00DF4D79" w:rsidRPr="00DB5C6F" w:rsidRDefault="00DB5C6F" w:rsidP="00887D43">
            <w:pPr>
              <w:spacing w:after="60"/>
              <w:ind w:right="99"/>
              <w:rPr>
                <w:i/>
                <w:iCs/>
              </w:rPr>
            </w:pPr>
            <w:r>
              <w:rPr>
                <w:i/>
                <w:iCs/>
              </w:rPr>
              <w:t xml:space="preserve">Note: Scheduled for Tuesday 14 May. </w:t>
            </w:r>
          </w:p>
        </w:tc>
        <w:tc>
          <w:tcPr>
            <w:tcW w:w="3969" w:type="dxa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 xml:space="preserve">Transport by post of Class 7 excepted packages with limited activity </w:t>
            </w:r>
          </w:p>
        </w:tc>
      </w:tr>
      <w:tr w:rsidR="001D4AEC" w:rsidRPr="003E7397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1D4AEC" w:rsidRPr="003E7397" w:rsidRDefault="001D4AEC" w:rsidP="00887D43">
            <w:pPr>
              <w:spacing w:after="60"/>
              <w:ind w:right="99"/>
            </w:pPr>
            <w:r w:rsidRPr="003E7397">
              <w:t>ECE/TRANS/WP.15/2019/4 (Switzerland)</w:t>
            </w:r>
          </w:p>
        </w:tc>
        <w:tc>
          <w:tcPr>
            <w:tcW w:w="3969" w:type="dxa"/>
            <w:shd w:val="clear" w:color="auto" w:fill="auto"/>
          </w:tcPr>
          <w:p w:rsidR="001D4AEC" w:rsidRPr="003E7397" w:rsidRDefault="001D4AEC" w:rsidP="00887D43">
            <w:pPr>
              <w:spacing w:after="60"/>
              <w:ind w:right="99"/>
            </w:pPr>
            <w:r w:rsidRPr="003E7397">
              <w:t>Proposal to amend 5.4.1.1.1 (k), general information required in the transport document</w:t>
            </w:r>
          </w:p>
        </w:tc>
      </w:tr>
      <w:tr w:rsidR="007B249A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7B249A" w:rsidRPr="003E7397" w:rsidRDefault="007B249A" w:rsidP="00BD1EC6">
            <w:pPr>
              <w:spacing w:after="60"/>
              <w:ind w:right="99"/>
            </w:pPr>
            <w:r w:rsidRPr="003E7397">
              <w:lastRenderedPageBreak/>
              <w:t>ECE/TRANS/WP.15/2019/8 (Switzerland)</w:t>
            </w:r>
          </w:p>
        </w:tc>
        <w:tc>
          <w:tcPr>
            <w:tcW w:w="3969" w:type="dxa"/>
            <w:shd w:val="clear" w:color="auto" w:fill="auto"/>
          </w:tcPr>
          <w:p w:rsidR="007B249A" w:rsidRPr="00EC1C08" w:rsidRDefault="007B249A" w:rsidP="00BD1EC6">
            <w:pPr>
              <w:spacing w:after="60"/>
              <w:ind w:right="99"/>
            </w:pPr>
            <w:r w:rsidRPr="003E7397">
              <w:t>Information required in the transport document allowing passage through tunnels subject to restrictions</w:t>
            </w:r>
          </w:p>
        </w:tc>
      </w:tr>
      <w:tr w:rsidR="001D4AEC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ECE/TRANS/WP.15/2019/5 (IRU)</w:t>
            </w:r>
          </w:p>
        </w:tc>
        <w:tc>
          <w:tcPr>
            <w:tcW w:w="3969" w:type="dxa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 xml:space="preserve">Online refresher training for drivers of dangerous goods </w:t>
            </w:r>
          </w:p>
        </w:tc>
      </w:tr>
      <w:tr w:rsidR="001D4AEC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ECE/TRANS/WP.15/2019/6 (Switzerland)</w:t>
            </w:r>
          </w:p>
        </w:tc>
        <w:tc>
          <w:tcPr>
            <w:tcW w:w="3969" w:type="dxa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 xml:space="preserve">Proposal of amendment to special provision </w:t>
            </w:r>
            <w:r>
              <w:br/>
            </w:r>
            <w:r w:rsidRPr="00EC1C08">
              <w:t>363 (</w:t>
            </w:r>
            <w:r w:rsidRPr="00D51BF3">
              <w:rPr>
                <w:i/>
                <w:iCs/>
              </w:rPr>
              <w:t>l</w:t>
            </w:r>
            <w:r w:rsidRPr="00EC1C08">
              <w:t>)</w:t>
            </w:r>
          </w:p>
        </w:tc>
      </w:tr>
      <w:tr w:rsidR="001D4AEC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812BD8" w:rsidRPr="00EC1C08" w:rsidRDefault="001D4AEC" w:rsidP="00812BD8">
            <w:pPr>
              <w:spacing w:after="60"/>
              <w:ind w:right="99"/>
            </w:pPr>
            <w:r w:rsidRPr="00EC1C08">
              <w:t>ECE/TRANS/WP.15/2019/7 (Switzerland)</w:t>
            </w:r>
            <w:r w:rsidR="00812BD8">
              <w:br/>
              <w:t>+ i</w:t>
            </w:r>
            <w:r w:rsidR="00812BD8" w:rsidRPr="00EC1C08">
              <w:t>nformal document INF.</w:t>
            </w:r>
            <w:r w:rsidR="00812BD8">
              <w:t>7</w:t>
            </w:r>
            <w:r w:rsidR="00812BD8" w:rsidRPr="00EC1C08">
              <w:br/>
              <w:t>(</w:t>
            </w:r>
            <w:r w:rsidR="00812BD8">
              <w:t>Sweden</w:t>
            </w:r>
            <w:r w:rsidR="00812BD8" w:rsidRPr="00EC1C08">
              <w:t>)</w:t>
            </w:r>
          </w:p>
        </w:tc>
        <w:tc>
          <w:tcPr>
            <w:tcW w:w="3969" w:type="dxa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Marking of transport units and containers loaded with limited quantities</w:t>
            </w:r>
          </w:p>
        </w:tc>
      </w:tr>
      <w:tr w:rsidR="001D4AEC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ECE/TRANS/WP.15/2019/9 (Switzerland)</w:t>
            </w:r>
          </w:p>
        </w:tc>
        <w:tc>
          <w:tcPr>
            <w:tcW w:w="3969" w:type="dxa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Changes of the loaded products in tank-vehicles</w:t>
            </w:r>
          </w:p>
        </w:tc>
      </w:tr>
      <w:tr w:rsidR="001D4AEC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ECE/TRANS/WP.15/2019/10</w:t>
            </w:r>
            <w:r w:rsidRPr="00EC1C08">
              <w:br/>
              <w:t>(Finland and Sweden)</w:t>
            </w:r>
          </w:p>
        </w:tc>
        <w:tc>
          <w:tcPr>
            <w:tcW w:w="3969" w:type="dxa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More than one trailer (or semi-trailer) in a transport unit (8.1.1)</w:t>
            </w:r>
          </w:p>
        </w:tc>
      </w:tr>
      <w:tr w:rsidR="001D4AEC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7B249A" w:rsidRPr="00EC1C08" w:rsidRDefault="007B249A" w:rsidP="007B249A">
            <w:pPr>
              <w:spacing w:after="60"/>
              <w:ind w:right="99"/>
            </w:pPr>
            <w:r>
              <w:t>E</w:t>
            </w:r>
            <w:r w:rsidR="001D4AEC" w:rsidRPr="00EC1C08">
              <w:t>CE/TRANS/WP.15/2019/11 (Germany)</w:t>
            </w:r>
            <w:r>
              <w:br/>
              <w:t xml:space="preserve">+ informal document </w:t>
            </w:r>
            <w:r w:rsidR="003E7397">
              <w:t>INF.12 (France)</w:t>
            </w:r>
          </w:p>
        </w:tc>
        <w:tc>
          <w:tcPr>
            <w:tcW w:w="3969" w:type="dxa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Cross-sectional shapes of shells in accordance with 6.8.2.1.18</w:t>
            </w:r>
          </w:p>
        </w:tc>
      </w:tr>
      <w:tr w:rsidR="001D4AEC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ECE/TRANS/WP.15/2019/12 (Sweden)</w:t>
            </w:r>
          </w:p>
        </w:tc>
        <w:tc>
          <w:tcPr>
            <w:tcW w:w="3969" w:type="dxa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Chapter 8.5</w:t>
            </w:r>
            <w:r>
              <w:t xml:space="preserve">: </w:t>
            </w:r>
            <w:r w:rsidRPr="00EC1C08">
              <w:t>Additional requirements in S1(6), S16 and S21</w:t>
            </w:r>
          </w:p>
        </w:tc>
      </w:tr>
      <w:tr w:rsidR="001D4AEC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ECE/TRANS/WP.15/2019/13</w:t>
            </w:r>
            <w:r w:rsidRPr="00EC1C08">
              <w:br/>
              <w:t>(United Kingdom)</w:t>
            </w:r>
            <w:r w:rsidR="00BC5010">
              <w:br/>
              <w:t>+ informal document INF.14 (United Kingdom)</w:t>
            </w:r>
          </w:p>
        </w:tc>
        <w:tc>
          <w:tcPr>
            <w:tcW w:w="3969" w:type="dxa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Corrigendum for amendments related to the allocation of a transport category for Chemical and first aid kits (UN No. 3316)</w:t>
            </w:r>
          </w:p>
        </w:tc>
      </w:tr>
      <w:tr w:rsidR="001D4AEC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 xml:space="preserve">ECE/TRANS/WP.15/2019/14 </w:t>
            </w:r>
            <w:r w:rsidRPr="00EC1C08">
              <w:br/>
              <w:t>(United Kingdom)</w:t>
            </w:r>
          </w:p>
        </w:tc>
        <w:tc>
          <w:tcPr>
            <w:tcW w:w="3969" w:type="dxa"/>
            <w:shd w:val="clear" w:color="auto" w:fill="auto"/>
          </w:tcPr>
          <w:p w:rsidR="001D4AEC" w:rsidRPr="00EC1C08" w:rsidRDefault="001D4AEC" w:rsidP="00887D43">
            <w:pPr>
              <w:spacing w:after="60"/>
              <w:ind w:right="99"/>
            </w:pPr>
            <w:r w:rsidRPr="00EC1C08">
              <w:t>Proposal to define a normal cubic metre</w:t>
            </w:r>
          </w:p>
        </w:tc>
      </w:tr>
      <w:tr w:rsidR="007B249A" w:rsidRPr="00EC1C08" w:rsidTr="003E7397">
        <w:trPr>
          <w:cantSplit/>
        </w:trPr>
        <w:tc>
          <w:tcPr>
            <w:tcW w:w="3381" w:type="dxa"/>
            <w:shd w:val="clear" w:color="auto" w:fill="auto"/>
          </w:tcPr>
          <w:p w:rsidR="007B249A" w:rsidRPr="003E7397" w:rsidRDefault="007B249A" w:rsidP="001A4DBD">
            <w:pPr>
              <w:spacing w:after="60"/>
              <w:ind w:right="99"/>
            </w:pPr>
            <w:r w:rsidRPr="003E7397">
              <w:t>Informal document INF.4</w:t>
            </w:r>
            <w:r w:rsidRPr="003E7397">
              <w:br/>
              <w:t>(CEFIC)</w:t>
            </w:r>
          </w:p>
          <w:p w:rsidR="007B249A" w:rsidRPr="003E7397" w:rsidRDefault="007B249A" w:rsidP="001A4DBD">
            <w:pPr>
              <w:spacing w:after="60"/>
              <w:ind w:right="99"/>
            </w:pPr>
            <w:r w:rsidRPr="003E7397">
              <w:rPr>
                <w:i/>
                <w:iCs/>
              </w:rPr>
              <w:t xml:space="preserve">Note: </w:t>
            </w:r>
            <w:r w:rsidRPr="003E7397">
              <w:rPr>
                <w:i/>
                <w:iCs/>
              </w:rPr>
              <w:t>Was</w:t>
            </w:r>
            <w:r w:rsidRPr="003E7397">
              <w:rPr>
                <w:i/>
                <w:iCs/>
              </w:rPr>
              <w:t xml:space="preserve"> originally submitted under agenda item </w:t>
            </w:r>
            <w:r w:rsidRPr="003E7397">
              <w:rPr>
                <w:i/>
                <w:iCs/>
              </w:rPr>
              <w:t>7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7B249A" w:rsidRPr="00544504" w:rsidRDefault="007B249A" w:rsidP="001A4DBD">
            <w:pPr>
              <w:spacing w:after="60"/>
              <w:ind w:right="99"/>
            </w:pPr>
            <w:r w:rsidRPr="003E7397">
              <w:t>Certificate of driver's training – 8.2.2.8 ADR</w:t>
            </w:r>
          </w:p>
          <w:p w:rsidR="007B249A" w:rsidRPr="00EC1C08" w:rsidRDefault="007B249A" w:rsidP="001A4DBD">
            <w:pPr>
              <w:spacing w:after="60"/>
              <w:ind w:right="99"/>
            </w:pPr>
          </w:p>
        </w:tc>
      </w:tr>
      <w:tr w:rsidR="00F15436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F15436" w:rsidRPr="00EC1C08" w:rsidRDefault="00F15436" w:rsidP="00262FA1">
            <w:pPr>
              <w:spacing w:after="60"/>
              <w:ind w:right="99"/>
            </w:pPr>
            <w:r w:rsidRPr="00EC1C08">
              <w:t>Informal document INF.</w:t>
            </w:r>
            <w:r>
              <w:t>5</w:t>
            </w:r>
            <w:r w:rsidRPr="00EC1C08">
              <w:br/>
              <w:t>(</w:t>
            </w:r>
            <w:r>
              <w:t>Belarus</w:t>
            </w:r>
            <w:r w:rsidRPr="00EC1C08">
              <w:t>)</w:t>
            </w:r>
          </w:p>
        </w:tc>
        <w:tc>
          <w:tcPr>
            <w:tcW w:w="3969" w:type="dxa"/>
            <w:shd w:val="clear" w:color="auto" w:fill="auto"/>
          </w:tcPr>
          <w:p w:rsidR="00F15436" w:rsidRDefault="00F15436" w:rsidP="00262FA1">
            <w:pPr>
              <w:spacing w:after="60"/>
              <w:ind w:right="99"/>
            </w:pPr>
            <w:r>
              <w:rPr>
                <w:lang w:val="en-US"/>
              </w:rPr>
              <w:t>Proposal</w:t>
            </w:r>
            <w:r w:rsidRPr="00BB1B5D">
              <w:rPr>
                <w:lang w:val="en-US"/>
              </w:rPr>
              <w:t xml:space="preserve"> for adjusting the volume of fuel tanks installed on the transport unit</w:t>
            </w:r>
          </w:p>
          <w:p w:rsidR="00F15436" w:rsidRPr="00EC1C08" w:rsidRDefault="00F15436" w:rsidP="00262FA1">
            <w:pPr>
              <w:spacing w:after="60"/>
              <w:ind w:right="99"/>
            </w:pPr>
          </w:p>
        </w:tc>
      </w:tr>
      <w:tr w:rsidR="00D329C1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D329C1" w:rsidRPr="00EC1C08" w:rsidRDefault="00D329C1" w:rsidP="00262FA1">
            <w:pPr>
              <w:spacing w:after="60"/>
              <w:ind w:right="99"/>
            </w:pPr>
            <w:r w:rsidRPr="00EC1C08">
              <w:t>Informal document INF.</w:t>
            </w:r>
            <w:r>
              <w:t>9</w:t>
            </w:r>
            <w:r w:rsidRPr="00EC1C08">
              <w:br/>
              <w:t>(</w:t>
            </w:r>
            <w:r w:rsidRPr="00B05B87">
              <w:t>Luxembourg</w:t>
            </w:r>
            <w:r w:rsidRPr="00EC1C08">
              <w:t>)</w:t>
            </w:r>
          </w:p>
        </w:tc>
        <w:tc>
          <w:tcPr>
            <w:tcW w:w="3969" w:type="dxa"/>
            <w:shd w:val="clear" w:color="auto" w:fill="auto"/>
          </w:tcPr>
          <w:p w:rsidR="00D329C1" w:rsidRPr="00AE400B" w:rsidRDefault="00D329C1" w:rsidP="00D329C1">
            <w:pPr>
              <w:spacing w:after="60"/>
              <w:ind w:right="99"/>
              <w:rPr>
                <w:lang w:val="en-US"/>
              </w:rPr>
            </w:pPr>
            <w:r>
              <w:rPr>
                <w:lang w:val="en-US"/>
              </w:rPr>
              <w:t>Proposal</w:t>
            </w:r>
            <w:r w:rsidRPr="00BB1B5D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 xml:space="preserve">amendment of the exemption 1.1.3.1 </w:t>
            </w:r>
            <w:r w:rsidR="003711BC">
              <w:rPr>
                <w:lang w:val="en-US"/>
              </w:rPr>
              <w:t>(</w:t>
            </w:r>
            <w:r>
              <w:rPr>
                <w:lang w:val="en-US"/>
              </w:rPr>
              <w:t>c)</w:t>
            </w:r>
          </w:p>
          <w:p w:rsidR="00D329C1" w:rsidRPr="00D329C1" w:rsidRDefault="00D329C1" w:rsidP="00262FA1">
            <w:pPr>
              <w:spacing w:after="60"/>
              <w:ind w:right="99"/>
              <w:rPr>
                <w:lang w:val="en-US"/>
              </w:rPr>
            </w:pPr>
          </w:p>
        </w:tc>
      </w:tr>
      <w:tr w:rsidR="00D329C1" w:rsidRPr="00EC1C08" w:rsidTr="007B249A">
        <w:trPr>
          <w:cantSplit/>
        </w:trPr>
        <w:tc>
          <w:tcPr>
            <w:tcW w:w="3402" w:type="dxa"/>
            <w:gridSpan w:val="2"/>
            <w:shd w:val="clear" w:color="auto" w:fill="auto"/>
          </w:tcPr>
          <w:p w:rsidR="00D329C1" w:rsidRPr="00EC1C08" w:rsidRDefault="00D329C1" w:rsidP="00262FA1">
            <w:pPr>
              <w:spacing w:after="60"/>
              <w:ind w:right="99"/>
            </w:pPr>
            <w:r w:rsidRPr="00EC1C08">
              <w:t>Informal document INF.</w:t>
            </w:r>
            <w:r>
              <w:t>10</w:t>
            </w:r>
            <w:r w:rsidRPr="00EC1C08">
              <w:br/>
              <w:t>(</w:t>
            </w:r>
            <w:r w:rsidRPr="00B05B87">
              <w:t>Luxembourg</w:t>
            </w:r>
            <w:r w:rsidRPr="00EC1C08">
              <w:t>)</w:t>
            </w:r>
          </w:p>
        </w:tc>
        <w:tc>
          <w:tcPr>
            <w:tcW w:w="3969" w:type="dxa"/>
            <w:shd w:val="clear" w:color="auto" w:fill="auto"/>
          </w:tcPr>
          <w:p w:rsidR="00D329C1" w:rsidRDefault="00D329C1" w:rsidP="00D329C1">
            <w:pPr>
              <w:spacing w:after="60"/>
              <w:ind w:right="99"/>
              <w:rPr>
                <w:lang w:val="en-US"/>
              </w:rPr>
            </w:pPr>
            <w:r w:rsidRPr="005A5E3A">
              <w:rPr>
                <w:lang w:val="en-US"/>
              </w:rPr>
              <w:t>Proposal for amendment of the exemption 1.1.3.1</w:t>
            </w:r>
          </w:p>
        </w:tc>
      </w:tr>
    </w:tbl>
    <w:p w:rsidR="00BF0CF2" w:rsidRDefault="0063012C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 w:rsidR="00BF0CF2" w:rsidRPr="00267B69">
        <w:rPr>
          <w:b/>
          <w:sz w:val="28"/>
        </w:rPr>
        <w:t>7.</w:t>
      </w:r>
      <w:r w:rsidR="00BF0CF2" w:rsidRPr="00267B69">
        <w:rPr>
          <w:b/>
          <w:sz w:val="28"/>
        </w:rPr>
        <w:tab/>
      </w:r>
      <w:r w:rsidRPr="0063012C">
        <w:rPr>
          <w:b/>
          <w:sz w:val="28"/>
        </w:rPr>
        <w:t>Interpretation of ADR</w:t>
      </w:r>
    </w:p>
    <w:tbl>
      <w:tblPr>
        <w:tblW w:w="732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1"/>
        <w:gridCol w:w="3944"/>
      </w:tblGrid>
      <w:tr w:rsidR="00544504" w:rsidRPr="00EC1C08" w:rsidTr="00544504">
        <w:trPr>
          <w:cantSplit/>
        </w:trPr>
        <w:tc>
          <w:tcPr>
            <w:tcW w:w="3381" w:type="dxa"/>
            <w:shd w:val="clear" w:color="auto" w:fill="auto"/>
          </w:tcPr>
          <w:p w:rsidR="007B249A" w:rsidRPr="00575310" w:rsidRDefault="00544504" w:rsidP="00575310">
            <w:pPr>
              <w:spacing w:after="60"/>
              <w:ind w:right="99"/>
            </w:pPr>
            <w:r w:rsidRPr="00575310">
              <w:t>Informal document INF.3</w:t>
            </w:r>
            <w:r w:rsidRPr="00575310">
              <w:br/>
              <w:t>(Netherlands)</w:t>
            </w:r>
          </w:p>
        </w:tc>
        <w:tc>
          <w:tcPr>
            <w:tcW w:w="3944" w:type="dxa"/>
            <w:shd w:val="clear" w:color="auto" w:fill="auto"/>
          </w:tcPr>
          <w:p w:rsidR="00544504" w:rsidRDefault="00544504" w:rsidP="00262FA1">
            <w:pPr>
              <w:spacing w:after="60"/>
              <w:ind w:right="99"/>
            </w:pPr>
            <w:r w:rsidRPr="00575310">
              <w:t>Interpretation of the requirements for thermal insulation in 7.1.7.4.5 of ADR 2019</w:t>
            </w:r>
          </w:p>
          <w:p w:rsidR="00544504" w:rsidRPr="00EC1C08" w:rsidRDefault="00544504" w:rsidP="00262FA1">
            <w:pPr>
              <w:spacing w:after="60"/>
              <w:ind w:right="99"/>
            </w:pPr>
          </w:p>
        </w:tc>
      </w:tr>
      <w:tr w:rsidR="001A1D4B" w:rsidRPr="00EC1C08" w:rsidTr="00544504">
        <w:trPr>
          <w:cantSplit/>
        </w:trPr>
        <w:tc>
          <w:tcPr>
            <w:tcW w:w="3381" w:type="dxa"/>
            <w:shd w:val="clear" w:color="auto" w:fill="auto"/>
          </w:tcPr>
          <w:p w:rsidR="001A1D4B" w:rsidRPr="00EC1C08" w:rsidRDefault="001A1D4B" w:rsidP="00262FA1">
            <w:pPr>
              <w:spacing w:after="60"/>
              <w:ind w:right="99"/>
            </w:pPr>
            <w:r w:rsidRPr="00EC1C08">
              <w:t>Informal document INF.</w:t>
            </w:r>
            <w:r>
              <w:t>8</w:t>
            </w:r>
            <w:r w:rsidRPr="00EC1C08">
              <w:br/>
              <w:t>(</w:t>
            </w:r>
            <w:r>
              <w:t>France</w:t>
            </w:r>
            <w:r w:rsidRPr="00EC1C08">
              <w:t>)</w:t>
            </w:r>
          </w:p>
        </w:tc>
        <w:tc>
          <w:tcPr>
            <w:tcW w:w="3944" w:type="dxa"/>
            <w:shd w:val="clear" w:color="auto" w:fill="auto"/>
          </w:tcPr>
          <w:p w:rsidR="001A1D4B" w:rsidRPr="00AE400B" w:rsidRDefault="001A1D4B" w:rsidP="001A1D4B">
            <w:pPr>
              <w:spacing w:after="60"/>
              <w:ind w:right="99"/>
              <w:rPr>
                <w:lang w:val="en-US"/>
              </w:rPr>
            </w:pPr>
            <w:r>
              <w:rPr>
                <w:lang w:val="en-US"/>
              </w:rPr>
              <w:t>Use of a transport unit comprising a dolly-axle for a carriage according to</w:t>
            </w:r>
            <w:r w:rsidRPr="00AE400B">
              <w:rPr>
                <w:lang w:val="en-US"/>
              </w:rPr>
              <w:t xml:space="preserve"> </w:t>
            </w:r>
            <w:r>
              <w:rPr>
                <w:lang w:val="en-US"/>
              </w:rPr>
              <w:t>1.1.3.6 of ADR</w:t>
            </w:r>
          </w:p>
          <w:p w:rsidR="001A1D4B" w:rsidRPr="001A1D4B" w:rsidRDefault="001A1D4B" w:rsidP="00544504">
            <w:pPr>
              <w:spacing w:after="60"/>
              <w:ind w:right="99"/>
              <w:rPr>
                <w:lang w:val="en-US"/>
              </w:rPr>
            </w:pPr>
          </w:p>
        </w:tc>
      </w:tr>
      <w:tr w:rsidR="00D329C1" w:rsidRPr="00EC1C08" w:rsidTr="00544504">
        <w:trPr>
          <w:cantSplit/>
        </w:trPr>
        <w:tc>
          <w:tcPr>
            <w:tcW w:w="3381" w:type="dxa"/>
            <w:shd w:val="clear" w:color="auto" w:fill="auto"/>
          </w:tcPr>
          <w:p w:rsidR="00D329C1" w:rsidRPr="00EC1C08" w:rsidRDefault="00D329C1" w:rsidP="00262FA1">
            <w:pPr>
              <w:spacing w:after="60"/>
              <w:ind w:right="99"/>
            </w:pPr>
            <w:r w:rsidRPr="00EC1C08">
              <w:lastRenderedPageBreak/>
              <w:t>Informal document INF.</w:t>
            </w:r>
            <w:r>
              <w:t>11</w:t>
            </w:r>
            <w:r w:rsidRPr="00EC1C08">
              <w:br/>
              <w:t>(</w:t>
            </w:r>
            <w:r>
              <w:t>Lat</w:t>
            </w:r>
            <w:r w:rsidR="00F52C77">
              <w:t>vi</w:t>
            </w:r>
            <w:r>
              <w:t>a</w:t>
            </w:r>
            <w:r w:rsidRPr="00EC1C08">
              <w:t>)</w:t>
            </w:r>
          </w:p>
        </w:tc>
        <w:tc>
          <w:tcPr>
            <w:tcW w:w="3944" w:type="dxa"/>
            <w:shd w:val="clear" w:color="auto" w:fill="auto"/>
          </w:tcPr>
          <w:p w:rsidR="00D329C1" w:rsidRPr="00544504" w:rsidRDefault="00D329C1" w:rsidP="00544504">
            <w:pPr>
              <w:spacing w:after="60"/>
              <w:ind w:right="99"/>
            </w:pPr>
            <w:r w:rsidRPr="006D0E77">
              <w:t>Interpretation of the requirements for the vehicle certificate of approval – 9.1.3. ADR</w:t>
            </w:r>
          </w:p>
        </w:tc>
      </w:tr>
      <w:tr w:rsidR="004A6F63" w:rsidRPr="00EC1C08" w:rsidTr="00544504">
        <w:trPr>
          <w:cantSplit/>
        </w:trPr>
        <w:tc>
          <w:tcPr>
            <w:tcW w:w="3381" w:type="dxa"/>
            <w:shd w:val="clear" w:color="auto" w:fill="auto"/>
          </w:tcPr>
          <w:p w:rsidR="004A6F63" w:rsidRPr="00EC1C08" w:rsidRDefault="004A6F63" w:rsidP="00262FA1">
            <w:pPr>
              <w:spacing w:after="60"/>
              <w:ind w:right="99"/>
            </w:pPr>
            <w:r>
              <w:t>Informal document INF.13 (France)</w:t>
            </w:r>
          </w:p>
        </w:tc>
        <w:tc>
          <w:tcPr>
            <w:tcW w:w="3944" w:type="dxa"/>
            <w:shd w:val="clear" w:color="auto" w:fill="auto"/>
          </w:tcPr>
          <w:p w:rsidR="004A6F63" w:rsidRPr="006D0E77" w:rsidRDefault="004A6F63" w:rsidP="00544504">
            <w:pPr>
              <w:spacing w:after="60"/>
              <w:ind w:right="99"/>
            </w:pPr>
            <w:r>
              <w:t>Tunnel restrictions</w:t>
            </w:r>
          </w:p>
        </w:tc>
      </w:tr>
    </w:tbl>
    <w:p w:rsidR="00BF0CF2" w:rsidRPr="00267B69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267B69">
        <w:rPr>
          <w:b/>
          <w:sz w:val="28"/>
        </w:rPr>
        <w:tab/>
        <w:t>8.</w:t>
      </w:r>
      <w:r w:rsidRPr="00267B69">
        <w:rPr>
          <w:b/>
          <w:sz w:val="28"/>
        </w:rPr>
        <w:tab/>
      </w:r>
      <w:r w:rsidR="0063012C">
        <w:rPr>
          <w:b/>
          <w:sz w:val="28"/>
        </w:rPr>
        <w:t>Programme of work</w:t>
      </w:r>
    </w:p>
    <w:p w:rsidR="00BF0CF2" w:rsidRDefault="00BF0CF2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267B69">
        <w:rPr>
          <w:b/>
          <w:sz w:val="28"/>
        </w:rPr>
        <w:tab/>
        <w:t>9.</w:t>
      </w:r>
      <w:r w:rsidRPr="00267B69">
        <w:rPr>
          <w:b/>
          <w:sz w:val="28"/>
        </w:rPr>
        <w:tab/>
      </w:r>
      <w:r w:rsidR="0063012C">
        <w:rPr>
          <w:b/>
          <w:sz w:val="28"/>
        </w:rPr>
        <w:t>Any other business</w:t>
      </w:r>
    </w:p>
    <w:p w:rsidR="0063012C" w:rsidRPr="00267B69" w:rsidRDefault="0063012C" w:rsidP="00BF0CF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  <w:t>10.</w:t>
      </w:r>
      <w:r>
        <w:rPr>
          <w:b/>
          <w:sz w:val="28"/>
        </w:rPr>
        <w:tab/>
        <w:t>Adoption of the report</w:t>
      </w:r>
    </w:p>
    <w:p w:rsidR="00BF0CF2" w:rsidRPr="00267B69" w:rsidRDefault="00BF0CF2" w:rsidP="00BF0CF2">
      <w:pPr>
        <w:spacing w:before="240"/>
        <w:ind w:left="1134" w:right="1134"/>
        <w:jc w:val="center"/>
        <w:rPr>
          <w:b/>
          <w:u w:val="single"/>
        </w:rPr>
      </w:pPr>
      <w:r w:rsidRPr="00267B69">
        <w:rPr>
          <w:b/>
          <w:u w:val="single"/>
        </w:rPr>
        <w:tab/>
      </w:r>
      <w:r w:rsidRPr="00267B69">
        <w:rPr>
          <w:b/>
          <w:u w:val="single"/>
        </w:rPr>
        <w:tab/>
      </w:r>
      <w:r w:rsidRPr="00267B69">
        <w:rPr>
          <w:b/>
          <w:u w:val="single"/>
        </w:rPr>
        <w:tab/>
      </w:r>
    </w:p>
    <w:sectPr w:rsidR="00BF0CF2" w:rsidRPr="00267B69" w:rsidSect="0098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4D" w:rsidRDefault="0092434D"/>
  </w:endnote>
  <w:endnote w:type="continuationSeparator" w:id="0">
    <w:p w:rsidR="0092434D" w:rsidRDefault="0092434D"/>
  </w:endnote>
  <w:endnote w:type="continuationNotice" w:id="1">
    <w:p w:rsidR="0092434D" w:rsidRDefault="0092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4D" w:rsidRPr="000B175B" w:rsidRDefault="009243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34D" w:rsidRPr="00FC68B7" w:rsidRDefault="009243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434D" w:rsidRDefault="00924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617E96" w:rsidRDefault="0092434D">
    <w:pPr>
      <w:pStyle w:val="Header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16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62D9"/>
    <w:rsid w:val="000241F2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2C8C"/>
    <w:rsid w:val="000733B5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D3E3E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5971"/>
    <w:rsid w:val="00153C2C"/>
    <w:rsid w:val="00164FF7"/>
    <w:rsid w:val="00165F3A"/>
    <w:rsid w:val="0016663C"/>
    <w:rsid w:val="0017318C"/>
    <w:rsid w:val="00173696"/>
    <w:rsid w:val="00175E6F"/>
    <w:rsid w:val="00177C0F"/>
    <w:rsid w:val="001817D6"/>
    <w:rsid w:val="001A1D4B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7AC3"/>
    <w:rsid w:val="00210872"/>
    <w:rsid w:val="00210C59"/>
    <w:rsid w:val="00211E0B"/>
    <w:rsid w:val="00222DF8"/>
    <w:rsid w:val="00223A66"/>
    <w:rsid w:val="00224D92"/>
    <w:rsid w:val="00234DF2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769C"/>
    <w:rsid w:val="00282751"/>
    <w:rsid w:val="00284318"/>
    <w:rsid w:val="002864E1"/>
    <w:rsid w:val="00286B4D"/>
    <w:rsid w:val="0029372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229D8"/>
    <w:rsid w:val="003336F3"/>
    <w:rsid w:val="00352709"/>
    <w:rsid w:val="00353B6A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CB1"/>
    <w:rsid w:val="003E130E"/>
    <w:rsid w:val="003E7397"/>
    <w:rsid w:val="004021CB"/>
    <w:rsid w:val="004066A5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2BE"/>
    <w:rsid w:val="0047379F"/>
    <w:rsid w:val="0048397A"/>
    <w:rsid w:val="00485CBB"/>
    <w:rsid w:val="004866B7"/>
    <w:rsid w:val="004A27BC"/>
    <w:rsid w:val="004A2BD3"/>
    <w:rsid w:val="004A5098"/>
    <w:rsid w:val="004A6F63"/>
    <w:rsid w:val="004B1837"/>
    <w:rsid w:val="004B2EAF"/>
    <w:rsid w:val="004C2461"/>
    <w:rsid w:val="004C7462"/>
    <w:rsid w:val="004D0588"/>
    <w:rsid w:val="004D1404"/>
    <w:rsid w:val="004D33EE"/>
    <w:rsid w:val="004E6FFC"/>
    <w:rsid w:val="004E77B2"/>
    <w:rsid w:val="0050113C"/>
    <w:rsid w:val="00504B2D"/>
    <w:rsid w:val="0052136D"/>
    <w:rsid w:val="00522680"/>
    <w:rsid w:val="0052775E"/>
    <w:rsid w:val="0054034C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2BB6"/>
    <w:rsid w:val="00662CFB"/>
    <w:rsid w:val="006642B6"/>
    <w:rsid w:val="00672FDA"/>
    <w:rsid w:val="00675849"/>
    <w:rsid w:val="00676606"/>
    <w:rsid w:val="00684C21"/>
    <w:rsid w:val="006904BE"/>
    <w:rsid w:val="006924F6"/>
    <w:rsid w:val="00695084"/>
    <w:rsid w:val="006A2530"/>
    <w:rsid w:val="006A32FE"/>
    <w:rsid w:val="006A681C"/>
    <w:rsid w:val="006C1AF1"/>
    <w:rsid w:val="006C3589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47A9"/>
    <w:rsid w:val="00705894"/>
    <w:rsid w:val="00724C17"/>
    <w:rsid w:val="0072632A"/>
    <w:rsid w:val="007327D5"/>
    <w:rsid w:val="0073593C"/>
    <w:rsid w:val="00737E7A"/>
    <w:rsid w:val="00752B30"/>
    <w:rsid w:val="007629C8"/>
    <w:rsid w:val="0076669C"/>
    <w:rsid w:val="0077047D"/>
    <w:rsid w:val="007708A5"/>
    <w:rsid w:val="007851CB"/>
    <w:rsid w:val="007931F7"/>
    <w:rsid w:val="007A0D0E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271F"/>
    <w:rsid w:val="008C4B88"/>
    <w:rsid w:val="008D2334"/>
    <w:rsid w:val="008E0678"/>
    <w:rsid w:val="008E2D75"/>
    <w:rsid w:val="008E5914"/>
    <w:rsid w:val="008E6D2E"/>
    <w:rsid w:val="008E7508"/>
    <w:rsid w:val="008E7E09"/>
    <w:rsid w:val="008F31D2"/>
    <w:rsid w:val="008F6553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57EB6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A0830"/>
    <w:rsid w:val="009A0E8D"/>
    <w:rsid w:val="009A5C6E"/>
    <w:rsid w:val="009A6244"/>
    <w:rsid w:val="009A776B"/>
    <w:rsid w:val="009A7D9E"/>
    <w:rsid w:val="009B26E7"/>
    <w:rsid w:val="009D6B04"/>
    <w:rsid w:val="009E076B"/>
    <w:rsid w:val="009E7286"/>
    <w:rsid w:val="00A00697"/>
    <w:rsid w:val="00A00A3F"/>
    <w:rsid w:val="00A01489"/>
    <w:rsid w:val="00A046A3"/>
    <w:rsid w:val="00A144E6"/>
    <w:rsid w:val="00A3026E"/>
    <w:rsid w:val="00A32DEF"/>
    <w:rsid w:val="00A338F1"/>
    <w:rsid w:val="00A35BE0"/>
    <w:rsid w:val="00A4373C"/>
    <w:rsid w:val="00A54C24"/>
    <w:rsid w:val="00A568EC"/>
    <w:rsid w:val="00A6129C"/>
    <w:rsid w:val="00A6599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94361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6BDE"/>
    <w:rsid w:val="00BB3F2F"/>
    <w:rsid w:val="00BC3FA0"/>
    <w:rsid w:val="00BC5010"/>
    <w:rsid w:val="00BC74E9"/>
    <w:rsid w:val="00BD43A5"/>
    <w:rsid w:val="00BE3161"/>
    <w:rsid w:val="00BF0CF2"/>
    <w:rsid w:val="00BF2EF3"/>
    <w:rsid w:val="00BF48D9"/>
    <w:rsid w:val="00BF5486"/>
    <w:rsid w:val="00BF67DE"/>
    <w:rsid w:val="00BF68A8"/>
    <w:rsid w:val="00BF76F9"/>
    <w:rsid w:val="00C11A03"/>
    <w:rsid w:val="00C14EC4"/>
    <w:rsid w:val="00C17B9D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C2893"/>
    <w:rsid w:val="00CC5BC3"/>
    <w:rsid w:val="00CD1B04"/>
    <w:rsid w:val="00CD4AA6"/>
    <w:rsid w:val="00CD6BFA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562"/>
    <w:rsid w:val="00D773DF"/>
    <w:rsid w:val="00D858D0"/>
    <w:rsid w:val="00D95303"/>
    <w:rsid w:val="00D978C6"/>
    <w:rsid w:val="00DA1781"/>
    <w:rsid w:val="00DA3C1C"/>
    <w:rsid w:val="00DB12D7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64CFF"/>
    <w:rsid w:val="00E70BBC"/>
    <w:rsid w:val="00E71BC8"/>
    <w:rsid w:val="00E7260F"/>
    <w:rsid w:val="00E73F5D"/>
    <w:rsid w:val="00E77E4E"/>
    <w:rsid w:val="00E94ED4"/>
    <w:rsid w:val="00E96630"/>
    <w:rsid w:val="00E97BAF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5436"/>
    <w:rsid w:val="00F23D5B"/>
    <w:rsid w:val="00F259E5"/>
    <w:rsid w:val="00F31E5F"/>
    <w:rsid w:val="00F333A2"/>
    <w:rsid w:val="00F36F52"/>
    <w:rsid w:val="00F42032"/>
    <w:rsid w:val="00F52C77"/>
    <w:rsid w:val="00F55403"/>
    <w:rsid w:val="00F6100A"/>
    <w:rsid w:val="00F66C5E"/>
    <w:rsid w:val="00F71BEF"/>
    <w:rsid w:val="00F7208B"/>
    <w:rsid w:val="00F75087"/>
    <w:rsid w:val="00F8066F"/>
    <w:rsid w:val="00F87036"/>
    <w:rsid w:val="00F93781"/>
    <w:rsid w:val="00F95073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4:docId w14:val="5050F192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uiPriority w:val="99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dgdb/ac1/ac1rep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CD45-C29E-4BE9-8340-B33DC7EA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Editorial</cp:lastModifiedBy>
  <cp:revision>25</cp:revision>
  <cp:lastPrinted>2018-05-09T09:23:00Z</cp:lastPrinted>
  <dcterms:created xsi:type="dcterms:W3CDTF">2019-02-13T13:39:00Z</dcterms:created>
  <dcterms:modified xsi:type="dcterms:W3CDTF">2019-05-10T10:32:00Z</dcterms:modified>
</cp:coreProperties>
</file>