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236690" w14:paraId="1F571A0D" w14:textId="77777777" w:rsidTr="000216CC">
        <w:trPr>
          <w:trHeight w:val="851"/>
        </w:trPr>
        <w:tc>
          <w:tcPr>
            <w:tcW w:w="1259" w:type="dxa"/>
            <w:tcBorders>
              <w:top w:val="nil"/>
              <w:left w:val="nil"/>
              <w:bottom w:val="single" w:sz="4" w:space="0" w:color="auto"/>
              <w:right w:val="nil"/>
            </w:tcBorders>
            <w:shd w:val="clear" w:color="auto" w:fill="auto"/>
          </w:tcPr>
          <w:p w14:paraId="365D8BE0" w14:textId="77777777" w:rsidR="00446DE4" w:rsidRPr="0001748C"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3DCBD3D0" w14:textId="77777777" w:rsidR="00446DE4" w:rsidRPr="0001748C"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4F899852" w14:textId="2CE463D0" w:rsidR="00FC215C" w:rsidRPr="00236690" w:rsidRDefault="00FC215C" w:rsidP="00FC215C">
            <w:pPr>
              <w:jc w:val="right"/>
              <w:rPr>
                <w:b/>
                <w:sz w:val="40"/>
                <w:szCs w:val="40"/>
              </w:rPr>
            </w:pPr>
            <w:r w:rsidRPr="00236690">
              <w:rPr>
                <w:b/>
                <w:sz w:val="40"/>
                <w:szCs w:val="40"/>
              </w:rPr>
              <w:t>UN/SCEGHS/</w:t>
            </w:r>
            <w:r w:rsidR="00F64C95" w:rsidRPr="00236690">
              <w:rPr>
                <w:b/>
                <w:sz w:val="40"/>
                <w:szCs w:val="40"/>
              </w:rPr>
              <w:t>3</w:t>
            </w:r>
            <w:r w:rsidR="008869E3" w:rsidRPr="00236690">
              <w:rPr>
                <w:b/>
                <w:sz w:val="40"/>
                <w:szCs w:val="40"/>
              </w:rPr>
              <w:t>8</w:t>
            </w:r>
            <w:r w:rsidRPr="00236690">
              <w:rPr>
                <w:b/>
                <w:sz w:val="40"/>
                <w:szCs w:val="40"/>
              </w:rPr>
              <w:t>/INF.</w:t>
            </w:r>
            <w:r w:rsidR="00CC78DE" w:rsidRPr="00236690">
              <w:rPr>
                <w:b/>
                <w:sz w:val="40"/>
                <w:szCs w:val="40"/>
              </w:rPr>
              <w:t>4</w:t>
            </w:r>
            <w:r w:rsidR="001E428A" w:rsidRPr="00236690">
              <w:rPr>
                <w:b/>
                <w:sz w:val="40"/>
                <w:szCs w:val="40"/>
              </w:rPr>
              <w:t>/Rev.1</w:t>
            </w:r>
          </w:p>
          <w:p w14:paraId="6CA55FBF" w14:textId="77777777" w:rsidR="000216CC" w:rsidRPr="00236690" w:rsidRDefault="000216CC" w:rsidP="00497711">
            <w:pPr>
              <w:jc w:val="right"/>
            </w:pPr>
          </w:p>
        </w:tc>
      </w:tr>
    </w:tbl>
    <w:p w14:paraId="6B8F1B58" w14:textId="0979FC10" w:rsidR="000019B8" w:rsidRPr="0001748C" w:rsidRDefault="000019B8" w:rsidP="000019B8">
      <w:pPr>
        <w:rPr>
          <w:vanish/>
        </w:rPr>
      </w:pPr>
    </w:p>
    <w:tbl>
      <w:tblPr>
        <w:tblW w:w="9645" w:type="dxa"/>
        <w:tblInd w:w="108" w:type="dxa"/>
        <w:tblLayout w:type="fixed"/>
        <w:tblLook w:val="04A0" w:firstRow="1" w:lastRow="0" w:firstColumn="1" w:lastColumn="0" w:noHBand="0" w:noVBand="1"/>
      </w:tblPr>
      <w:tblGrid>
        <w:gridCol w:w="5387"/>
        <w:gridCol w:w="4258"/>
      </w:tblGrid>
      <w:tr w:rsidR="00645A0B" w:rsidRPr="00236690" w14:paraId="12A69354" w14:textId="77777777" w:rsidTr="00165735">
        <w:tc>
          <w:tcPr>
            <w:tcW w:w="9645" w:type="dxa"/>
            <w:gridSpan w:val="2"/>
            <w:tcMar>
              <w:top w:w="142" w:type="dxa"/>
              <w:left w:w="108" w:type="dxa"/>
              <w:bottom w:w="142" w:type="dxa"/>
              <w:right w:w="108" w:type="dxa"/>
            </w:tcMar>
          </w:tcPr>
          <w:p w14:paraId="6C18E8C4" w14:textId="6B2D1BB9" w:rsidR="00645A0B" w:rsidRPr="00236690" w:rsidRDefault="00645A0B" w:rsidP="001E428A">
            <w:pPr>
              <w:tabs>
                <w:tab w:val="right" w:pos="9214"/>
              </w:tabs>
            </w:pPr>
            <w:r w:rsidRPr="00236690">
              <w:rPr>
                <w:b/>
                <w:sz w:val="24"/>
                <w:szCs w:val="24"/>
              </w:rPr>
              <w:t>Committee of Experts on the Transport of Dangerous Goods</w:t>
            </w:r>
            <w:r w:rsidRPr="00236690">
              <w:rPr>
                <w:b/>
                <w:sz w:val="24"/>
                <w:szCs w:val="24"/>
              </w:rPr>
              <w:tab/>
            </w:r>
            <w:r w:rsidRPr="00236690">
              <w:rPr>
                <w:b/>
                <w:sz w:val="24"/>
                <w:szCs w:val="24"/>
              </w:rPr>
              <w:br/>
              <w:t>and on the Globally Harmonized System of Classification</w:t>
            </w:r>
            <w:r w:rsidRPr="00236690">
              <w:rPr>
                <w:b/>
                <w:sz w:val="24"/>
                <w:szCs w:val="24"/>
              </w:rPr>
              <w:br/>
              <w:t>and Labelling of Chemicals</w:t>
            </w:r>
            <w:r w:rsidRPr="00236690">
              <w:rPr>
                <w:b/>
              </w:rPr>
              <w:tab/>
            </w:r>
            <w:r w:rsidR="00236690" w:rsidRPr="00236690">
              <w:rPr>
                <w:b/>
              </w:rPr>
              <w:t>28</w:t>
            </w:r>
            <w:r w:rsidR="001E428A" w:rsidRPr="00236690">
              <w:rPr>
                <w:b/>
              </w:rPr>
              <w:t xml:space="preserve"> November</w:t>
            </w:r>
            <w:r w:rsidR="00CC78DE" w:rsidRPr="00236690">
              <w:rPr>
                <w:b/>
              </w:rPr>
              <w:t xml:space="preserve"> 20</w:t>
            </w:r>
            <w:r w:rsidR="004130AC" w:rsidRPr="00236690">
              <w:rPr>
                <w:b/>
              </w:rPr>
              <w:t>1</w:t>
            </w:r>
            <w:r w:rsidR="00F05690" w:rsidRPr="00236690">
              <w:rPr>
                <w:b/>
              </w:rPr>
              <w:t>9</w:t>
            </w:r>
          </w:p>
        </w:tc>
      </w:tr>
      <w:tr w:rsidR="00FB2CDB" w:rsidRPr="0001748C" w14:paraId="3B52342E" w14:textId="77777777" w:rsidTr="00B92989">
        <w:tc>
          <w:tcPr>
            <w:tcW w:w="5387" w:type="dxa"/>
            <w:tcMar>
              <w:top w:w="57" w:type="dxa"/>
              <w:left w:w="108" w:type="dxa"/>
              <w:bottom w:w="0" w:type="dxa"/>
              <w:right w:w="108" w:type="dxa"/>
            </w:tcMar>
            <w:vAlign w:val="center"/>
          </w:tcPr>
          <w:p w14:paraId="1B6EB531" w14:textId="77777777" w:rsidR="00FB2CDB" w:rsidRPr="00013CF9" w:rsidRDefault="00FB2CDB" w:rsidP="00A26040">
            <w:pPr>
              <w:spacing w:before="120"/>
              <w:rPr>
                <w:b/>
              </w:rPr>
            </w:pPr>
            <w:r w:rsidRPr="00013CF9">
              <w:rPr>
                <w:b/>
              </w:rPr>
              <w:t>Sub-Committee of Experts on the Globally Harmonized System of Classification and Labelling of Chemicals</w:t>
            </w:r>
          </w:p>
        </w:tc>
        <w:tc>
          <w:tcPr>
            <w:tcW w:w="4258" w:type="dxa"/>
            <w:tcMar>
              <w:top w:w="57" w:type="dxa"/>
              <w:left w:w="108" w:type="dxa"/>
              <w:bottom w:w="0" w:type="dxa"/>
              <w:right w:w="108" w:type="dxa"/>
            </w:tcMar>
            <w:vAlign w:val="center"/>
          </w:tcPr>
          <w:p w14:paraId="0129CAB5" w14:textId="77777777" w:rsidR="00FB2CDB" w:rsidRPr="0001748C" w:rsidRDefault="00FB2CDB" w:rsidP="00165735">
            <w:pPr>
              <w:spacing w:before="120"/>
              <w:rPr>
                <w:b/>
              </w:rPr>
            </w:pPr>
          </w:p>
        </w:tc>
      </w:tr>
      <w:tr w:rsidR="00FB2CDB" w:rsidRPr="0001748C" w14:paraId="2F8AC721" w14:textId="77777777" w:rsidTr="00B92989">
        <w:tc>
          <w:tcPr>
            <w:tcW w:w="5387" w:type="dxa"/>
            <w:tcMar>
              <w:top w:w="57" w:type="dxa"/>
              <w:left w:w="108" w:type="dxa"/>
              <w:bottom w:w="0" w:type="dxa"/>
              <w:right w:w="108" w:type="dxa"/>
            </w:tcMar>
          </w:tcPr>
          <w:p w14:paraId="5BA8ABEA" w14:textId="47507133" w:rsidR="00FB2CDB" w:rsidRPr="00013CF9" w:rsidRDefault="00FB2CDB" w:rsidP="008869E3">
            <w:pPr>
              <w:spacing w:before="120"/>
              <w:rPr>
                <w:b/>
              </w:rPr>
            </w:pPr>
            <w:r w:rsidRPr="00013CF9">
              <w:rPr>
                <w:b/>
              </w:rPr>
              <w:t>Thirty-</w:t>
            </w:r>
            <w:r w:rsidR="008869E3" w:rsidRPr="00013CF9">
              <w:rPr>
                <w:b/>
              </w:rPr>
              <w:t>eigh</w:t>
            </w:r>
            <w:r w:rsidR="004130AC" w:rsidRPr="00013CF9">
              <w:rPr>
                <w:b/>
              </w:rPr>
              <w:t>th</w:t>
            </w:r>
            <w:r w:rsidRPr="00013CF9">
              <w:rPr>
                <w:b/>
              </w:rPr>
              <w:t xml:space="preserve"> session</w:t>
            </w:r>
          </w:p>
        </w:tc>
        <w:tc>
          <w:tcPr>
            <w:tcW w:w="4258" w:type="dxa"/>
            <w:tcMar>
              <w:top w:w="57" w:type="dxa"/>
              <w:left w:w="108" w:type="dxa"/>
              <w:bottom w:w="0" w:type="dxa"/>
              <w:right w:w="108" w:type="dxa"/>
            </w:tcMar>
          </w:tcPr>
          <w:p w14:paraId="70D82831" w14:textId="77777777" w:rsidR="00FB2CDB" w:rsidRPr="0001748C" w:rsidRDefault="00FB2CDB" w:rsidP="000E23BE">
            <w:pPr>
              <w:spacing w:before="120"/>
              <w:rPr>
                <w:b/>
                <w:highlight w:val="yellow"/>
              </w:rPr>
            </w:pPr>
          </w:p>
        </w:tc>
      </w:tr>
      <w:tr w:rsidR="00FB2CDB" w:rsidRPr="0001748C" w14:paraId="5DAAF824" w14:textId="77777777" w:rsidTr="00B92989">
        <w:tc>
          <w:tcPr>
            <w:tcW w:w="5387" w:type="dxa"/>
            <w:tcMar>
              <w:top w:w="28" w:type="dxa"/>
              <w:left w:w="108" w:type="dxa"/>
              <w:bottom w:w="0" w:type="dxa"/>
              <w:right w:w="108" w:type="dxa"/>
            </w:tcMar>
          </w:tcPr>
          <w:p w14:paraId="21CC2E2D" w14:textId="77777777" w:rsidR="00CC78DE" w:rsidRDefault="00FB2CDB" w:rsidP="00CC78DE">
            <w:pPr>
              <w:jc w:val="both"/>
            </w:pPr>
            <w:r w:rsidRPr="0001748C">
              <w:t>Geneva,</w:t>
            </w:r>
            <w:r w:rsidR="004130AC">
              <w:t xml:space="preserve"> </w:t>
            </w:r>
            <w:r w:rsidR="00013CF9">
              <w:t>11</w:t>
            </w:r>
            <w:r w:rsidR="00F05690" w:rsidRPr="00013CF9">
              <w:t>-</w:t>
            </w:r>
            <w:r w:rsidR="00013CF9" w:rsidRPr="00013CF9">
              <w:t>13</w:t>
            </w:r>
            <w:r w:rsidR="00F05690" w:rsidRPr="00013CF9">
              <w:t xml:space="preserve"> December</w:t>
            </w:r>
            <w:r w:rsidR="004130AC" w:rsidRPr="00013CF9">
              <w:t xml:space="preserve"> 201</w:t>
            </w:r>
            <w:r w:rsidR="00F05690" w:rsidRPr="00013CF9">
              <w:t>9</w:t>
            </w:r>
            <w:r w:rsidR="004130AC">
              <w:t xml:space="preserve"> </w:t>
            </w:r>
          </w:p>
          <w:p w14:paraId="1705CA58" w14:textId="5DFBD94C" w:rsidR="00FB2CDB" w:rsidRPr="0001748C" w:rsidRDefault="00FB2CDB" w:rsidP="00CC78DE">
            <w:pPr>
              <w:rPr>
                <w:b/>
                <w:bCs/>
              </w:rPr>
            </w:pPr>
            <w:r w:rsidRPr="003A092C">
              <w:t xml:space="preserve">Item </w:t>
            </w:r>
            <w:r w:rsidR="000812A5" w:rsidRPr="003A092C">
              <w:t>2</w:t>
            </w:r>
            <w:r w:rsidRPr="003A092C">
              <w:t xml:space="preserve"> (</w:t>
            </w:r>
            <w:r w:rsidR="000812A5" w:rsidRPr="003A092C">
              <w:t>h</w:t>
            </w:r>
            <w:r w:rsidRPr="003A092C">
              <w:t>) of the</w:t>
            </w:r>
            <w:r w:rsidRPr="0001748C">
              <w:t xml:space="preserve"> provisional agenda</w:t>
            </w:r>
            <w:r w:rsidR="00CC78DE">
              <w:br/>
            </w:r>
            <w:r w:rsidR="000812A5" w:rsidRPr="000812A5">
              <w:rPr>
                <w:b/>
              </w:rPr>
              <w:t>Classification criteria and related hazard communication:</w:t>
            </w:r>
            <w:r w:rsidRPr="0001748C">
              <w:rPr>
                <w:b/>
              </w:rPr>
              <w:br/>
            </w:r>
            <w:r w:rsidR="00CC78DE">
              <w:rPr>
                <w:b/>
                <w:bCs/>
              </w:rPr>
              <w:t>o</w:t>
            </w:r>
            <w:r w:rsidR="000812A5">
              <w:rPr>
                <w:b/>
                <w:bCs/>
              </w:rPr>
              <w:t>ther issues</w:t>
            </w:r>
          </w:p>
        </w:tc>
        <w:tc>
          <w:tcPr>
            <w:tcW w:w="4258" w:type="dxa"/>
            <w:tcMar>
              <w:top w:w="28" w:type="dxa"/>
              <w:left w:w="108" w:type="dxa"/>
              <w:bottom w:w="0" w:type="dxa"/>
              <w:right w:w="108" w:type="dxa"/>
            </w:tcMar>
          </w:tcPr>
          <w:p w14:paraId="543057F3" w14:textId="77777777" w:rsidR="00FB2CDB" w:rsidRPr="0001748C" w:rsidRDefault="00FB2CDB" w:rsidP="00FB2CDB">
            <w:pPr>
              <w:spacing w:before="40"/>
              <w:rPr>
                <w:b/>
                <w:bCs/>
              </w:rPr>
            </w:pPr>
          </w:p>
        </w:tc>
      </w:tr>
    </w:tbl>
    <w:p w14:paraId="02FE6861" w14:textId="435008CB" w:rsidR="0001748C" w:rsidRPr="0001748C" w:rsidRDefault="000E23BE" w:rsidP="0001748C">
      <w:pPr>
        <w:pStyle w:val="HChG"/>
        <w:rPr>
          <w:lang w:val="en-GB"/>
        </w:rPr>
      </w:pPr>
      <w:r w:rsidRPr="0001748C">
        <w:rPr>
          <w:lang w:val="en-GB"/>
        </w:rPr>
        <w:tab/>
      </w:r>
      <w:r w:rsidRPr="0001748C">
        <w:rPr>
          <w:lang w:val="en-GB"/>
        </w:rPr>
        <w:tab/>
      </w:r>
      <w:r w:rsidR="000812A5" w:rsidRPr="000812A5">
        <w:rPr>
          <w:lang w:val="en-GB"/>
        </w:rPr>
        <w:t>Proposed clarification of ey</w:t>
      </w:r>
      <w:r w:rsidR="000812A5">
        <w:rPr>
          <w:lang w:val="en-GB"/>
        </w:rPr>
        <w:t>e irritation sub-categorization</w:t>
      </w:r>
    </w:p>
    <w:p w14:paraId="74F708E8" w14:textId="77777777" w:rsidR="000E23BE" w:rsidRPr="0001748C" w:rsidRDefault="000E23BE" w:rsidP="0001748C">
      <w:pPr>
        <w:pStyle w:val="H1G"/>
      </w:pPr>
      <w:r w:rsidRPr="0001748C">
        <w:tab/>
      </w:r>
      <w:r w:rsidRPr="0001748C">
        <w:tab/>
        <w:t xml:space="preserve">Transmitted by </w:t>
      </w:r>
      <w:r w:rsidR="00FB2CDB">
        <w:t>the expert from Australia</w:t>
      </w:r>
    </w:p>
    <w:p w14:paraId="4DAB2EB2" w14:textId="56C463E4" w:rsidR="00574716" w:rsidRDefault="0001748C" w:rsidP="000812A5">
      <w:pPr>
        <w:pStyle w:val="HChG"/>
        <w:rPr>
          <w:lang w:val="en-AU"/>
        </w:rPr>
      </w:pPr>
      <w:r w:rsidRPr="0001748C">
        <w:rPr>
          <w:rStyle w:val="H1GChar"/>
          <w:b/>
        </w:rPr>
        <w:tab/>
      </w:r>
      <w:r w:rsidRPr="0001748C">
        <w:rPr>
          <w:rStyle w:val="H1GChar"/>
          <w:b/>
        </w:rPr>
        <w:tab/>
      </w:r>
      <w:r w:rsidR="00574716" w:rsidRPr="009C26BF">
        <w:rPr>
          <w:lang w:val="en-AU"/>
        </w:rPr>
        <w:t>Background</w:t>
      </w:r>
    </w:p>
    <w:p w14:paraId="0DBA9FF5" w14:textId="4811E4A2" w:rsidR="00E778C8" w:rsidRPr="00236690" w:rsidRDefault="00236690" w:rsidP="00E778C8">
      <w:pPr>
        <w:pStyle w:val="SingleTxtG"/>
        <w:rPr>
          <w:i/>
          <w:iCs/>
          <w:lang w:val="en-AU"/>
        </w:rPr>
      </w:pPr>
      <w:r w:rsidRPr="00236690">
        <w:rPr>
          <w:b/>
          <w:bCs/>
          <w:i/>
          <w:iCs/>
          <w:lang w:val="en-AU"/>
        </w:rPr>
        <w:t>Note:</w:t>
      </w:r>
      <w:r>
        <w:rPr>
          <w:lang w:val="en-AU"/>
        </w:rPr>
        <w:t xml:space="preserve"> </w:t>
      </w:r>
      <w:r w:rsidR="00EB4543" w:rsidRPr="00236690">
        <w:rPr>
          <w:i/>
          <w:iCs/>
          <w:lang w:val="en-AU"/>
        </w:rPr>
        <w:t>F</w:t>
      </w:r>
      <w:r w:rsidR="000440B3" w:rsidRPr="00236690">
        <w:rPr>
          <w:i/>
          <w:iCs/>
          <w:lang w:val="en-AU"/>
        </w:rPr>
        <w:t xml:space="preserve">eedback </w:t>
      </w:r>
      <w:r w:rsidR="00EB4543" w:rsidRPr="00236690">
        <w:rPr>
          <w:i/>
          <w:iCs/>
          <w:lang w:val="en-AU"/>
        </w:rPr>
        <w:t xml:space="preserve">received </w:t>
      </w:r>
      <w:r w:rsidR="000440B3" w:rsidRPr="00236690">
        <w:rPr>
          <w:i/>
          <w:iCs/>
          <w:lang w:val="en-AU"/>
        </w:rPr>
        <w:t xml:space="preserve">from other delegations </w:t>
      </w:r>
      <w:r w:rsidR="00EB4543" w:rsidRPr="00236690">
        <w:rPr>
          <w:i/>
          <w:iCs/>
          <w:lang w:val="en-AU"/>
        </w:rPr>
        <w:t>in the lead up to the 38</w:t>
      </w:r>
      <w:r w:rsidR="00EB4543" w:rsidRPr="00236690">
        <w:rPr>
          <w:i/>
          <w:iCs/>
          <w:vertAlign w:val="superscript"/>
          <w:lang w:val="en-AU"/>
        </w:rPr>
        <w:t>th</w:t>
      </w:r>
      <w:r w:rsidR="00EB4543" w:rsidRPr="00236690">
        <w:rPr>
          <w:i/>
          <w:iCs/>
          <w:lang w:val="en-AU"/>
        </w:rPr>
        <w:t xml:space="preserve"> session has </w:t>
      </w:r>
      <w:r w:rsidR="000440B3" w:rsidRPr="00236690">
        <w:rPr>
          <w:i/>
          <w:iCs/>
          <w:lang w:val="en-AU"/>
        </w:rPr>
        <w:t>highli</w:t>
      </w:r>
      <w:r w:rsidR="00074785" w:rsidRPr="00236690">
        <w:rPr>
          <w:i/>
          <w:iCs/>
          <w:lang w:val="en-AU"/>
        </w:rPr>
        <w:t>ghted two errors</w:t>
      </w:r>
      <w:r w:rsidR="000440B3" w:rsidRPr="00236690">
        <w:rPr>
          <w:i/>
          <w:iCs/>
          <w:lang w:val="en-AU"/>
        </w:rPr>
        <w:t xml:space="preserve"> in </w:t>
      </w:r>
      <w:r w:rsidR="00074785" w:rsidRPr="00236690">
        <w:rPr>
          <w:i/>
          <w:iCs/>
          <w:lang w:val="en-AU"/>
        </w:rPr>
        <w:t xml:space="preserve">the </w:t>
      </w:r>
      <w:r w:rsidR="000440B3" w:rsidRPr="00236690">
        <w:rPr>
          <w:i/>
          <w:iCs/>
          <w:lang w:val="en-AU"/>
        </w:rPr>
        <w:t>table that follows paragraph 19</w:t>
      </w:r>
      <w:r w:rsidR="00EB4543" w:rsidRPr="00236690">
        <w:rPr>
          <w:i/>
          <w:iCs/>
          <w:lang w:val="en-AU"/>
        </w:rPr>
        <w:t xml:space="preserve"> of INF.4</w:t>
      </w:r>
      <w:r w:rsidR="000440B3" w:rsidRPr="00236690">
        <w:rPr>
          <w:i/>
          <w:iCs/>
          <w:lang w:val="en-AU"/>
        </w:rPr>
        <w:t xml:space="preserve">. </w:t>
      </w:r>
      <w:r w:rsidR="00E778C8" w:rsidRPr="00236690">
        <w:rPr>
          <w:i/>
          <w:iCs/>
        </w:rPr>
        <w:t>The differences in the proposed text presented in this document (INF.4</w:t>
      </w:r>
      <w:r>
        <w:rPr>
          <w:i/>
          <w:iCs/>
          <w:lang w:val="fr-CH"/>
        </w:rPr>
        <w:t>/</w:t>
      </w:r>
      <w:r w:rsidR="00E778C8" w:rsidRPr="00236690">
        <w:rPr>
          <w:i/>
          <w:iCs/>
        </w:rPr>
        <w:t xml:space="preserve">Rev.1) as compared to that presented in </w:t>
      </w:r>
      <w:proofErr w:type="spellStart"/>
      <w:r w:rsidRPr="00236690">
        <w:rPr>
          <w:i/>
          <w:iCs/>
          <w:lang w:val="fr-CH"/>
        </w:rPr>
        <w:t>informal</w:t>
      </w:r>
      <w:proofErr w:type="spellEnd"/>
      <w:r w:rsidRPr="00236690">
        <w:rPr>
          <w:i/>
          <w:iCs/>
          <w:lang w:val="fr-CH"/>
        </w:rPr>
        <w:t xml:space="preserve"> document </w:t>
      </w:r>
      <w:r w:rsidR="00E778C8" w:rsidRPr="00236690">
        <w:rPr>
          <w:i/>
          <w:iCs/>
        </w:rPr>
        <w:t xml:space="preserve">INF.4 are shown in </w:t>
      </w:r>
      <w:r w:rsidR="00E778C8" w:rsidRPr="00236690">
        <w:rPr>
          <w:i/>
          <w:iCs/>
          <w:color w:val="FF0000"/>
          <w:u w:val="single"/>
        </w:rPr>
        <w:t>red underlined</w:t>
      </w:r>
      <w:r w:rsidR="000440B3" w:rsidRPr="00236690">
        <w:rPr>
          <w:i/>
          <w:iCs/>
        </w:rPr>
        <w:t xml:space="preserve"> </w:t>
      </w:r>
      <w:r w:rsidR="00AA2A3F" w:rsidRPr="00236690">
        <w:rPr>
          <w:i/>
          <w:iCs/>
          <w:lang w:val="en-AU"/>
        </w:rPr>
        <w:t xml:space="preserve">text, while deleted text is shown in </w:t>
      </w:r>
      <w:r w:rsidR="00AA2A3F" w:rsidRPr="00236690">
        <w:rPr>
          <w:i/>
          <w:iCs/>
          <w:strike/>
          <w:lang w:val="en-AU"/>
        </w:rPr>
        <w:t>strikethrough</w:t>
      </w:r>
      <w:r w:rsidR="00AA2A3F" w:rsidRPr="00236690">
        <w:rPr>
          <w:i/>
          <w:iCs/>
          <w:lang w:val="en-AU"/>
        </w:rPr>
        <w:t>.</w:t>
      </w:r>
    </w:p>
    <w:p w14:paraId="226DD2E3" w14:textId="7460F385" w:rsidR="000812A5" w:rsidRPr="009337AD" w:rsidRDefault="000812A5" w:rsidP="000812A5">
      <w:pPr>
        <w:pStyle w:val="SingleTxtG"/>
        <w:numPr>
          <w:ilvl w:val="0"/>
          <w:numId w:val="22"/>
        </w:numPr>
        <w:ind w:left="1134" w:firstLine="0"/>
      </w:pPr>
      <w:r w:rsidRPr="006C619D">
        <w:t xml:space="preserve">Work in progress to </w:t>
      </w:r>
      <w:r w:rsidRPr="000812A5">
        <w:rPr>
          <w:lang w:val="en-AU"/>
        </w:rPr>
        <w:t>implement</w:t>
      </w:r>
      <w:r w:rsidRPr="006C619D">
        <w:t xml:space="preserve"> the seventh revised edition of the GHS in Australia has highlighted that the </w:t>
      </w:r>
      <w:r w:rsidRPr="008E4A40">
        <w:t xml:space="preserve">presentation of the classification criteria for </w:t>
      </w:r>
      <w:r>
        <w:t xml:space="preserve">Eye Irritation </w:t>
      </w:r>
      <w:r w:rsidRPr="008E4A40">
        <w:t>Category 2 in Chapter 3.3 of the GH</w:t>
      </w:r>
      <w:r w:rsidRPr="00F85175">
        <w:t xml:space="preserve">S </w:t>
      </w:r>
      <w:r>
        <w:t>is causing</w:t>
      </w:r>
      <w:r w:rsidRPr="00F85175">
        <w:t xml:space="preserve"> confusion for some classifiers</w:t>
      </w:r>
      <w:r>
        <w:t xml:space="preserve"> and is inconsistent with other health hazards</w:t>
      </w:r>
    </w:p>
    <w:p w14:paraId="6A400E9A" w14:textId="1080BC08" w:rsidR="000812A5" w:rsidRPr="008E4A40" w:rsidRDefault="000812A5" w:rsidP="000812A5">
      <w:pPr>
        <w:pStyle w:val="SingleTxtG"/>
        <w:numPr>
          <w:ilvl w:val="0"/>
          <w:numId w:val="22"/>
        </w:numPr>
        <w:ind w:left="1134" w:firstLine="0"/>
      </w:pPr>
      <w:r w:rsidRPr="00886861">
        <w:t xml:space="preserve">While this proposal is </w:t>
      </w:r>
      <w:r w:rsidRPr="000812A5">
        <w:rPr>
          <w:lang w:val="en-AU"/>
        </w:rPr>
        <w:t>not</w:t>
      </w:r>
      <w:r w:rsidRPr="00886861">
        <w:t xml:space="preserve"> related to or affected by the review of the </w:t>
      </w:r>
      <w:r w:rsidRPr="00714CBD">
        <w:t xml:space="preserve">Chapter being undertaken by the Working Group on </w:t>
      </w:r>
      <w:r w:rsidR="00945A4F">
        <w:rPr>
          <w:lang w:eastAsia="de-DE"/>
        </w:rPr>
        <w:t>u</w:t>
      </w:r>
      <w:r w:rsidRPr="00714CBD">
        <w:rPr>
          <w:lang w:eastAsia="de-DE"/>
        </w:rPr>
        <w:t>se of non-animal testing methods for classification of health hazards</w:t>
      </w:r>
      <w:r w:rsidRPr="006C619D">
        <w:t xml:space="preserve">, the review of the chapter provides an opportune time for the Sub-Committee to consider </w:t>
      </w:r>
      <w:r>
        <w:t>this</w:t>
      </w:r>
      <w:r w:rsidRPr="008E4A40">
        <w:t xml:space="preserve"> issue. </w:t>
      </w:r>
    </w:p>
    <w:p w14:paraId="367D165E" w14:textId="77777777" w:rsidR="000812A5" w:rsidRPr="009337AD" w:rsidRDefault="000812A5" w:rsidP="000812A5">
      <w:pPr>
        <w:pStyle w:val="SingleTxtG"/>
        <w:numPr>
          <w:ilvl w:val="0"/>
          <w:numId w:val="22"/>
        </w:numPr>
        <w:ind w:left="1134" w:firstLine="0"/>
      </w:pPr>
      <w:r w:rsidRPr="00F85175">
        <w:t xml:space="preserve">Chapter 3.3 of the GHS </w:t>
      </w:r>
      <w:r w:rsidRPr="009337AD">
        <w:t xml:space="preserve">sets out criteria for the classification of </w:t>
      </w:r>
      <w:r>
        <w:t>s</w:t>
      </w:r>
      <w:r w:rsidRPr="009337AD">
        <w:t xml:space="preserve">erious eye damage/eye irritation. Serious eye damage/eye irritation has the following categories. </w:t>
      </w:r>
    </w:p>
    <w:p w14:paraId="77CFE79E" w14:textId="2B1D6F75" w:rsidR="000812A5" w:rsidRPr="00CC78DE" w:rsidRDefault="00CC78DE" w:rsidP="00CC78DE">
      <w:pPr>
        <w:pStyle w:val="SingleTxtG"/>
        <w:ind w:left="1701"/>
        <w:rPr>
          <w:lang w:val="fr-CH"/>
        </w:rPr>
      </w:pPr>
      <w:r>
        <w:tab/>
      </w:r>
      <w:r>
        <w:rPr>
          <w:lang w:val="fr-CH"/>
        </w:rPr>
        <w:t>(a)</w:t>
      </w:r>
      <w:r>
        <w:tab/>
      </w:r>
      <w:r w:rsidR="000812A5" w:rsidRPr="00CC78DE">
        <w:t>Category 1 – Serious eye damage (irreversible effects on the eye)</w:t>
      </w:r>
      <w:r>
        <w:rPr>
          <w:lang w:val="fr-CH"/>
        </w:rPr>
        <w:t>;</w:t>
      </w:r>
    </w:p>
    <w:p w14:paraId="7DF57F92" w14:textId="23499D25" w:rsidR="000812A5" w:rsidRPr="00CC78DE" w:rsidRDefault="00CC78DE" w:rsidP="00CC78DE">
      <w:pPr>
        <w:pStyle w:val="SingleTxtG"/>
        <w:ind w:left="1701"/>
        <w:rPr>
          <w:lang w:val="fr-CH"/>
        </w:rPr>
      </w:pPr>
      <w:r>
        <w:tab/>
      </w:r>
      <w:r>
        <w:rPr>
          <w:lang w:val="fr-CH"/>
        </w:rPr>
        <w:t>(b)</w:t>
      </w:r>
      <w:r>
        <w:tab/>
      </w:r>
      <w:r w:rsidR="000812A5" w:rsidRPr="00CC78DE">
        <w:t>Category 2 – Eye irritation (reversible effects on the eye)</w:t>
      </w:r>
      <w:r>
        <w:rPr>
          <w:lang w:val="fr-CH"/>
        </w:rPr>
        <w:t>.</w:t>
      </w:r>
    </w:p>
    <w:p w14:paraId="4E2C08E3" w14:textId="77777777" w:rsidR="000812A5" w:rsidRPr="009337AD" w:rsidRDefault="000812A5" w:rsidP="000812A5">
      <w:pPr>
        <w:pStyle w:val="SingleTxtG"/>
        <w:numPr>
          <w:ilvl w:val="0"/>
          <w:numId w:val="22"/>
        </w:numPr>
        <w:ind w:left="1134" w:firstLine="0"/>
      </w:pPr>
      <w:r w:rsidRPr="00714CBD">
        <w:t xml:space="preserve">Paragraph 3.3.2.1.2.1 sets out that “substances </w:t>
      </w:r>
      <w:r w:rsidRPr="006C619D">
        <w:t xml:space="preserve">that have the potential to induce reversible eye irritation should be classified in Category 2 where further categorization into </w:t>
      </w:r>
      <w:r>
        <w:t>C</w:t>
      </w:r>
      <w:r w:rsidRPr="006C619D">
        <w:t xml:space="preserve">ategory 2A and Category 2B is not required by the competent authority or where </w:t>
      </w:r>
      <w:r w:rsidRPr="008E4A40">
        <w:t>data are not sufficient for further categorization.</w:t>
      </w:r>
      <w:r w:rsidRPr="00F85175">
        <w:t xml:space="preserve">” </w:t>
      </w:r>
    </w:p>
    <w:p w14:paraId="0A5DC841" w14:textId="77777777" w:rsidR="000812A5" w:rsidRPr="00714CBD" w:rsidRDefault="000812A5" w:rsidP="000812A5">
      <w:pPr>
        <w:pStyle w:val="SingleTxtG"/>
        <w:numPr>
          <w:ilvl w:val="0"/>
          <w:numId w:val="22"/>
        </w:numPr>
        <w:ind w:left="1134" w:firstLine="0"/>
      </w:pPr>
      <w:r w:rsidRPr="00886861">
        <w:t>Paragraph 3.3.2.1.2.2 sets out that “for authorities wanting more than one designation for reversible eye irrit</w:t>
      </w:r>
      <w:r w:rsidRPr="00714CBD">
        <w:t xml:space="preserve">ation, Categories 2A and 2B are </w:t>
      </w:r>
      <w:r w:rsidRPr="000812A5">
        <w:rPr>
          <w:lang w:val="en-AU"/>
        </w:rPr>
        <w:t>provided</w:t>
      </w:r>
      <w:r w:rsidRPr="00714CBD">
        <w:t xml:space="preserve">: </w:t>
      </w:r>
    </w:p>
    <w:p w14:paraId="4AD82CA5" w14:textId="2AF4AFF6" w:rsidR="000812A5" w:rsidRPr="00CC78DE" w:rsidRDefault="00CC78DE" w:rsidP="00CC78DE">
      <w:pPr>
        <w:pStyle w:val="SingleTxtG"/>
        <w:ind w:left="1701"/>
      </w:pPr>
      <w:r>
        <w:tab/>
      </w:r>
      <w:r>
        <w:rPr>
          <w:lang w:val="fr-CH"/>
        </w:rPr>
        <w:t>(a)</w:t>
      </w:r>
      <w:r>
        <w:tab/>
      </w:r>
      <w:r w:rsidR="000812A5" w:rsidRPr="00CC78DE">
        <w:t xml:space="preserve">Where data are sufficient and where required by a competent authority substances may be classified in Category 2A or 2B in accordance with criteria in Table 3.2.2; </w:t>
      </w:r>
    </w:p>
    <w:p w14:paraId="62359746" w14:textId="01A9200D" w:rsidR="000812A5" w:rsidRPr="00CC78DE" w:rsidRDefault="00CC78DE" w:rsidP="00CC78DE">
      <w:pPr>
        <w:pStyle w:val="SingleTxtG"/>
        <w:ind w:left="1701"/>
      </w:pPr>
      <w:r>
        <w:tab/>
      </w:r>
      <w:r>
        <w:rPr>
          <w:lang w:val="fr-CH"/>
        </w:rPr>
        <w:t>(b)</w:t>
      </w:r>
      <w:r>
        <w:tab/>
      </w:r>
      <w:r w:rsidR="000812A5" w:rsidRPr="00CC78DE">
        <w:t xml:space="preserve">For substances inducing eye irritant effects reversing within an observation time of normally 21 days, Category 2A applies. For substances inducing eye irritant effects reversing within an observation time of 7 days, Category 2B applies.” </w:t>
      </w:r>
    </w:p>
    <w:p w14:paraId="56ACB347" w14:textId="46764995" w:rsidR="000812A5" w:rsidRPr="00714CBD" w:rsidRDefault="000812A5" w:rsidP="001A173A">
      <w:pPr>
        <w:pStyle w:val="ListParagraph"/>
        <w:keepNext/>
        <w:keepLines/>
        <w:spacing w:after="80"/>
        <w:ind w:left="1134" w:right="1133"/>
        <w:jc w:val="center"/>
        <w:rPr>
          <w:b/>
          <w:sz w:val="20"/>
          <w:szCs w:val="20"/>
        </w:rPr>
      </w:pPr>
      <w:r w:rsidRPr="00714CBD">
        <w:rPr>
          <w:b/>
          <w:sz w:val="20"/>
          <w:szCs w:val="20"/>
        </w:rPr>
        <w:lastRenderedPageBreak/>
        <w:t>Table 3.3.2: Reversible effects on the eye categories</w:t>
      </w:r>
    </w:p>
    <w:tbl>
      <w:tblPr>
        <w:tblW w:w="7371" w:type="dxa"/>
        <w:tblInd w:w="1129"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560"/>
        <w:gridCol w:w="5811"/>
      </w:tblGrid>
      <w:tr w:rsidR="000812A5" w:rsidRPr="006C619D" w14:paraId="53EE707D" w14:textId="77777777" w:rsidTr="001A173A">
        <w:tc>
          <w:tcPr>
            <w:tcW w:w="1560" w:type="dxa"/>
            <w:tcBorders>
              <w:top w:val="single" w:sz="4" w:space="0" w:color="auto"/>
              <w:bottom w:val="single" w:sz="4" w:space="0" w:color="auto"/>
            </w:tcBorders>
          </w:tcPr>
          <w:p w14:paraId="3A667EDD" w14:textId="77777777" w:rsidR="000812A5" w:rsidRPr="00714CBD" w:rsidRDefault="000812A5" w:rsidP="000110A0">
            <w:pPr>
              <w:keepNext/>
              <w:keepLines/>
              <w:spacing w:before="40" w:after="40"/>
              <w:jc w:val="center"/>
              <w:rPr>
                <w:b/>
                <w:bCs/>
              </w:rPr>
            </w:pPr>
          </w:p>
        </w:tc>
        <w:tc>
          <w:tcPr>
            <w:tcW w:w="5811" w:type="dxa"/>
            <w:tcBorders>
              <w:top w:val="single" w:sz="4" w:space="0" w:color="auto"/>
              <w:bottom w:val="single" w:sz="4" w:space="0" w:color="auto"/>
            </w:tcBorders>
            <w:shd w:val="clear" w:color="auto" w:fill="auto"/>
            <w:vAlign w:val="center"/>
          </w:tcPr>
          <w:p w14:paraId="091DB67C" w14:textId="77777777" w:rsidR="000812A5" w:rsidRPr="00714CBD" w:rsidRDefault="000812A5" w:rsidP="000110A0">
            <w:pPr>
              <w:keepNext/>
              <w:keepLines/>
              <w:spacing w:before="40" w:after="40"/>
              <w:jc w:val="center"/>
              <w:rPr>
                <w:b/>
                <w:bCs/>
              </w:rPr>
            </w:pPr>
            <w:r w:rsidRPr="00714CBD">
              <w:rPr>
                <w:b/>
                <w:bCs/>
              </w:rPr>
              <w:t>Criteria</w:t>
            </w:r>
          </w:p>
        </w:tc>
      </w:tr>
      <w:tr w:rsidR="000812A5" w:rsidRPr="006C619D" w14:paraId="39059756" w14:textId="77777777" w:rsidTr="001A173A">
        <w:tc>
          <w:tcPr>
            <w:tcW w:w="1560" w:type="dxa"/>
            <w:tcBorders>
              <w:top w:val="single" w:sz="4" w:space="0" w:color="auto"/>
              <w:bottom w:val="single" w:sz="4" w:space="0" w:color="auto"/>
            </w:tcBorders>
          </w:tcPr>
          <w:p w14:paraId="7D5E4326" w14:textId="77777777" w:rsidR="000812A5" w:rsidRPr="00714CBD" w:rsidRDefault="000812A5" w:rsidP="000110A0">
            <w:pPr>
              <w:keepNext/>
              <w:keepLines/>
              <w:spacing w:before="40" w:after="40"/>
              <w:jc w:val="center"/>
              <w:rPr>
                <w:b/>
                <w:bCs/>
              </w:rPr>
            </w:pPr>
          </w:p>
        </w:tc>
        <w:tc>
          <w:tcPr>
            <w:tcW w:w="5811" w:type="dxa"/>
            <w:tcBorders>
              <w:top w:val="single" w:sz="4" w:space="0" w:color="auto"/>
              <w:bottom w:val="single" w:sz="4" w:space="0" w:color="auto"/>
            </w:tcBorders>
            <w:shd w:val="clear" w:color="auto" w:fill="auto"/>
            <w:vAlign w:val="center"/>
          </w:tcPr>
          <w:p w14:paraId="2442FD8C" w14:textId="77777777" w:rsidR="000812A5" w:rsidRPr="00714CBD" w:rsidRDefault="000812A5" w:rsidP="000110A0">
            <w:pPr>
              <w:keepNext/>
              <w:keepLines/>
              <w:spacing w:before="40" w:after="40"/>
              <w:rPr>
                <w:bCs/>
              </w:rPr>
            </w:pPr>
            <w:r w:rsidRPr="00714CBD">
              <w:t>Substances that have the potential to induce reversible eye irritation</w:t>
            </w:r>
          </w:p>
        </w:tc>
      </w:tr>
      <w:tr w:rsidR="000812A5" w:rsidRPr="006C619D" w14:paraId="15666048" w14:textId="77777777" w:rsidTr="001A173A">
        <w:tc>
          <w:tcPr>
            <w:tcW w:w="1560" w:type="dxa"/>
            <w:vMerge w:val="restart"/>
            <w:tcBorders>
              <w:top w:val="single" w:sz="4" w:space="0" w:color="auto"/>
              <w:bottom w:val="single" w:sz="4" w:space="0" w:color="auto"/>
            </w:tcBorders>
          </w:tcPr>
          <w:p w14:paraId="268B8FEA" w14:textId="77777777" w:rsidR="000812A5" w:rsidRPr="00714CBD" w:rsidRDefault="000812A5" w:rsidP="000110A0">
            <w:pPr>
              <w:keepNext/>
              <w:keepLines/>
              <w:tabs>
                <w:tab w:val="left" w:pos="432"/>
              </w:tabs>
              <w:spacing w:before="40" w:after="40"/>
              <w:rPr>
                <w:b/>
              </w:rPr>
            </w:pPr>
            <w:r w:rsidRPr="00714CBD">
              <w:rPr>
                <w:b/>
              </w:rPr>
              <w:t>Category 2/2A</w:t>
            </w:r>
          </w:p>
        </w:tc>
        <w:tc>
          <w:tcPr>
            <w:tcW w:w="5811" w:type="dxa"/>
            <w:tcBorders>
              <w:top w:val="single" w:sz="4" w:space="0" w:color="auto"/>
              <w:bottom w:val="nil"/>
            </w:tcBorders>
            <w:shd w:val="clear" w:color="auto" w:fill="auto"/>
          </w:tcPr>
          <w:p w14:paraId="531CDD65" w14:textId="77777777" w:rsidR="000812A5" w:rsidRPr="00714CBD" w:rsidRDefault="000812A5" w:rsidP="000110A0">
            <w:pPr>
              <w:keepNext/>
              <w:keepLines/>
              <w:tabs>
                <w:tab w:val="left" w:pos="432"/>
              </w:tabs>
              <w:spacing w:before="40" w:after="40"/>
              <w:rPr>
                <w:bCs/>
              </w:rPr>
            </w:pPr>
            <w:r w:rsidRPr="00714CBD">
              <w:t>Substances that produce in at least 2 of 3 tested animals a positive response of:</w:t>
            </w:r>
          </w:p>
        </w:tc>
      </w:tr>
      <w:tr w:rsidR="000812A5" w:rsidRPr="006C619D" w14:paraId="7002AFA4" w14:textId="77777777" w:rsidTr="001A173A">
        <w:tc>
          <w:tcPr>
            <w:tcW w:w="1560" w:type="dxa"/>
            <w:vMerge/>
            <w:tcBorders>
              <w:top w:val="single" w:sz="4" w:space="0" w:color="auto"/>
              <w:bottom w:val="single" w:sz="4" w:space="0" w:color="auto"/>
            </w:tcBorders>
          </w:tcPr>
          <w:p w14:paraId="138875E9" w14:textId="77777777" w:rsidR="000812A5" w:rsidRPr="00714CBD" w:rsidRDefault="000812A5" w:rsidP="000110A0">
            <w:pPr>
              <w:keepNext/>
              <w:keepLines/>
              <w:spacing w:before="40" w:after="40"/>
              <w:ind w:left="792" w:hanging="360"/>
            </w:pPr>
          </w:p>
        </w:tc>
        <w:tc>
          <w:tcPr>
            <w:tcW w:w="5811" w:type="dxa"/>
            <w:tcBorders>
              <w:top w:val="nil"/>
            </w:tcBorders>
            <w:shd w:val="clear" w:color="auto" w:fill="auto"/>
          </w:tcPr>
          <w:p w14:paraId="7520379E" w14:textId="77777777" w:rsidR="000812A5" w:rsidRPr="00714CBD" w:rsidRDefault="000812A5" w:rsidP="000110A0">
            <w:pPr>
              <w:keepNext/>
              <w:keepLines/>
              <w:spacing w:before="40" w:after="40"/>
              <w:ind w:left="459" w:hanging="426"/>
              <w:rPr>
                <w:bCs/>
              </w:rPr>
            </w:pPr>
            <w:r w:rsidRPr="00714CBD">
              <w:t>(a)</w:t>
            </w:r>
            <w:r w:rsidRPr="00714CBD">
              <w:tab/>
              <w:t xml:space="preserve">corneal opacity </w:t>
            </w:r>
            <w:r w:rsidRPr="00714CBD">
              <w:sym w:font="Symbol" w:char="F0B3"/>
            </w:r>
            <w:r w:rsidRPr="00714CBD">
              <w:t xml:space="preserve"> 1; and/or</w:t>
            </w:r>
          </w:p>
        </w:tc>
      </w:tr>
      <w:tr w:rsidR="000812A5" w:rsidRPr="006C619D" w14:paraId="6D2F936D" w14:textId="77777777" w:rsidTr="001A173A">
        <w:tc>
          <w:tcPr>
            <w:tcW w:w="1560" w:type="dxa"/>
            <w:vMerge/>
            <w:tcBorders>
              <w:top w:val="single" w:sz="4" w:space="0" w:color="auto"/>
              <w:bottom w:val="single" w:sz="4" w:space="0" w:color="auto"/>
            </w:tcBorders>
          </w:tcPr>
          <w:p w14:paraId="32192189" w14:textId="77777777" w:rsidR="000812A5" w:rsidRPr="00714CBD" w:rsidRDefault="000812A5" w:rsidP="000110A0">
            <w:pPr>
              <w:keepNext/>
              <w:keepLines/>
              <w:spacing w:before="40" w:after="40"/>
              <w:ind w:left="792" w:hanging="360"/>
            </w:pPr>
          </w:p>
        </w:tc>
        <w:tc>
          <w:tcPr>
            <w:tcW w:w="5811" w:type="dxa"/>
            <w:shd w:val="clear" w:color="auto" w:fill="auto"/>
          </w:tcPr>
          <w:p w14:paraId="09286176" w14:textId="77777777" w:rsidR="000812A5" w:rsidRPr="00714CBD" w:rsidRDefault="000812A5" w:rsidP="000110A0">
            <w:pPr>
              <w:keepNext/>
              <w:keepLines/>
              <w:spacing w:before="40" w:after="40"/>
              <w:ind w:left="459" w:hanging="426"/>
            </w:pPr>
            <w:r w:rsidRPr="00714CBD">
              <w:t>(b)</w:t>
            </w:r>
            <w:r w:rsidRPr="00714CBD">
              <w:tab/>
              <w:t xml:space="preserve">iritis </w:t>
            </w:r>
            <w:r w:rsidRPr="00714CBD">
              <w:sym w:font="Symbol" w:char="F0B3"/>
            </w:r>
            <w:r w:rsidRPr="00714CBD">
              <w:t xml:space="preserve"> 1; and/or</w:t>
            </w:r>
          </w:p>
        </w:tc>
      </w:tr>
      <w:tr w:rsidR="000812A5" w:rsidRPr="006C619D" w14:paraId="15BD27F4" w14:textId="77777777" w:rsidTr="001A173A">
        <w:tc>
          <w:tcPr>
            <w:tcW w:w="1560" w:type="dxa"/>
            <w:vMerge/>
            <w:tcBorders>
              <w:top w:val="single" w:sz="4" w:space="0" w:color="auto"/>
              <w:bottom w:val="single" w:sz="4" w:space="0" w:color="auto"/>
            </w:tcBorders>
          </w:tcPr>
          <w:p w14:paraId="5537B934" w14:textId="77777777" w:rsidR="000812A5" w:rsidRPr="00714CBD" w:rsidRDefault="000812A5" w:rsidP="000110A0">
            <w:pPr>
              <w:keepNext/>
              <w:keepLines/>
              <w:spacing w:before="40" w:after="40"/>
              <w:ind w:left="792" w:hanging="360"/>
            </w:pPr>
          </w:p>
        </w:tc>
        <w:tc>
          <w:tcPr>
            <w:tcW w:w="5811" w:type="dxa"/>
            <w:shd w:val="clear" w:color="auto" w:fill="auto"/>
          </w:tcPr>
          <w:p w14:paraId="55C8DC6D" w14:textId="77777777" w:rsidR="000812A5" w:rsidRPr="00714CBD" w:rsidRDefault="000812A5" w:rsidP="000110A0">
            <w:pPr>
              <w:keepNext/>
              <w:keepLines/>
              <w:spacing w:before="40" w:after="40"/>
              <w:ind w:left="459" w:hanging="426"/>
            </w:pPr>
            <w:r w:rsidRPr="00714CBD">
              <w:t>(c)</w:t>
            </w:r>
            <w:r w:rsidRPr="00714CBD">
              <w:tab/>
              <w:t xml:space="preserve">conjunctival redness </w:t>
            </w:r>
            <w:r w:rsidRPr="00714CBD">
              <w:sym w:font="Symbol" w:char="F0B3"/>
            </w:r>
            <w:r w:rsidRPr="00714CBD">
              <w:t xml:space="preserve"> 2; and/or</w:t>
            </w:r>
          </w:p>
        </w:tc>
      </w:tr>
      <w:tr w:rsidR="000812A5" w:rsidRPr="006C619D" w14:paraId="046696A7" w14:textId="77777777" w:rsidTr="001A173A">
        <w:tc>
          <w:tcPr>
            <w:tcW w:w="1560" w:type="dxa"/>
            <w:vMerge/>
            <w:tcBorders>
              <w:top w:val="single" w:sz="4" w:space="0" w:color="auto"/>
              <w:bottom w:val="single" w:sz="4" w:space="0" w:color="auto"/>
            </w:tcBorders>
          </w:tcPr>
          <w:p w14:paraId="14B273C4" w14:textId="77777777" w:rsidR="000812A5" w:rsidRPr="00714CBD" w:rsidRDefault="000812A5" w:rsidP="000110A0">
            <w:pPr>
              <w:keepNext/>
              <w:keepLines/>
              <w:spacing w:before="40" w:after="40"/>
              <w:ind w:left="792" w:hanging="360"/>
            </w:pPr>
          </w:p>
        </w:tc>
        <w:tc>
          <w:tcPr>
            <w:tcW w:w="5811" w:type="dxa"/>
            <w:shd w:val="clear" w:color="auto" w:fill="auto"/>
          </w:tcPr>
          <w:p w14:paraId="1D0FDB8E" w14:textId="77777777" w:rsidR="000812A5" w:rsidRPr="00714CBD" w:rsidRDefault="000812A5" w:rsidP="000110A0">
            <w:pPr>
              <w:keepNext/>
              <w:keepLines/>
              <w:spacing w:before="40" w:after="40"/>
              <w:ind w:left="459" w:hanging="426"/>
            </w:pPr>
            <w:r w:rsidRPr="00714CBD">
              <w:t>(d)</w:t>
            </w:r>
            <w:r w:rsidRPr="00714CBD">
              <w:tab/>
              <w:t xml:space="preserve">conjunctival oedema (chemosis) </w:t>
            </w:r>
            <w:r w:rsidRPr="00714CBD">
              <w:sym w:font="Symbol" w:char="F0B3"/>
            </w:r>
            <w:r w:rsidRPr="00714CBD">
              <w:t xml:space="preserve"> 2</w:t>
            </w:r>
          </w:p>
        </w:tc>
      </w:tr>
      <w:tr w:rsidR="000812A5" w:rsidRPr="006C619D" w14:paraId="3D4F100E" w14:textId="77777777" w:rsidTr="001A173A">
        <w:tc>
          <w:tcPr>
            <w:tcW w:w="1560" w:type="dxa"/>
            <w:vMerge/>
            <w:tcBorders>
              <w:top w:val="single" w:sz="4" w:space="0" w:color="auto"/>
              <w:bottom w:val="single" w:sz="4" w:space="0" w:color="auto"/>
            </w:tcBorders>
          </w:tcPr>
          <w:p w14:paraId="6EAE43C1" w14:textId="77777777" w:rsidR="000812A5" w:rsidRPr="00714CBD" w:rsidRDefault="000812A5" w:rsidP="000110A0">
            <w:pPr>
              <w:keepNext/>
              <w:keepLines/>
              <w:spacing w:before="40" w:after="40"/>
              <w:ind w:left="432" w:hanging="432"/>
            </w:pPr>
          </w:p>
        </w:tc>
        <w:tc>
          <w:tcPr>
            <w:tcW w:w="5811" w:type="dxa"/>
            <w:tcBorders>
              <w:bottom w:val="single" w:sz="4" w:space="0" w:color="auto"/>
            </w:tcBorders>
            <w:shd w:val="clear" w:color="auto" w:fill="auto"/>
          </w:tcPr>
          <w:p w14:paraId="2E6A4112" w14:textId="43E44F34" w:rsidR="000812A5" w:rsidRPr="00714CBD" w:rsidRDefault="000812A5" w:rsidP="001E428A">
            <w:pPr>
              <w:keepNext/>
              <w:keepLines/>
              <w:spacing w:before="40" w:after="40"/>
              <w:ind w:left="33" w:hanging="16"/>
            </w:pPr>
            <w:r w:rsidRPr="00714CBD">
              <w:t xml:space="preserve">calculated as the mean scores following grading at 24, 48 and 72 hours after instillation of the test material, </w:t>
            </w:r>
            <w:proofErr w:type="gramStart"/>
            <w:r w:rsidRPr="00714CBD">
              <w:t>and  which</w:t>
            </w:r>
            <w:proofErr w:type="gramEnd"/>
            <w:r w:rsidRPr="00714CBD">
              <w:t xml:space="preserve"> fully reverses within an observation period of normally 21 days.</w:t>
            </w:r>
          </w:p>
        </w:tc>
      </w:tr>
      <w:tr w:rsidR="000812A5" w:rsidRPr="006C619D" w14:paraId="2D3DEDF6" w14:textId="77777777" w:rsidTr="001A173A">
        <w:tc>
          <w:tcPr>
            <w:tcW w:w="1560" w:type="dxa"/>
            <w:tcBorders>
              <w:top w:val="single" w:sz="4" w:space="0" w:color="auto"/>
            </w:tcBorders>
          </w:tcPr>
          <w:p w14:paraId="1D27ABA0" w14:textId="77777777" w:rsidR="000812A5" w:rsidRPr="00714CBD" w:rsidRDefault="000812A5" w:rsidP="000110A0">
            <w:pPr>
              <w:keepNext/>
              <w:keepLines/>
              <w:spacing w:before="40" w:after="40"/>
              <w:rPr>
                <w:b/>
              </w:rPr>
            </w:pPr>
            <w:r w:rsidRPr="00714CBD">
              <w:rPr>
                <w:b/>
              </w:rPr>
              <w:t>Category 2B</w:t>
            </w:r>
          </w:p>
        </w:tc>
        <w:tc>
          <w:tcPr>
            <w:tcW w:w="5811" w:type="dxa"/>
            <w:tcBorders>
              <w:top w:val="single" w:sz="4" w:space="0" w:color="auto"/>
              <w:bottom w:val="single" w:sz="4" w:space="0" w:color="auto"/>
            </w:tcBorders>
            <w:shd w:val="clear" w:color="auto" w:fill="auto"/>
          </w:tcPr>
          <w:p w14:paraId="15EFD7FE" w14:textId="77777777" w:rsidR="000812A5" w:rsidRPr="00714CBD" w:rsidRDefault="000812A5" w:rsidP="000110A0">
            <w:pPr>
              <w:keepNext/>
              <w:keepLines/>
              <w:spacing w:before="40" w:after="40"/>
            </w:pPr>
            <w:r w:rsidRPr="00714CBD">
              <w:t xml:space="preserve">Within Category 2A an eye irritant is considered </w:t>
            </w:r>
            <w:r w:rsidRPr="00714CBD">
              <w:rPr>
                <w:bCs/>
              </w:rPr>
              <w:t>mildly irritating to eyes</w:t>
            </w:r>
            <w:r w:rsidRPr="00714CBD">
              <w:t xml:space="preserve"> </w:t>
            </w:r>
            <w:r w:rsidRPr="00714CBD">
              <w:rPr>
                <w:bCs/>
              </w:rPr>
              <w:t>(Category 2B)</w:t>
            </w:r>
            <w:r w:rsidRPr="00714CBD">
              <w:t xml:space="preserve"> when the effects listed above are fully reversible within 7 days of observation.</w:t>
            </w:r>
          </w:p>
        </w:tc>
      </w:tr>
    </w:tbl>
    <w:p w14:paraId="726472FE" w14:textId="3E6EBD80" w:rsidR="004835EB" w:rsidRPr="008252B9" w:rsidRDefault="008252B9" w:rsidP="000812A5">
      <w:pPr>
        <w:pStyle w:val="HChG"/>
        <w:ind w:firstLine="0"/>
        <w:rPr>
          <w:lang w:val="en-AU"/>
        </w:rPr>
      </w:pPr>
      <w:r>
        <w:rPr>
          <w:lang w:val="en-AU"/>
        </w:rPr>
        <w:t xml:space="preserve">Description of the </w:t>
      </w:r>
      <w:r w:rsidR="0014001E">
        <w:rPr>
          <w:lang w:val="en-AU"/>
        </w:rPr>
        <w:t>i</w:t>
      </w:r>
      <w:r>
        <w:rPr>
          <w:lang w:val="en-AU"/>
        </w:rPr>
        <w:t>ssue</w:t>
      </w:r>
    </w:p>
    <w:p w14:paraId="33614970" w14:textId="77777777" w:rsidR="008252B9" w:rsidRPr="006C619D" w:rsidRDefault="008252B9" w:rsidP="008252B9">
      <w:pPr>
        <w:pStyle w:val="SingleTxtG"/>
        <w:numPr>
          <w:ilvl w:val="0"/>
          <w:numId w:val="22"/>
        </w:numPr>
        <w:ind w:left="1134" w:firstLine="0"/>
        <w:rPr>
          <w:szCs w:val="28"/>
        </w:rPr>
      </w:pPr>
      <w:r w:rsidRPr="008E4A40">
        <w:rPr>
          <w:szCs w:val="28"/>
        </w:rPr>
        <w:t>The expert from Australia contends that there are two issues</w:t>
      </w:r>
      <w:r w:rsidRPr="00F85175">
        <w:rPr>
          <w:szCs w:val="28"/>
        </w:rPr>
        <w:t xml:space="preserve"> with the representation of Category 2 </w:t>
      </w:r>
      <w:r w:rsidRPr="008252B9">
        <w:rPr>
          <w:lang w:val="en-AU"/>
        </w:rPr>
        <w:t>within</w:t>
      </w:r>
      <w:r w:rsidRPr="00F85175">
        <w:rPr>
          <w:szCs w:val="28"/>
        </w:rPr>
        <w:t xml:space="preserve"> the</w:t>
      </w:r>
      <w:r w:rsidRPr="006C619D">
        <w:rPr>
          <w:szCs w:val="28"/>
        </w:rPr>
        <w:t xml:space="preserve"> chapter which warrant consideration by the Sub-Committee. </w:t>
      </w:r>
    </w:p>
    <w:p w14:paraId="364B2C8C" w14:textId="3BBC944A" w:rsidR="008252B9" w:rsidRPr="00714CBD" w:rsidRDefault="008252B9" w:rsidP="008252B9">
      <w:pPr>
        <w:pStyle w:val="SingleTxtG"/>
        <w:numPr>
          <w:ilvl w:val="0"/>
          <w:numId w:val="22"/>
        </w:numPr>
        <w:ind w:left="1134" w:firstLine="0"/>
      </w:pPr>
      <w:r>
        <w:t>Firstly,</w:t>
      </w:r>
      <w:r w:rsidRPr="006C619D">
        <w:t xml:space="preserve"> the term </w:t>
      </w:r>
      <w:r w:rsidR="00B71013">
        <w:rPr>
          <w:lang w:val="en-AU"/>
        </w:rPr>
        <w:t>‘</w:t>
      </w:r>
      <w:r w:rsidRPr="006C619D">
        <w:t>Category</w:t>
      </w:r>
      <w:r w:rsidR="00B71013">
        <w:rPr>
          <w:lang w:val="en-AU"/>
        </w:rPr>
        <w:t>’</w:t>
      </w:r>
      <w:r w:rsidRPr="006C619D">
        <w:t xml:space="preserve"> </w:t>
      </w:r>
      <w:r w:rsidR="00993616">
        <w:rPr>
          <w:lang w:val="en-AU"/>
        </w:rPr>
        <w:t xml:space="preserve">is </w:t>
      </w:r>
      <w:r w:rsidR="00B71013">
        <w:rPr>
          <w:lang w:val="en-AU"/>
        </w:rPr>
        <w:t>used</w:t>
      </w:r>
      <w:r w:rsidR="00993616">
        <w:rPr>
          <w:lang w:val="en-AU"/>
        </w:rPr>
        <w:t xml:space="preserve"> </w:t>
      </w:r>
      <w:r w:rsidRPr="006C619D">
        <w:t xml:space="preserve">when referring to </w:t>
      </w:r>
      <w:r w:rsidR="00B71013">
        <w:rPr>
          <w:lang w:val="en-AU"/>
        </w:rPr>
        <w:t xml:space="preserve">eye irritation </w:t>
      </w:r>
      <w:r w:rsidRPr="006C619D">
        <w:t>‘2A’ and ‘2B’</w:t>
      </w:r>
      <w:r w:rsidR="00B71013">
        <w:rPr>
          <w:lang w:val="en-AU"/>
        </w:rPr>
        <w:t>. This is a misuse of terminology</w:t>
      </w:r>
      <w:r w:rsidRPr="006C619D">
        <w:t xml:space="preserve"> </w:t>
      </w:r>
      <w:r w:rsidR="00993616">
        <w:rPr>
          <w:lang w:val="en-AU"/>
        </w:rPr>
        <w:t>and</w:t>
      </w:r>
      <w:r w:rsidRPr="006C619D">
        <w:t xml:space="preserve"> inconsistent </w:t>
      </w:r>
      <w:r w:rsidR="00945A4F">
        <w:rPr>
          <w:lang w:val="en-AU"/>
        </w:rPr>
        <w:t xml:space="preserve">with </w:t>
      </w:r>
      <w:r w:rsidR="00993616">
        <w:rPr>
          <w:lang w:val="en-AU"/>
        </w:rPr>
        <w:t>the approach taken in other parts of</w:t>
      </w:r>
      <w:r w:rsidRPr="00714CBD">
        <w:t xml:space="preserve"> the GHS. See for example, </w:t>
      </w:r>
      <w:r w:rsidRPr="008252B9">
        <w:rPr>
          <w:lang w:val="en-AU"/>
        </w:rPr>
        <w:t>paragraph</w:t>
      </w:r>
      <w:r w:rsidRPr="00714CBD">
        <w:t xml:space="preserve"> 3.2.2.2.1.2 which, </w:t>
      </w:r>
      <w:r>
        <w:t xml:space="preserve">like </w:t>
      </w:r>
      <w:r w:rsidRPr="00714CBD">
        <w:t>3.3.2.1.2.2, sets o</w:t>
      </w:r>
      <w:r w:rsidR="00945A4F">
        <w:rPr>
          <w:lang w:val="en-AU"/>
        </w:rPr>
        <w:t>ut</w:t>
      </w:r>
      <w:r w:rsidRPr="00714CBD">
        <w:t xml:space="preserve"> the categorization schema for Skin Corrosion Category 1, in which ‘1A’, ‘1B’ and ‘1C’ are correctly referred to as Sub-Categories</w:t>
      </w:r>
      <w:r>
        <w:t>.</w:t>
      </w:r>
      <w:r w:rsidRPr="00714CBD">
        <w:t xml:space="preserve"> Table 3.2.1</w:t>
      </w:r>
      <w:r>
        <w:t xml:space="preserve"> (refer below) is an example of how Sub-Categories typically operate in the GHS</w:t>
      </w:r>
      <w:r w:rsidRPr="00714CBD">
        <w:t xml:space="preserve">. </w:t>
      </w:r>
    </w:p>
    <w:p w14:paraId="7CF8CF0C" w14:textId="05B3F10D" w:rsidR="008252B9" w:rsidRPr="006C619D" w:rsidRDefault="008252B9" w:rsidP="008252B9">
      <w:pPr>
        <w:pStyle w:val="SingleTxtG"/>
        <w:numPr>
          <w:ilvl w:val="0"/>
          <w:numId w:val="22"/>
        </w:numPr>
        <w:ind w:left="1134" w:firstLine="0"/>
      </w:pPr>
      <w:r w:rsidRPr="00714CBD">
        <w:t xml:space="preserve">There is </w:t>
      </w:r>
      <w:r>
        <w:t>also an</w:t>
      </w:r>
      <w:r w:rsidRPr="00714CBD">
        <w:t xml:space="preserve"> issue with </w:t>
      </w:r>
      <w:r>
        <w:t>how</w:t>
      </w:r>
      <w:r w:rsidRPr="00714CBD">
        <w:t xml:space="preserve"> the criteria for eye irritation 2/2A and 2B are presented. As can be seen in Table 3.3.2 above, the </w:t>
      </w:r>
      <w:r w:rsidRPr="008252B9">
        <w:rPr>
          <w:lang w:val="en-AU"/>
        </w:rPr>
        <w:t>time</w:t>
      </w:r>
      <w:r w:rsidRPr="00714CBD">
        <w:t xml:space="preserve"> based criteria for </w:t>
      </w:r>
      <w:r>
        <w:t>C</w:t>
      </w:r>
      <w:r w:rsidRPr="00F85175">
        <w:t>ategory 2/2A and 2B overlap</w:t>
      </w:r>
      <w:r>
        <w:t>. T</w:t>
      </w:r>
      <w:r w:rsidRPr="00F85175">
        <w:t>he table text for 2B</w:t>
      </w:r>
      <w:r>
        <w:t xml:space="preserve"> states that</w:t>
      </w:r>
      <w:r w:rsidRPr="00F85175">
        <w:t xml:space="preserve"> </w:t>
      </w:r>
      <w:r w:rsidRPr="009337AD">
        <w:t>“</w:t>
      </w:r>
      <w:r w:rsidRPr="00714CBD">
        <w:rPr>
          <w:b/>
        </w:rPr>
        <w:t>Within Category 2A</w:t>
      </w:r>
      <w:r w:rsidRPr="00714CBD">
        <w:t xml:space="preserve"> an eye irritant is considered </w:t>
      </w:r>
      <w:r w:rsidRPr="00714CBD">
        <w:rPr>
          <w:bCs/>
        </w:rPr>
        <w:t>mildly irritating to eyes</w:t>
      </w:r>
      <w:r w:rsidRPr="00714CBD">
        <w:t xml:space="preserve"> </w:t>
      </w:r>
      <w:r w:rsidRPr="00714CBD">
        <w:rPr>
          <w:bCs/>
        </w:rPr>
        <w:t>(Category 2B)</w:t>
      </w:r>
      <w:r w:rsidRPr="00714CBD">
        <w:t xml:space="preserve"> when the effects listed above are fully reversible within 7 days of observation.”</w:t>
      </w:r>
    </w:p>
    <w:p w14:paraId="702BF78B" w14:textId="3A23B0C0" w:rsidR="008252B9" w:rsidRPr="009337AD" w:rsidRDefault="008252B9" w:rsidP="008252B9">
      <w:pPr>
        <w:pStyle w:val="SingleTxtG"/>
        <w:numPr>
          <w:ilvl w:val="0"/>
          <w:numId w:val="22"/>
        </w:numPr>
        <w:ind w:left="1134" w:firstLine="0"/>
      </w:pPr>
      <w:r w:rsidRPr="008E4A40">
        <w:t>The effect of this</w:t>
      </w:r>
      <w:r>
        <w:t xml:space="preserve"> is</w:t>
      </w:r>
      <w:r w:rsidRPr="008E4A40">
        <w:t xml:space="preserve"> that </w:t>
      </w:r>
      <w:r w:rsidRPr="00F85175">
        <w:t xml:space="preserve">any chemical classified into 2B </w:t>
      </w:r>
      <w:r w:rsidRPr="009337AD">
        <w:t xml:space="preserve">eye irritation also meets the criteria for </w:t>
      </w:r>
      <w:r w:rsidRPr="008252B9">
        <w:rPr>
          <w:lang w:val="en-AU"/>
        </w:rPr>
        <w:t>Category</w:t>
      </w:r>
      <w:r w:rsidRPr="00F85175">
        <w:t xml:space="preserve"> 2/2A eye irritation</w:t>
      </w:r>
      <w:r>
        <w:t>, because C</w:t>
      </w:r>
      <w:r w:rsidRPr="00F85175">
        <w:t xml:space="preserve">ategory 2/2A </w:t>
      </w:r>
      <w:r>
        <w:t>captures effects reversing in 21 days or less (including effects reversing in 7 days)</w:t>
      </w:r>
      <w:r w:rsidRPr="009337AD">
        <w:t xml:space="preserve">. This can be visually represented as follows: </w:t>
      </w:r>
    </w:p>
    <w:tbl>
      <w:tblPr>
        <w:tblStyle w:val="TableGrid"/>
        <w:tblW w:w="0" w:type="auto"/>
        <w:tblInd w:w="1129" w:type="dxa"/>
        <w:tblLook w:val="04A0" w:firstRow="1" w:lastRow="0" w:firstColumn="1" w:lastColumn="0" w:noHBand="0" w:noVBand="1"/>
      </w:tblPr>
      <w:tblGrid>
        <w:gridCol w:w="1476"/>
        <w:gridCol w:w="2601"/>
        <w:gridCol w:w="3294"/>
        <w:gridCol w:w="993"/>
      </w:tblGrid>
      <w:tr w:rsidR="008252B9" w:rsidRPr="006C619D" w14:paraId="5465FFBD" w14:textId="77777777" w:rsidTr="001A173A">
        <w:trPr>
          <w:gridAfter w:val="1"/>
          <w:wAfter w:w="993" w:type="dxa"/>
        </w:trPr>
        <w:tc>
          <w:tcPr>
            <w:tcW w:w="1476" w:type="dxa"/>
            <w:tcBorders>
              <w:top w:val="single" w:sz="4" w:space="0" w:color="auto"/>
              <w:bottom w:val="single" w:sz="4" w:space="0" w:color="auto"/>
            </w:tcBorders>
          </w:tcPr>
          <w:p w14:paraId="35E6D563" w14:textId="77777777" w:rsidR="008252B9" w:rsidRPr="00714CBD" w:rsidRDefault="008252B9" w:rsidP="000110A0">
            <w:pPr>
              <w:pStyle w:val="SingleTxtG"/>
              <w:ind w:left="-1244" w:right="-53" w:firstLine="1139"/>
              <w:jc w:val="center"/>
            </w:pPr>
            <w:r w:rsidRPr="00714CBD">
              <w:t>Days</w:t>
            </w:r>
          </w:p>
        </w:tc>
        <w:tc>
          <w:tcPr>
            <w:tcW w:w="2601" w:type="dxa"/>
            <w:tcBorders>
              <w:top w:val="single" w:sz="4" w:space="0" w:color="auto"/>
            </w:tcBorders>
          </w:tcPr>
          <w:p w14:paraId="739512D3" w14:textId="77777777" w:rsidR="008252B9" w:rsidRPr="006C619D" w:rsidRDefault="008252B9" w:rsidP="000110A0">
            <w:pPr>
              <w:pStyle w:val="SingleTxtG"/>
              <w:ind w:left="-1244" w:right="0" w:firstLine="1244"/>
              <w:jc w:val="center"/>
            </w:pPr>
            <w:r w:rsidRPr="00714CBD">
              <w:t>0</w:t>
            </w:r>
            <w:r>
              <w:t xml:space="preserve"> to 7</w:t>
            </w:r>
          </w:p>
        </w:tc>
        <w:tc>
          <w:tcPr>
            <w:tcW w:w="3294" w:type="dxa"/>
            <w:tcBorders>
              <w:top w:val="single" w:sz="4" w:space="0" w:color="auto"/>
            </w:tcBorders>
          </w:tcPr>
          <w:p w14:paraId="39001D04" w14:textId="77777777" w:rsidR="008252B9" w:rsidRPr="006C619D" w:rsidRDefault="008252B9" w:rsidP="000110A0">
            <w:pPr>
              <w:pStyle w:val="SingleTxtG"/>
              <w:ind w:left="0" w:right="-134"/>
              <w:jc w:val="center"/>
            </w:pPr>
            <w:r>
              <w:t xml:space="preserve">8 to </w:t>
            </w:r>
            <w:r w:rsidRPr="006C619D">
              <w:t>21</w:t>
            </w:r>
          </w:p>
        </w:tc>
      </w:tr>
      <w:tr w:rsidR="008252B9" w:rsidRPr="006C619D" w14:paraId="36CD2A65" w14:textId="77777777" w:rsidTr="001A173A">
        <w:trPr>
          <w:gridAfter w:val="1"/>
          <w:wAfter w:w="993" w:type="dxa"/>
        </w:trPr>
        <w:tc>
          <w:tcPr>
            <w:tcW w:w="1476" w:type="dxa"/>
            <w:tcBorders>
              <w:left w:val="nil"/>
              <w:bottom w:val="nil"/>
            </w:tcBorders>
          </w:tcPr>
          <w:p w14:paraId="6810D4F8" w14:textId="77777777" w:rsidR="008252B9" w:rsidRPr="006C619D" w:rsidRDefault="008252B9" w:rsidP="000110A0">
            <w:pPr>
              <w:pStyle w:val="SingleTxtG"/>
              <w:ind w:left="0" w:right="447" w:hanging="104"/>
              <w:jc w:val="center"/>
            </w:pPr>
          </w:p>
        </w:tc>
        <w:tc>
          <w:tcPr>
            <w:tcW w:w="5895" w:type="dxa"/>
            <w:gridSpan w:val="2"/>
          </w:tcPr>
          <w:p w14:paraId="68C709BB" w14:textId="77777777" w:rsidR="008252B9" w:rsidRPr="006C619D" w:rsidRDefault="008252B9" w:rsidP="000110A0">
            <w:pPr>
              <w:pStyle w:val="SingleTxtG"/>
              <w:ind w:left="0" w:right="0" w:hanging="104"/>
              <w:jc w:val="center"/>
            </w:pPr>
            <w:r w:rsidRPr="006C619D">
              <w:t>Category 2/2A</w:t>
            </w:r>
          </w:p>
        </w:tc>
      </w:tr>
      <w:tr w:rsidR="008252B9" w:rsidRPr="008E4A40" w14:paraId="647A1718" w14:textId="77777777" w:rsidTr="001A173A">
        <w:tc>
          <w:tcPr>
            <w:tcW w:w="1476" w:type="dxa"/>
            <w:tcBorders>
              <w:top w:val="nil"/>
              <w:left w:val="nil"/>
              <w:bottom w:val="nil"/>
            </w:tcBorders>
          </w:tcPr>
          <w:p w14:paraId="77E027E6" w14:textId="77777777" w:rsidR="008252B9" w:rsidRPr="006C619D" w:rsidRDefault="008252B9" w:rsidP="000110A0">
            <w:pPr>
              <w:pStyle w:val="SingleTxtG"/>
              <w:ind w:left="-1244" w:right="848" w:firstLine="1244"/>
            </w:pPr>
          </w:p>
        </w:tc>
        <w:tc>
          <w:tcPr>
            <w:tcW w:w="2601" w:type="dxa"/>
          </w:tcPr>
          <w:p w14:paraId="6D67A022" w14:textId="77777777" w:rsidR="008252B9" w:rsidRPr="006C619D" w:rsidRDefault="008252B9" w:rsidP="000110A0">
            <w:pPr>
              <w:pStyle w:val="SingleTxtG"/>
              <w:ind w:left="-1244" w:right="6" w:firstLine="1244"/>
              <w:jc w:val="center"/>
            </w:pPr>
            <w:r w:rsidRPr="006C619D">
              <w:t>Category 2B</w:t>
            </w:r>
          </w:p>
        </w:tc>
        <w:tc>
          <w:tcPr>
            <w:tcW w:w="4287" w:type="dxa"/>
            <w:gridSpan w:val="2"/>
            <w:tcBorders>
              <w:top w:val="nil"/>
              <w:bottom w:val="nil"/>
              <w:right w:val="nil"/>
            </w:tcBorders>
          </w:tcPr>
          <w:p w14:paraId="3B7722AD" w14:textId="77777777" w:rsidR="008252B9" w:rsidRPr="008E4A40" w:rsidRDefault="008252B9" w:rsidP="000110A0">
            <w:pPr>
              <w:pStyle w:val="SingleTxtG"/>
              <w:ind w:left="0" w:right="848" w:hanging="464"/>
            </w:pPr>
          </w:p>
        </w:tc>
      </w:tr>
    </w:tbl>
    <w:p w14:paraId="1257ADA9" w14:textId="207C76F7" w:rsidR="008252B9" w:rsidRPr="00714CBD" w:rsidRDefault="008252B9" w:rsidP="00B71013">
      <w:pPr>
        <w:pStyle w:val="SingleTxtG"/>
        <w:numPr>
          <w:ilvl w:val="0"/>
          <w:numId w:val="22"/>
        </w:numPr>
        <w:spacing w:before="240"/>
        <w:ind w:left="1134" w:firstLine="0"/>
      </w:pPr>
      <w:r w:rsidRPr="008E4A40">
        <w:t>This approach</w:t>
      </w:r>
      <w:r>
        <w:t xml:space="preserve"> is</w:t>
      </w:r>
      <w:r w:rsidRPr="008E4A40">
        <w:t xml:space="preserve"> </w:t>
      </w:r>
      <w:r w:rsidRPr="008252B9">
        <w:rPr>
          <w:lang w:val="en-AU"/>
        </w:rPr>
        <w:t>different</w:t>
      </w:r>
      <w:r w:rsidRPr="008E4A40">
        <w:t xml:space="preserve"> to other hazard classes in the GHS, where sub-categories are </w:t>
      </w:r>
      <w:r>
        <w:t>mutually exclusive</w:t>
      </w:r>
      <w:r w:rsidRPr="008E4A40">
        <w:t>.</w:t>
      </w:r>
      <w:r w:rsidRPr="00F85175">
        <w:t xml:space="preserve"> For example, the categori</w:t>
      </w:r>
      <w:r w:rsidRPr="009337AD">
        <w:t xml:space="preserve">zation and sub-categorization for Skin Corrosion Category 1 as presented in Table 3.2.1. </w:t>
      </w:r>
    </w:p>
    <w:p w14:paraId="54001A5E" w14:textId="77777777" w:rsidR="00CC78DE" w:rsidRDefault="00CC78DE">
      <w:pPr>
        <w:suppressAutoHyphens w:val="0"/>
        <w:spacing w:line="240" w:lineRule="auto"/>
        <w:rPr>
          <w:b/>
          <w:lang w:val="en-US"/>
        </w:rPr>
      </w:pPr>
      <w:r>
        <w:rPr>
          <w:b/>
        </w:rPr>
        <w:br w:type="page"/>
      </w:r>
    </w:p>
    <w:p w14:paraId="54B17CE1" w14:textId="7B10F125" w:rsidR="008252B9" w:rsidRPr="00714CBD" w:rsidRDefault="008252B9" w:rsidP="008252B9">
      <w:pPr>
        <w:pStyle w:val="ListParagraph"/>
        <w:keepNext/>
        <w:keepLines/>
        <w:spacing w:after="80"/>
        <w:ind w:left="2115"/>
        <w:rPr>
          <w:bCs/>
          <w:sz w:val="20"/>
          <w:szCs w:val="20"/>
          <w:vertAlign w:val="superscript"/>
        </w:rPr>
      </w:pPr>
      <w:r w:rsidRPr="00714CBD">
        <w:rPr>
          <w:b/>
          <w:sz w:val="20"/>
          <w:szCs w:val="20"/>
        </w:rPr>
        <w:lastRenderedPageBreak/>
        <w:t>Table 3.2.1:  Skin corrosion category and sub-categories</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5553"/>
      </w:tblGrid>
      <w:tr w:rsidR="008252B9" w:rsidRPr="006C619D" w14:paraId="1851351A" w14:textId="77777777" w:rsidTr="001A173A">
        <w:tc>
          <w:tcPr>
            <w:tcW w:w="1818" w:type="dxa"/>
            <w:shd w:val="clear" w:color="auto" w:fill="auto"/>
          </w:tcPr>
          <w:p w14:paraId="3810A7D8" w14:textId="77777777" w:rsidR="008252B9" w:rsidRPr="00714CBD" w:rsidRDefault="008252B9" w:rsidP="000110A0">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rPr>
                <w:bCs/>
              </w:rPr>
            </w:pPr>
          </w:p>
        </w:tc>
        <w:tc>
          <w:tcPr>
            <w:tcW w:w="5553" w:type="dxa"/>
            <w:shd w:val="clear" w:color="auto" w:fill="auto"/>
          </w:tcPr>
          <w:p w14:paraId="7203D6B8" w14:textId="77777777" w:rsidR="008252B9" w:rsidRPr="00714CBD" w:rsidRDefault="008252B9" w:rsidP="000110A0">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b/>
                <w:bCs/>
              </w:rPr>
            </w:pPr>
            <w:r w:rsidRPr="00714CBD">
              <w:rPr>
                <w:b/>
                <w:bCs/>
              </w:rPr>
              <w:t>Criteria</w:t>
            </w:r>
          </w:p>
        </w:tc>
      </w:tr>
      <w:tr w:rsidR="008252B9" w:rsidRPr="006C619D" w14:paraId="42552922" w14:textId="77777777" w:rsidTr="001A173A">
        <w:tc>
          <w:tcPr>
            <w:tcW w:w="1818" w:type="dxa"/>
            <w:shd w:val="clear" w:color="auto" w:fill="auto"/>
          </w:tcPr>
          <w:p w14:paraId="7E6EDB6B" w14:textId="77777777" w:rsidR="008252B9" w:rsidRPr="00714CBD" w:rsidRDefault="008252B9" w:rsidP="000110A0">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rPr>
                <w:b/>
                <w:bCs/>
              </w:rPr>
            </w:pPr>
            <w:r w:rsidRPr="00714CBD">
              <w:rPr>
                <w:b/>
                <w:bCs/>
              </w:rPr>
              <w:t>Category 1</w:t>
            </w:r>
          </w:p>
        </w:tc>
        <w:tc>
          <w:tcPr>
            <w:tcW w:w="5553" w:type="dxa"/>
            <w:shd w:val="clear" w:color="auto" w:fill="auto"/>
          </w:tcPr>
          <w:p w14:paraId="7DE481D1" w14:textId="77777777" w:rsidR="008252B9" w:rsidRPr="00714CBD" w:rsidRDefault="008252B9" w:rsidP="000110A0">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rPr>
                <w:bCs/>
              </w:rPr>
            </w:pPr>
            <w:r w:rsidRPr="00714CBD">
              <w:t>Destruction of skin tissue, namely, visible necrosis through the epidermis and into the dermis, in at least one tested animal after exposure ≤ 4 h</w:t>
            </w:r>
          </w:p>
        </w:tc>
      </w:tr>
      <w:tr w:rsidR="008252B9" w:rsidRPr="006C619D" w14:paraId="794948E9" w14:textId="77777777" w:rsidTr="001A173A">
        <w:tc>
          <w:tcPr>
            <w:tcW w:w="1818" w:type="dxa"/>
            <w:shd w:val="clear" w:color="auto" w:fill="auto"/>
          </w:tcPr>
          <w:p w14:paraId="5817E114" w14:textId="77777777" w:rsidR="008252B9" w:rsidRPr="00714CBD" w:rsidRDefault="008252B9" w:rsidP="000110A0">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rPr>
                <w:bCs/>
              </w:rPr>
            </w:pPr>
            <w:r w:rsidRPr="00714CBD">
              <w:rPr>
                <w:b/>
              </w:rPr>
              <w:t>Sub-</w:t>
            </w:r>
            <w:r>
              <w:rPr>
                <w:b/>
              </w:rPr>
              <w:t>C</w:t>
            </w:r>
            <w:r w:rsidRPr="00714CBD">
              <w:rPr>
                <w:b/>
              </w:rPr>
              <w:t>ategory 1A</w:t>
            </w:r>
          </w:p>
        </w:tc>
        <w:tc>
          <w:tcPr>
            <w:tcW w:w="5553" w:type="dxa"/>
            <w:shd w:val="clear" w:color="auto" w:fill="auto"/>
          </w:tcPr>
          <w:p w14:paraId="2722B367" w14:textId="77777777" w:rsidR="008252B9" w:rsidRPr="00714CBD" w:rsidRDefault="008252B9" w:rsidP="000110A0">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rPr>
                <w:bCs/>
              </w:rPr>
            </w:pPr>
            <w:r w:rsidRPr="00714CBD">
              <w:t>Corrosive responses in at least one animal following exposure ≤ 3 min during an observation period ≤ 1 h</w:t>
            </w:r>
          </w:p>
        </w:tc>
      </w:tr>
      <w:tr w:rsidR="008252B9" w:rsidRPr="006C619D" w14:paraId="767EA904" w14:textId="77777777" w:rsidTr="001A173A">
        <w:tc>
          <w:tcPr>
            <w:tcW w:w="1818" w:type="dxa"/>
            <w:shd w:val="clear" w:color="auto" w:fill="auto"/>
          </w:tcPr>
          <w:p w14:paraId="0B7F1253" w14:textId="77777777" w:rsidR="008252B9" w:rsidRPr="00714CBD" w:rsidRDefault="008252B9" w:rsidP="000110A0">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rPr>
                <w:bCs/>
              </w:rPr>
            </w:pPr>
            <w:r w:rsidRPr="00714CBD">
              <w:rPr>
                <w:b/>
              </w:rPr>
              <w:t>Sub-</w:t>
            </w:r>
            <w:r>
              <w:rPr>
                <w:b/>
              </w:rPr>
              <w:t>C</w:t>
            </w:r>
            <w:r w:rsidRPr="00714CBD">
              <w:rPr>
                <w:b/>
              </w:rPr>
              <w:t>ategory 1B</w:t>
            </w:r>
          </w:p>
        </w:tc>
        <w:tc>
          <w:tcPr>
            <w:tcW w:w="5553" w:type="dxa"/>
            <w:shd w:val="clear" w:color="auto" w:fill="auto"/>
          </w:tcPr>
          <w:p w14:paraId="24EEC169" w14:textId="77777777" w:rsidR="008252B9" w:rsidRPr="00714CBD" w:rsidRDefault="008252B9" w:rsidP="000110A0">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rPr>
                <w:bCs/>
              </w:rPr>
            </w:pPr>
            <w:r w:rsidRPr="00714CBD">
              <w:t xml:space="preserve">Corrosive responses in at least one animal following exposure &gt; 3 min and ≤ 1 h </w:t>
            </w:r>
            <w:r w:rsidRPr="00714CBD">
              <w:rPr>
                <w:bCs/>
                <w:color w:val="000000"/>
              </w:rPr>
              <w:t xml:space="preserve">and observations </w:t>
            </w:r>
            <w:r w:rsidRPr="00714CBD">
              <w:t>≤ 14 days</w:t>
            </w:r>
          </w:p>
        </w:tc>
      </w:tr>
      <w:tr w:rsidR="008252B9" w:rsidRPr="006C619D" w14:paraId="418CCF80" w14:textId="77777777" w:rsidTr="001A173A">
        <w:tc>
          <w:tcPr>
            <w:tcW w:w="1818" w:type="dxa"/>
            <w:shd w:val="clear" w:color="auto" w:fill="auto"/>
          </w:tcPr>
          <w:p w14:paraId="7426F06B" w14:textId="77777777" w:rsidR="008252B9" w:rsidRPr="00714CBD" w:rsidRDefault="008252B9" w:rsidP="000110A0">
            <w:pPr>
              <w:spacing w:before="20" w:after="20"/>
              <w:rPr>
                <w:bCs/>
              </w:rPr>
            </w:pPr>
            <w:r w:rsidRPr="00714CBD">
              <w:rPr>
                <w:b/>
              </w:rPr>
              <w:t>Sub-</w:t>
            </w:r>
            <w:r>
              <w:rPr>
                <w:b/>
              </w:rPr>
              <w:t>C</w:t>
            </w:r>
            <w:r w:rsidRPr="00714CBD">
              <w:rPr>
                <w:b/>
              </w:rPr>
              <w:t>ategory 1C</w:t>
            </w:r>
          </w:p>
        </w:tc>
        <w:tc>
          <w:tcPr>
            <w:tcW w:w="5553" w:type="dxa"/>
            <w:shd w:val="clear" w:color="auto" w:fill="auto"/>
          </w:tcPr>
          <w:p w14:paraId="14E21D5A" w14:textId="77777777" w:rsidR="008252B9" w:rsidRPr="00714CBD" w:rsidRDefault="008252B9" w:rsidP="000110A0">
            <w:pPr>
              <w:spacing w:before="20" w:after="20"/>
              <w:rPr>
                <w:bCs/>
              </w:rPr>
            </w:pPr>
            <w:r w:rsidRPr="00714CBD">
              <w:rPr>
                <w:bCs/>
                <w:color w:val="000000"/>
              </w:rPr>
              <w:t xml:space="preserve">Corrosive responses </w:t>
            </w:r>
            <w:r w:rsidRPr="00714CBD">
              <w:t xml:space="preserve">in at least one animal </w:t>
            </w:r>
            <w:r w:rsidRPr="00714CBD">
              <w:rPr>
                <w:bCs/>
                <w:color w:val="000000"/>
              </w:rPr>
              <w:t xml:space="preserve">after exposures </w:t>
            </w:r>
            <w:r w:rsidRPr="00714CBD">
              <w:t>&gt; 1 h and ≤ 4 h</w:t>
            </w:r>
            <w:r w:rsidRPr="00714CBD">
              <w:rPr>
                <w:bCs/>
                <w:color w:val="000000"/>
              </w:rPr>
              <w:t xml:space="preserve"> and observations</w:t>
            </w:r>
            <w:r>
              <w:t xml:space="preserve"> </w:t>
            </w:r>
            <w:r w:rsidRPr="00714CBD">
              <w:t>≤ 14 days</w:t>
            </w:r>
          </w:p>
        </w:tc>
      </w:tr>
    </w:tbl>
    <w:p w14:paraId="60534F1C" w14:textId="099EBC80" w:rsidR="008252B9" w:rsidRPr="006C619D" w:rsidRDefault="008252B9" w:rsidP="00B71013">
      <w:pPr>
        <w:pStyle w:val="SingleTxtG"/>
        <w:numPr>
          <w:ilvl w:val="0"/>
          <w:numId w:val="22"/>
        </w:numPr>
        <w:spacing w:before="240"/>
        <w:ind w:left="1134" w:firstLine="0"/>
        <w:rPr>
          <w:szCs w:val="28"/>
        </w:rPr>
      </w:pPr>
      <w:r w:rsidRPr="008E4A40">
        <w:rPr>
          <w:szCs w:val="28"/>
        </w:rPr>
        <w:t xml:space="preserve">Australia’s </w:t>
      </w:r>
      <w:r w:rsidRPr="00B71013">
        <w:rPr>
          <w:rFonts w:eastAsia="Times New Roman"/>
        </w:rPr>
        <w:t>implementation</w:t>
      </w:r>
      <w:r w:rsidR="00945A4F">
        <w:rPr>
          <w:szCs w:val="28"/>
        </w:rPr>
        <w:t xml:space="preserve"> of the </w:t>
      </w:r>
      <w:r w:rsidR="00945A4F">
        <w:rPr>
          <w:szCs w:val="28"/>
          <w:lang w:val="en-AU"/>
        </w:rPr>
        <w:t xml:space="preserve">third </w:t>
      </w:r>
      <w:r w:rsidRPr="008E4A40">
        <w:rPr>
          <w:szCs w:val="28"/>
        </w:rPr>
        <w:t xml:space="preserve">revised edition of the GHS (2012 to present) captures all eye irritants under </w:t>
      </w:r>
      <w:r>
        <w:rPr>
          <w:szCs w:val="28"/>
        </w:rPr>
        <w:t>C</w:t>
      </w:r>
      <w:r w:rsidRPr="008E4A40">
        <w:rPr>
          <w:szCs w:val="28"/>
        </w:rPr>
        <w:t xml:space="preserve">ategory 2A (and in later revisions Category 2/2A). However, </w:t>
      </w:r>
      <w:r w:rsidRPr="008252B9">
        <w:rPr>
          <w:lang w:val="en-AU"/>
        </w:rPr>
        <w:t>experience</w:t>
      </w:r>
      <w:r w:rsidRPr="008E4A40">
        <w:rPr>
          <w:szCs w:val="28"/>
        </w:rPr>
        <w:t xml:space="preserve"> has shown that </w:t>
      </w:r>
      <w:r w:rsidRPr="00F85175">
        <w:rPr>
          <w:szCs w:val="28"/>
        </w:rPr>
        <w:t xml:space="preserve">classifiers </w:t>
      </w:r>
      <w:r w:rsidRPr="009337AD">
        <w:rPr>
          <w:szCs w:val="28"/>
        </w:rPr>
        <w:t xml:space="preserve">are confused by the sub-categorization </w:t>
      </w:r>
      <w:r w:rsidRPr="006C619D">
        <w:rPr>
          <w:szCs w:val="28"/>
        </w:rPr>
        <w:t xml:space="preserve">employed in the serious eye damage/irritation chapter, and how it interacts with local legislation. </w:t>
      </w:r>
    </w:p>
    <w:p w14:paraId="770EC2D4" w14:textId="4FB13B0F" w:rsidR="008252B9" w:rsidRPr="009337AD" w:rsidRDefault="008252B9" w:rsidP="008252B9">
      <w:pPr>
        <w:pStyle w:val="SingleTxtG"/>
        <w:numPr>
          <w:ilvl w:val="0"/>
          <w:numId w:val="22"/>
        </w:numPr>
        <w:ind w:left="1134" w:firstLine="0"/>
        <w:rPr>
          <w:szCs w:val="28"/>
        </w:rPr>
      </w:pPr>
      <w:r w:rsidRPr="006C619D">
        <w:rPr>
          <w:szCs w:val="28"/>
        </w:rPr>
        <w:t xml:space="preserve">For example, if the competent authority adopts the single </w:t>
      </w:r>
      <w:r>
        <w:rPr>
          <w:szCs w:val="28"/>
        </w:rPr>
        <w:t>C</w:t>
      </w:r>
      <w:r w:rsidRPr="00F85175">
        <w:rPr>
          <w:szCs w:val="28"/>
        </w:rPr>
        <w:t xml:space="preserve">ategory </w:t>
      </w:r>
      <w:r w:rsidRPr="009337AD">
        <w:rPr>
          <w:szCs w:val="28"/>
        </w:rPr>
        <w:t>2/2A for eye irrita</w:t>
      </w:r>
      <w:r w:rsidRPr="006C619D">
        <w:rPr>
          <w:szCs w:val="28"/>
        </w:rPr>
        <w:t xml:space="preserve">tion, many classifiers are unsure if and how they are meant to classify </w:t>
      </w:r>
      <w:r>
        <w:rPr>
          <w:szCs w:val="28"/>
        </w:rPr>
        <w:t>S</w:t>
      </w:r>
      <w:r w:rsidRPr="00F85175">
        <w:rPr>
          <w:szCs w:val="28"/>
        </w:rPr>
        <w:t>ub-</w:t>
      </w:r>
      <w:r>
        <w:rPr>
          <w:szCs w:val="28"/>
        </w:rPr>
        <w:t>C</w:t>
      </w:r>
      <w:r w:rsidRPr="00F85175">
        <w:rPr>
          <w:szCs w:val="28"/>
        </w:rPr>
        <w:t xml:space="preserve">ategory 2B eye </w:t>
      </w:r>
      <w:r w:rsidRPr="008252B9">
        <w:rPr>
          <w:lang w:val="en-AU"/>
        </w:rPr>
        <w:t>irritants</w:t>
      </w:r>
      <w:r w:rsidRPr="00F85175">
        <w:rPr>
          <w:szCs w:val="28"/>
        </w:rPr>
        <w:t xml:space="preserve">. </w:t>
      </w:r>
      <w:r>
        <w:rPr>
          <w:szCs w:val="28"/>
        </w:rPr>
        <w:t>Australia considers this confusion results from both</w:t>
      </w:r>
      <w:r w:rsidRPr="006C619D">
        <w:rPr>
          <w:szCs w:val="28"/>
        </w:rPr>
        <w:t xml:space="preserve"> the use of the 2/2A terminology, and the classification criteria which encompasses </w:t>
      </w:r>
      <w:r>
        <w:rPr>
          <w:szCs w:val="28"/>
        </w:rPr>
        <w:t>S</w:t>
      </w:r>
      <w:r w:rsidRPr="00F85175">
        <w:rPr>
          <w:szCs w:val="28"/>
        </w:rPr>
        <w:t>ub-</w:t>
      </w:r>
      <w:r>
        <w:rPr>
          <w:szCs w:val="28"/>
        </w:rPr>
        <w:t>C</w:t>
      </w:r>
      <w:r w:rsidRPr="00F85175">
        <w:rPr>
          <w:szCs w:val="28"/>
        </w:rPr>
        <w:t xml:space="preserve">ategory 2B within </w:t>
      </w:r>
      <w:r>
        <w:rPr>
          <w:szCs w:val="28"/>
        </w:rPr>
        <w:t>C</w:t>
      </w:r>
      <w:r w:rsidRPr="00F85175">
        <w:rPr>
          <w:szCs w:val="28"/>
        </w:rPr>
        <w:t xml:space="preserve">ategory 2/2A </w:t>
      </w:r>
    </w:p>
    <w:p w14:paraId="0C55412B" w14:textId="1D3F8DB6" w:rsidR="008252B9" w:rsidRPr="006C619D" w:rsidRDefault="008252B9" w:rsidP="008252B9">
      <w:pPr>
        <w:pStyle w:val="SingleTxtG"/>
        <w:numPr>
          <w:ilvl w:val="0"/>
          <w:numId w:val="22"/>
        </w:numPr>
        <w:ind w:left="1134" w:firstLine="0"/>
        <w:rPr>
          <w:szCs w:val="28"/>
        </w:rPr>
      </w:pPr>
      <w:r w:rsidRPr="006C619D">
        <w:rPr>
          <w:szCs w:val="28"/>
        </w:rPr>
        <w:t xml:space="preserve">Confusion about sub-categorization has led to some </w:t>
      </w:r>
      <w:r>
        <w:rPr>
          <w:szCs w:val="28"/>
        </w:rPr>
        <w:t>S</w:t>
      </w:r>
      <w:r w:rsidRPr="00F85175">
        <w:rPr>
          <w:szCs w:val="28"/>
        </w:rPr>
        <w:t>ub-</w:t>
      </w:r>
      <w:r>
        <w:rPr>
          <w:szCs w:val="28"/>
        </w:rPr>
        <w:t>C</w:t>
      </w:r>
      <w:r w:rsidRPr="00F85175">
        <w:rPr>
          <w:szCs w:val="28"/>
        </w:rPr>
        <w:t>ategory 2B eye irritants not being classified or labelled in Australia</w:t>
      </w:r>
      <w:r>
        <w:rPr>
          <w:szCs w:val="28"/>
        </w:rPr>
        <w:t>.</w:t>
      </w:r>
      <w:r w:rsidRPr="00F85175">
        <w:rPr>
          <w:szCs w:val="28"/>
        </w:rPr>
        <w:t xml:space="preserve"> </w:t>
      </w:r>
      <w:r>
        <w:rPr>
          <w:szCs w:val="28"/>
        </w:rPr>
        <w:t>T</w:t>
      </w:r>
      <w:r w:rsidRPr="00F85175">
        <w:rPr>
          <w:szCs w:val="28"/>
        </w:rPr>
        <w:t>his was not the intention of the competent authority at the time of implementation.</w:t>
      </w:r>
    </w:p>
    <w:p w14:paraId="3DB1D5BA" w14:textId="77777777" w:rsidR="008252B9" w:rsidRPr="006C619D" w:rsidRDefault="008252B9" w:rsidP="008252B9">
      <w:pPr>
        <w:pStyle w:val="SingleTxtG"/>
        <w:numPr>
          <w:ilvl w:val="0"/>
          <w:numId w:val="22"/>
        </w:numPr>
        <w:ind w:left="1134" w:firstLine="0"/>
        <w:rPr>
          <w:szCs w:val="28"/>
        </w:rPr>
      </w:pPr>
      <w:r w:rsidRPr="006C619D">
        <w:rPr>
          <w:szCs w:val="28"/>
        </w:rPr>
        <w:t xml:space="preserve">While these issues can be partially addressed by amending local legislation and by competent authorities providing guidance to classifiers, it is unlikely that this approach would </w:t>
      </w:r>
      <w:r w:rsidRPr="008252B9">
        <w:rPr>
          <w:lang w:val="en-AU"/>
        </w:rPr>
        <w:t>fully</w:t>
      </w:r>
      <w:r w:rsidRPr="006C619D">
        <w:rPr>
          <w:szCs w:val="28"/>
        </w:rPr>
        <w:t xml:space="preserve"> resolve the confusion duty holders are experiencing as classifiers will still refer directly to the GHS text when classifying chemicals across markets. </w:t>
      </w:r>
    </w:p>
    <w:p w14:paraId="75124B35" w14:textId="6B7585A3" w:rsidR="00C5745C" w:rsidRDefault="008252B9" w:rsidP="00C5745C">
      <w:pPr>
        <w:pStyle w:val="HChG"/>
        <w:ind w:firstLine="0"/>
        <w:rPr>
          <w:lang w:val="en-AU"/>
        </w:rPr>
      </w:pPr>
      <w:r>
        <w:rPr>
          <w:lang w:val="en-AU"/>
        </w:rPr>
        <w:t>Proposal</w:t>
      </w:r>
    </w:p>
    <w:p w14:paraId="5D2E718C" w14:textId="77777777" w:rsidR="008252B9" w:rsidRPr="006C619D" w:rsidRDefault="008252B9" w:rsidP="008252B9">
      <w:pPr>
        <w:pStyle w:val="SingleTxtG"/>
        <w:numPr>
          <w:ilvl w:val="0"/>
          <w:numId w:val="22"/>
        </w:numPr>
        <w:ind w:left="1134" w:firstLine="0"/>
        <w:rPr>
          <w:szCs w:val="28"/>
        </w:rPr>
      </w:pPr>
      <w:r w:rsidRPr="008E4A40">
        <w:rPr>
          <w:szCs w:val="28"/>
        </w:rPr>
        <w:t xml:space="preserve">To clarify the </w:t>
      </w:r>
      <w:r w:rsidRPr="00F85175">
        <w:rPr>
          <w:szCs w:val="28"/>
        </w:rPr>
        <w:t>sub-categorizati</w:t>
      </w:r>
      <w:r w:rsidRPr="009337AD">
        <w:rPr>
          <w:szCs w:val="28"/>
        </w:rPr>
        <w:t xml:space="preserve">on of Category 2 eye irritation, it is proposed to adopt the approach to the presentation of the criteria for eye irritation based on that already in place for Category 1 skin corrosion in </w:t>
      </w:r>
      <w:r w:rsidRPr="006C619D">
        <w:rPr>
          <w:szCs w:val="28"/>
        </w:rPr>
        <w:t xml:space="preserve">Chapter 3.2 of the GHS. </w:t>
      </w:r>
    </w:p>
    <w:p w14:paraId="59C6FD7F" w14:textId="63AD947A" w:rsidR="008252B9" w:rsidRPr="006C619D" w:rsidRDefault="008252B9" w:rsidP="008252B9">
      <w:pPr>
        <w:pStyle w:val="SingleTxtG"/>
        <w:numPr>
          <w:ilvl w:val="0"/>
          <w:numId w:val="22"/>
        </w:numPr>
        <w:ind w:left="1134" w:firstLine="0"/>
        <w:rPr>
          <w:szCs w:val="28"/>
        </w:rPr>
      </w:pPr>
      <w:r w:rsidRPr="006C619D">
        <w:rPr>
          <w:szCs w:val="28"/>
        </w:rPr>
        <w:t xml:space="preserve">This approach would remove Category 2/2A terminology in Chapter 3.3 and replace it with </w:t>
      </w:r>
      <w:r>
        <w:rPr>
          <w:szCs w:val="28"/>
        </w:rPr>
        <w:t>a new ‘</w:t>
      </w:r>
      <w:r w:rsidRPr="006C619D">
        <w:rPr>
          <w:szCs w:val="28"/>
        </w:rPr>
        <w:t>Category 2</w:t>
      </w:r>
      <w:r>
        <w:rPr>
          <w:szCs w:val="28"/>
        </w:rPr>
        <w:t>’</w:t>
      </w:r>
      <w:r w:rsidRPr="006C619D">
        <w:rPr>
          <w:szCs w:val="28"/>
        </w:rPr>
        <w:t xml:space="preserve">, while </w:t>
      </w:r>
      <w:r>
        <w:rPr>
          <w:szCs w:val="28"/>
        </w:rPr>
        <w:t>S</w:t>
      </w:r>
      <w:r w:rsidRPr="009337AD">
        <w:rPr>
          <w:szCs w:val="28"/>
        </w:rPr>
        <w:t>ub-</w:t>
      </w:r>
      <w:r>
        <w:rPr>
          <w:szCs w:val="28"/>
        </w:rPr>
        <w:t>C</w:t>
      </w:r>
      <w:r w:rsidRPr="009337AD">
        <w:rPr>
          <w:szCs w:val="28"/>
        </w:rPr>
        <w:t xml:space="preserve">ategories </w:t>
      </w:r>
      <w:r w:rsidR="00CC78DE">
        <w:rPr>
          <w:szCs w:val="28"/>
          <w:lang w:val="fr-CH"/>
        </w:rPr>
        <w:t>"</w:t>
      </w:r>
      <w:r w:rsidRPr="009337AD">
        <w:rPr>
          <w:szCs w:val="28"/>
        </w:rPr>
        <w:t>2A</w:t>
      </w:r>
      <w:r w:rsidR="00CC78DE">
        <w:rPr>
          <w:szCs w:val="28"/>
          <w:lang w:val="fr-CH"/>
        </w:rPr>
        <w:t>"</w:t>
      </w:r>
      <w:r w:rsidRPr="009337AD">
        <w:rPr>
          <w:szCs w:val="28"/>
        </w:rPr>
        <w:t xml:space="preserve"> and </w:t>
      </w:r>
      <w:r w:rsidR="00CC78DE">
        <w:rPr>
          <w:szCs w:val="28"/>
          <w:lang w:val="fr-CH"/>
        </w:rPr>
        <w:t>"</w:t>
      </w:r>
      <w:r w:rsidRPr="009337AD">
        <w:rPr>
          <w:szCs w:val="28"/>
        </w:rPr>
        <w:t>2B</w:t>
      </w:r>
      <w:r w:rsidR="00CC78DE">
        <w:rPr>
          <w:szCs w:val="28"/>
          <w:lang w:val="fr-CH"/>
        </w:rPr>
        <w:t>"</w:t>
      </w:r>
      <w:r w:rsidRPr="009337AD">
        <w:rPr>
          <w:szCs w:val="28"/>
        </w:rPr>
        <w:t xml:space="preserve"> would be presented as separate</w:t>
      </w:r>
      <w:r>
        <w:rPr>
          <w:szCs w:val="28"/>
        </w:rPr>
        <w:t>,</w:t>
      </w:r>
      <w:r w:rsidRPr="009337AD">
        <w:rPr>
          <w:szCs w:val="28"/>
        </w:rPr>
        <w:t xml:space="preserve"> non-overlapping sub-categories. </w:t>
      </w:r>
    </w:p>
    <w:p w14:paraId="41F7D1B8" w14:textId="2A2C4A92" w:rsidR="008252B9" w:rsidRPr="00714CBD" w:rsidRDefault="008252B9" w:rsidP="008252B9">
      <w:pPr>
        <w:pStyle w:val="SingleTxtG"/>
        <w:numPr>
          <w:ilvl w:val="0"/>
          <w:numId w:val="22"/>
        </w:numPr>
        <w:ind w:left="1134" w:firstLine="0"/>
      </w:pPr>
      <w:r w:rsidRPr="006C619D">
        <w:rPr>
          <w:szCs w:val="28"/>
        </w:rPr>
        <w:t xml:space="preserve">The proposal does not change the scope of the classification criteria for Category 2 eye </w:t>
      </w:r>
      <w:r w:rsidRPr="00714CBD">
        <w:t xml:space="preserve">irritation, rather it </w:t>
      </w:r>
      <w:r w:rsidRPr="008252B9">
        <w:rPr>
          <w:szCs w:val="28"/>
        </w:rPr>
        <w:t>presents</w:t>
      </w:r>
      <w:r w:rsidRPr="00714CBD">
        <w:t xml:space="preserve"> the category in the same manner as for other </w:t>
      </w:r>
      <w:r>
        <w:t>s</w:t>
      </w:r>
      <w:r w:rsidRPr="009337AD">
        <w:t>ub-</w:t>
      </w:r>
      <w:r>
        <w:t>c</w:t>
      </w:r>
      <w:r w:rsidRPr="009337AD">
        <w:t xml:space="preserve">ategorization schemes in the GHS. </w:t>
      </w:r>
    </w:p>
    <w:p w14:paraId="5B355EDA" w14:textId="00359983" w:rsidR="008252B9" w:rsidRPr="00886861" w:rsidRDefault="008252B9" w:rsidP="008252B9">
      <w:pPr>
        <w:pStyle w:val="SingleTxtG"/>
        <w:numPr>
          <w:ilvl w:val="0"/>
          <w:numId w:val="22"/>
        </w:numPr>
        <w:ind w:left="1134" w:firstLine="0"/>
      </w:pPr>
      <w:r>
        <w:t>‘</w:t>
      </w:r>
      <w:r w:rsidRPr="00714CBD">
        <w:t>Category 2</w:t>
      </w:r>
      <w:r>
        <w:t>’</w:t>
      </w:r>
      <w:r w:rsidRPr="00714CBD">
        <w:t xml:space="preserve"> </w:t>
      </w:r>
      <w:r>
        <w:t xml:space="preserve">would capture </w:t>
      </w:r>
      <w:r w:rsidRPr="009337AD">
        <w:t xml:space="preserve">eye irritation that is reversible with 21 days </w:t>
      </w:r>
      <w:r>
        <w:t>(</w:t>
      </w:r>
      <w:r w:rsidRPr="009337AD">
        <w:t>as is the case now</w:t>
      </w:r>
      <w:r>
        <w:t>)</w:t>
      </w:r>
      <w:r w:rsidRPr="009337AD">
        <w:t xml:space="preserve">, while </w:t>
      </w:r>
      <w:r>
        <w:t>‘</w:t>
      </w:r>
      <w:r w:rsidRPr="009337AD">
        <w:t>Sub-</w:t>
      </w:r>
      <w:r>
        <w:t>C</w:t>
      </w:r>
      <w:r w:rsidRPr="009337AD">
        <w:t>ategory A</w:t>
      </w:r>
      <w:r>
        <w:t>’</w:t>
      </w:r>
      <w:r w:rsidRPr="009337AD">
        <w:t xml:space="preserve"> would capture eye irritation that is reversible between 8 to 21 days, and </w:t>
      </w:r>
      <w:r>
        <w:t>‘S</w:t>
      </w:r>
      <w:r w:rsidRPr="009337AD">
        <w:t>ub-</w:t>
      </w:r>
      <w:r w:rsidRPr="008252B9">
        <w:rPr>
          <w:szCs w:val="28"/>
        </w:rPr>
        <w:t>Category</w:t>
      </w:r>
      <w:r w:rsidRPr="009337AD">
        <w:t xml:space="preserve"> B</w:t>
      </w:r>
      <w:r>
        <w:t>’</w:t>
      </w:r>
      <w:r w:rsidRPr="009337AD">
        <w:t xml:space="preserve"> would capture effects </w:t>
      </w:r>
      <w:r w:rsidRPr="00886861">
        <w:t xml:space="preserve">that </w:t>
      </w:r>
      <w:r>
        <w:t>are</w:t>
      </w:r>
      <w:r w:rsidRPr="00886861">
        <w:t xml:space="preserve"> reversible with</w:t>
      </w:r>
      <w:r>
        <w:t>in</w:t>
      </w:r>
      <w:r w:rsidRPr="00886861">
        <w:t xml:space="preserve"> 1 to 7 days. </w:t>
      </w:r>
    </w:p>
    <w:p w14:paraId="5D3E49B9" w14:textId="77777777" w:rsidR="00CC78DE" w:rsidRDefault="00CC78DE">
      <w:pPr>
        <w:suppressAutoHyphens w:val="0"/>
        <w:spacing w:line="240" w:lineRule="auto"/>
        <w:rPr>
          <w:lang w:val="x-none"/>
        </w:rPr>
      </w:pPr>
      <w:r>
        <w:br w:type="page"/>
      </w:r>
    </w:p>
    <w:p w14:paraId="2984B753" w14:textId="6723A358" w:rsidR="008252B9" w:rsidRPr="006C619D" w:rsidRDefault="008252B9" w:rsidP="008252B9">
      <w:pPr>
        <w:pStyle w:val="SingleTxtG"/>
        <w:numPr>
          <w:ilvl w:val="0"/>
          <w:numId w:val="22"/>
        </w:numPr>
        <w:ind w:left="1134" w:firstLine="0"/>
        <w:rPr>
          <w:b/>
        </w:rPr>
      </w:pPr>
      <w:r w:rsidRPr="00714CBD">
        <w:lastRenderedPageBreak/>
        <w:t xml:space="preserve">A proposal for the </w:t>
      </w:r>
      <w:r w:rsidRPr="008252B9">
        <w:rPr>
          <w:szCs w:val="28"/>
        </w:rPr>
        <w:t>categorization</w:t>
      </w:r>
      <w:r w:rsidRPr="00714CBD">
        <w:t xml:space="preserve"> of Category 2 eye irritation is shown below:</w:t>
      </w:r>
      <w:r w:rsidRPr="006C619D">
        <w:rPr>
          <w:b/>
          <w:vertAlign w:val="superscript"/>
        </w:rPr>
        <w:t xml:space="preserve"> </w:t>
      </w:r>
    </w:p>
    <w:tbl>
      <w:tblPr>
        <w:tblW w:w="7371" w:type="dxa"/>
        <w:tblInd w:w="1129"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127"/>
        <w:gridCol w:w="5244"/>
      </w:tblGrid>
      <w:tr w:rsidR="008252B9" w:rsidRPr="00714CBD" w14:paraId="2D8D2BA5" w14:textId="77777777" w:rsidTr="001A173A">
        <w:tc>
          <w:tcPr>
            <w:tcW w:w="2127" w:type="dxa"/>
            <w:tcBorders>
              <w:top w:val="single" w:sz="4" w:space="0" w:color="auto"/>
              <w:bottom w:val="single" w:sz="4" w:space="0" w:color="auto"/>
            </w:tcBorders>
          </w:tcPr>
          <w:p w14:paraId="79EA3BE5" w14:textId="77777777" w:rsidR="008252B9" w:rsidRPr="00714CBD" w:rsidRDefault="008252B9" w:rsidP="000110A0">
            <w:pPr>
              <w:keepNext/>
              <w:keepLines/>
              <w:spacing w:before="40" w:after="40"/>
              <w:jc w:val="center"/>
              <w:rPr>
                <w:b/>
                <w:bCs/>
              </w:rPr>
            </w:pPr>
          </w:p>
        </w:tc>
        <w:tc>
          <w:tcPr>
            <w:tcW w:w="5244" w:type="dxa"/>
            <w:tcBorders>
              <w:top w:val="single" w:sz="4" w:space="0" w:color="auto"/>
              <w:bottom w:val="single" w:sz="4" w:space="0" w:color="auto"/>
            </w:tcBorders>
            <w:shd w:val="clear" w:color="auto" w:fill="auto"/>
            <w:vAlign w:val="center"/>
          </w:tcPr>
          <w:p w14:paraId="2A08C57E" w14:textId="77777777" w:rsidR="008252B9" w:rsidRPr="00714CBD" w:rsidRDefault="008252B9" w:rsidP="000110A0">
            <w:pPr>
              <w:keepNext/>
              <w:keepLines/>
              <w:spacing w:before="40" w:after="40"/>
              <w:jc w:val="center"/>
              <w:rPr>
                <w:b/>
                <w:bCs/>
              </w:rPr>
            </w:pPr>
            <w:r w:rsidRPr="00714CBD">
              <w:rPr>
                <w:b/>
                <w:bCs/>
              </w:rPr>
              <w:t>Criteria</w:t>
            </w:r>
          </w:p>
        </w:tc>
      </w:tr>
      <w:tr w:rsidR="008252B9" w:rsidRPr="00714CBD" w14:paraId="74078972" w14:textId="77777777" w:rsidTr="001A173A">
        <w:tc>
          <w:tcPr>
            <w:tcW w:w="2127" w:type="dxa"/>
            <w:tcBorders>
              <w:top w:val="single" w:sz="4" w:space="0" w:color="auto"/>
              <w:bottom w:val="single" w:sz="4" w:space="0" w:color="auto"/>
            </w:tcBorders>
          </w:tcPr>
          <w:p w14:paraId="1BD02D9D" w14:textId="77777777" w:rsidR="008252B9" w:rsidRPr="00714CBD" w:rsidRDefault="008252B9" w:rsidP="000110A0">
            <w:pPr>
              <w:keepNext/>
              <w:keepLines/>
              <w:spacing w:before="40" w:after="40"/>
              <w:jc w:val="center"/>
              <w:rPr>
                <w:b/>
                <w:bCs/>
              </w:rPr>
            </w:pPr>
          </w:p>
        </w:tc>
        <w:tc>
          <w:tcPr>
            <w:tcW w:w="5244" w:type="dxa"/>
            <w:tcBorders>
              <w:top w:val="single" w:sz="4" w:space="0" w:color="auto"/>
              <w:bottom w:val="single" w:sz="4" w:space="0" w:color="auto"/>
            </w:tcBorders>
            <w:shd w:val="clear" w:color="auto" w:fill="auto"/>
            <w:vAlign w:val="center"/>
          </w:tcPr>
          <w:p w14:paraId="1C729D41" w14:textId="77777777" w:rsidR="008252B9" w:rsidRPr="00714CBD" w:rsidRDefault="008252B9" w:rsidP="000110A0">
            <w:pPr>
              <w:keepNext/>
              <w:keepLines/>
              <w:spacing w:before="40" w:after="40"/>
              <w:rPr>
                <w:bCs/>
              </w:rPr>
            </w:pPr>
            <w:r w:rsidRPr="00714CBD">
              <w:t>Substances that have the potential to induce reversible eye irritation</w:t>
            </w:r>
          </w:p>
        </w:tc>
      </w:tr>
      <w:tr w:rsidR="008252B9" w:rsidRPr="00714CBD" w14:paraId="4AC8AF7D" w14:textId="77777777" w:rsidTr="001A173A">
        <w:tc>
          <w:tcPr>
            <w:tcW w:w="2127" w:type="dxa"/>
            <w:vMerge w:val="restart"/>
            <w:tcBorders>
              <w:top w:val="single" w:sz="4" w:space="0" w:color="auto"/>
              <w:bottom w:val="single" w:sz="4" w:space="0" w:color="auto"/>
            </w:tcBorders>
          </w:tcPr>
          <w:p w14:paraId="6030DB84" w14:textId="77777777" w:rsidR="008252B9" w:rsidRPr="00714CBD" w:rsidRDefault="008252B9" w:rsidP="000110A0">
            <w:pPr>
              <w:keepNext/>
              <w:keepLines/>
              <w:tabs>
                <w:tab w:val="left" w:pos="432"/>
              </w:tabs>
              <w:spacing w:before="40" w:after="40"/>
              <w:rPr>
                <w:b/>
              </w:rPr>
            </w:pPr>
            <w:r w:rsidRPr="00714CBD">
              <w:rPr>
                <w:b/>
              </w:rPr>
              <w:t>Category 2</w:t>
            </w:r>
          </w:p>
        </w:tc>
        <w:tc>
          <w:tcPr>
            <w:tcW w:w="5244" w:type="dxa"/>
            <w:tcBorders>
              <w:top w:val="single" w:sz="4" w:space="0" w:color="auto"/>
              <w:bottom w:val="nil"/>
            </w:tcBorders>
            <w:shd w:val="clear" w:color="auto" w:fill="auto"/>
          </w:tcPr>
          <w:p w14:paraId="4D622F98" w14:textId="77777777" w:rsidR="008252B9" w:rsidRPr="00714CBD" w:rsidRDefault="008252B9" w:rsidP="000110A0">
            <w:pPr>
              <w:keepNext/>
              <w:keepLines/>
              <w:tabs>
                <w:tab w:val="left" w:pos="432"/>
              </w:tabs>
              <w:spacing w:before="40" w:after="40"/>
              <w:rPr>
                <w:bCs/>
              </w:rPr>
            </w:pPr>
            <w:r w:rsidRPr="00714CBD">
              <w:t>Substances that produce in at least 2 of 3 tested animals a positive response of:</w:t>
            </w:r>
          </w:p>
        </w:tc>
      </w:tr>
      <w:tr w:rsidR="008252B9" w:rsidRPr="00714CBD" w14:paraId="6BF25B86" w14:textId="77777777" w:rsidTr="001A173A">
        <w:tc>
          <w:tcPr>
            <w:tcW w:w="2127" w:type="dxa"/>
            <w:vMerge/>
            <w:tcBorders>
              <w:top w:val="single" w:sz="4" w:space="0" w:color="auto"/>
              <w:bottom w:val="single" w:sz="4" w:space="0" w:color="auto"/>
            </w:tcBorders>
          </w:tcPr>
          <w:p w14:paraId="10011D03" w14:textId="77777777" w:rsidR="008252B9" w:rsidRPr="00714CBD" w:rsidRDefault="008252B9" w:rsidP="000110A0">
            <w:pPr>
              <w:keepNext/>
              <w:keepLines/>
              <w:spacing w:before="40" w:after="40"/>
              <w:ind w:left="792" w:hanging="360"/>
            </w:pPr>
          </w:p>
        </w:tc>
        <w:tc>
          <w:tcPr>
            <w:tcW w:w="5244" w:type="dxa"/>
            <w:tcBorders>
              <w:top w:val="nil"/>
            </w:tcBorders>
            <w:shd w:val="clear" w:color="auto" w:fill="auto"/>
          </w:tcPr>
          <w:p w14:paraId="15C2C453" w14:textId="77777777" w:rsidR="008252B9" w:rsidRPr="00714CBD" w:rsidRDefault="008252B9" w:rsidP="000110A0">
            <w:pPr>
              <w:keepNext/>
              <w:keepLines/>
              <w:spacing w:before="40" w:after="40"/>
              <w:ind w:left="459" w:hanging="426"/>
              <w:rPr>
                <w:bCs/>
              </w:rPr>
            </w:pPr>
            <w:r w:rsidRPr="00714CBD">
              <w:t>(a)</w:t>
            </w:r>
            <w:r w:rsidRPr="00714CBD">
              <w:tab/>
              <w:t xml:space="preserve">corneal opacity </w:t>
            </w:r>
            <w:r w:rsidRPr="00714CBD">
              <w:sym w:font="Symbol" w:char="F0B3"/>
            </w:r>
            <w:r w:rsidRPr="00714CBD">
              <w:t xml:space="preserve"> 1; and/or</w:t>
            </w:r>
          </w:p>
        </w:tc>
      </w:tr>
      <w:tr w:rsidR="008252B9" w:rsidRPr="00714CBD" w14:paraId="3797C408" w14:textId="77777777" w:rsidTr="001A173A">
        <w:tc>
          <w:tcPr>
            <w:tcW w:w="2127" w:type="dxa"/>
            <w:vMerge/>
            <w:tcBorders>
              <w:top w:val="single" w:sz="4" w:space="0" w:color="auto"/>
              <w:bottom w:val="single" w:sz="4" w:space="0" w:color="auto"/>
            </w:tcBorders>
          </w:tcPr>
          <w:p w14:paraId="4BAE066F" w14:textId="77777777" w:rsidR="008252B9" w:rsidRPr="00714CBD" w:rsidRDefault="008252B9" w:rsidP="000110A0">
            <w:pPr>
              <w:keepNext/>
              <w:keepLines/>
              <w:spacing w:before="40" w:after="40"/>
              <w:ind w:left="792" w:hanging="360"/>
            </w:pPr>
          </w:p>
        </w:tc>
        <w:tc>
          <w:tcPr>
            <w:tcW w:w="5244" w:type="dxa"/>
            <w:shd w:val="clear" w:color="auto" w:fill="auto"/>
          </w:tcPr>
          <w:p w14:paraId="6E39B9BF" w14:textId="77777777" w:rsidR="008252B9" w:rsidRPr="00714CBD" w:rsidRDefault="008252B9" w:rsidP="000110A0">
            <w:pPr>
              <w:keepNext/>
              <w:keepLines/>
              <w:spacing w:before="40" w:after="40"/>
              <w:ind w:left="459" w:hanging="426"/>
            </w:pPr>
            <w:r w:rsidRPr="00714CBD">
              <w:t>(b)</w:t>
            </w:r>
            <w:r w:rsidRPr="00714CBD">
              <w:tab/>
              <w:t xml:space="preserve">iritis </w:t>
            </w:r>
            <w:r w:rsidRPr="00714CBD">
              <w:sym w:font="Symbol" w:char="F0B3"/>
            </w:r>
            <w:r w:rsidRPr="00714CBD">
              <w:t xml:space="preserve"> 1; and/or</w:t>
            </w:r>
          </w:p>
        </w:tc>
      </w:tr>
      <w:tr w:rsidR="008252B9" w:rsidRPr="00714CBD" w14:paraId="5A5AF185" w14:textId="77777777" w:rsidTr="001A173A">
        <w:tc>
          <w:tcPr>
            <w:tcW w:w="2127" w:type="dxa"/>
            <w:vMerge/>
            <w:tcBorders>
              <w:top w:val="single" w:sz="4" w:space="0" w:color="auto"/>
              <w:bottom w:val="single" w:sz="4" w:space="0" w:color="auto"/>
            </w:tcBorders>
          </w:tcPr>
          <w:p w14:paraId="54483342" w14:textId="77777777" w:rsidR="008252B9" w:rsidRPr="00714CBD" w:rsidRDefault="008252B9" w:rsidP="000110A0">
            <w:pPr>
              <w:keepNext/>
              <w:keepLines/>
              <w:spacing w:before="40" w:after="40"/>
              <w:ind w:left="792" w:hanging="360"/>
            </w:pPr>
          </w:p>
        </w:tc>
        <w:tc>
          <w:tcPr>
            <w:tcW w:w="5244" w:type="dxa"/>
            <w:shd w:val="clear" w:color="auto" w:fill="auto"/>
          </w:tcPr>
          <w:p w14:paraId="70E34856" w14:textId="77777777" w:rsidR="008252B9" w:rsidRPr="00714CBD" w:rsidRDefault="008252B9" w:rsidP="000110A0">
            <w:pPr>
              <w:keepNext/>
              <w:keepLines/>
              <w:spacing w:before="40" w:after="40"/>
              <w:ind w:left="459" w:hanging="426"/>
            </w:pPr>
            <w:r w:rsidRPr="00714CBD">
              <w:t>(c)</w:t>
            </w:r>
            <w:r w:rsidRPr="00714CBD">
              <w:tab/>
              <w:t xml:space="preserve">conjunctival redness </w:t>
            </w:r>
            <w:r w:rsidRPr="00714CBD">
              <w:sym w:font="Symbol" w:char="F0B3"/>
            </w:r>
            <w:r w:rsidRPr="00714CBD">
              <w:t xml:space="preserve"> 2; and/or</w:t>
            </w:r>
          </w:p>
        </w:tc>
      </w:tr>
      <w:tr w:rsidR="008252B9" w:rsidRPr="00714CBD" w14:paraId="7AFD888F" w14:textId="77777777" w:rsidTr="001A173A">
        <w:tc>
          <w:tcPr>
            <w:tcW w:w="2127" w:type="dxa"/>
            <w:vMerge/>
            <w:tcBorders>
              <w:top w:val="single" w:sz="4" w:space="0" w:color="auto"/>
              <w:bottom w:val="single" w:sz="4" w:space="0" w:color="auto"/>
            </w:tcBorders>
          </w:tcPr>
          <w:p w14:paraId="6DF052E8" w14:textId="77777777" w:rsidR="008252B9" w:rsidRPr="00714CBD" w:rsidRDefault="008252B9" w:rsidP="000110A0">
            <w:pPr>
              <w:keepNext/>
              <w:keepLines/>
              <w:spacing w:before="40" w:after="40"/>
              <w:ind w:left="792" w:hanging="360"/>
            </w:pPr>
          </w:p>
        </w:tc>
        <w:tc>
          <w:tcPr>
            <w:tcW w:w="5244" w:type="dxa"/>
            <w:shd w:val="clear" w:color="auto" w:fill="auto"/>
          </w:tcPr>
          <w:p w14:paraId="37A97515" w14:textId="77777777" w:rsidR="008252B9" w:rsidRPr="00714CBD" w:rsidRDefault="008252B9" w:rsidP="000110A0">
            <w:pPr>
              <w:keepNext/>
              <w:keepLines/>
              <w:spacing w:before="40" w:after="40"/>
              <w:ind w:left="459" w:hanging="426"/>
            </w:pPr>
            <w:r w:rsidRPr="00714CBD">
              <w:t>(d)</w:t>
            </w:r>
            <w:r w:rsidRPr="00714CBD">
              <w:tab/>
              <w:t xml:space="preserve">conjunctival oedema (chemosis) </w:t>
            </w:r>
            <w:r w:rsidRPr="00714CBD">
              <w:sym w:font="Symbol" w:char="F0B3"/>
            </w:r>
            <w:r w:rsidRPr="00714CBD">
              <w:t xml:space="preserve"> 2</w:t>
            </w:r>
          </w:p>
        </w:tc>
      </w:tr>
      <w:tr w:rsidR="008252B9" w:rsidRPr="00714CBD" w14:paraId="309E13A9" w14:textId="77777777" w:rsidTr="001A173A">
        <w:tc>
          <w:tcPr>
            <w:tcW w:w="2127" w:type="dxa"/>
            <w:vMerge/>
            <w:tcBorders>
              <w:top w:val="single" w:sz="4" w:space="0" w:color="auto"/>
              <w:bottom w:val="single" w:sz="4" w:space="0" w:color="auto"/>
            </w:tcBorders>
          </w:tcPr>
          <w:p w14:paraId="6B6CBF4C" w14:textId="77777777" w:rsidR="008252B9" w:rsidRPr="00714CBD" w:rsidRDefault="008252B9" w:rsidP="000110A0">
            <w:pPr>
              <w:keepNext/>
              <w:keepLines/>
              <w:spacing w:before="40" w:after="40"/>
              <w:ind w:left="432" w:hanging="432"/>
            </w:pPr>
          </w:p>
        </w:tc>
        <w:tc>
          <w:tcPr>
            <w:tcW w:w="5244" w:type="dxa"/>
            <w:tcBorders>
              <w:bottom w:val="single" w:sz="4" w:space="0" w:color="auto"/>
            </w:tcBorders>
            <w:shd w:val="clear" w:color="auto" w:fill="auto"/>
          </w:tcPr>
          <w:p w14:paraId="45F3AF6F" w14:textId="4315EFEE" w:rsidR="008252B9" w:rsidRPr="00714CBD" w:rsidRDefault="008252B9" w:rsidP="001E428A">
            <w:pPr>
              <w:keepNext/>
              <w:keepLines/>
              <w:spacing w:before="40" w:after="40"/>
              <w:ind w:left="33" w:hanging="16"/>
            </w:pPr>
            <w:r w:rsidRPr="00714CBD">
              <w:t>calculated as the mean scores following grading at 24, 48 and 72 hours after instillation of the test material, and which fully reverses within an observation period of normally 21 days.</w:t>
            </w:r>
          </w:p>
        </w:tc>
      </w:tr>
      <w:tr w:rsidR="008252B9" w:rsidRPr="00714CBD" w14:paraId="029D2397" w14:textId="77777777" w:rsidTr="001A173A">
        <w:tc>
          <w:tcPr>
            <w:tcW w:w="2127" w:type="dxa"/>
            <w:tcBorders>
              <w:top w:val="single" w:sz="4" w:space="0" w:color="auto"/>
              <w:bottom w:val="single" w:sz="4" w:space="0" w:color="auto"/>
            </w:tcBorders>
          </w:tcPr>
          <w:p w14:paraId="3B65082C" w14:textId="32240022" w:rsidR="008252B9" w:rsidRPr="00714CBD" w:rsidRDefault="001E428A" w:rsidP="000110A0">
            <w:pPr>
              <w:keepNext/>
              <w:keepLines/>
              <w:spacing w:before="40" w:after="40"/>
              <w:rPr>
                <w:b/>
              </w:rPr>
            </w:pPr>
            <w:r w:rsidRPr="001E428A">
              <w:rPr>
                <w:b/>
                <w:color w:val="FF0000"/>
                <w:u w:val="single"/>
              </w:rPr>
              <w:t>Sub-</w:t>
            </w:r>
            <w:r w:rsidR="008252B9" w:rsidRPr="00714CBD">
              <w:rPr>
                <w:b/>
              </w:rPr>
              <w:t>Category 2A</w:t>
            </w:r>
          </w:p>
        </w:tc>
        <w:tc>
          <w:tcPr>
            <w:tcW w:w="5244" w:type="dxa"/>
            <w:tcBorders>
              <w:top w:val="single" w:sz="4" w:space="0" w:color="auto"/>
              <w:bottom w:val="single" w:sz="4" w:space="0" w:color="auto"/>
            </w:tcBorders>
            <w:shd w:val="clear" w:color="auto" w:fill="auto"/>
          </w:tcPr>
          <w:p w14:paraId="6FD523A8" w14:textId="7B8EE5AE" w:rsidR="00307CE9" w:rsidRPr="00C105BD" w:rsidRDefault="008252B9" w:rsidP="00307CE9">
            <w:pPr>
              <w:rPr>
                <w:strike/>
              </w:rPr>
            </w:pPr>
            <w:r>
              <w:t>A</w:t>
            </w:r>
            <w:r w:rsidRPr="00714CBD">
              <w:t xml:space="preserve">n eye irritant is considered </w:t>
            </w:r>
            <w:r w:rsidRPr="00714CBD">
              <w:rPr>
                <w:bCs/>
              </w:rPr>
              <w:t>irritating to eyes</w:t>
            </w:r>
            <w:r w:rsidR="00074785">
              <w:t xml:space="preserve"> when the effects listed above</w:t>
            </w:r>
            <w:r w:rsidR="00074785">
              <w:rPr>
                <w:color w:val="FF0000"/>
                <w:u w:val="single"/>
              </w:rPr>
              <w:t xml:space="preserve"> are </w:t>
            </w:r>
            <w:r w:rsidR="000110A0">
              <w:rPr>
                <w:color w:val="FF0000"/>
                <w:u w:val="single"/>
              </w:rPr>
              <w:t xml:space="preserve">fully reversible </w:t>
            </w:r>
            <w:r w:rsidR="00074785" w:rsidRPr="00074785">
              <w:rPr>
                <w:color w:val="FF0000"/>
                <w:u w:val="single"/>
              </w:rPr>
              <w:t xml:space="preserve">within an observation period </w:t>
            </w:r>
            <w:r w:rsidR="00307CE9">
              <w:rPr>
                <w:color w:val="FF0000"/>
                <w:u w:val="single"/>
              </w:rPr>
              <w:t xml:space="preserve">of </w:t>
            </w:r>
            <w:r w:rsidR="00074785">
              <w:rPr>
                <w:color w:val="FF0000"/>
                <w:u w:val="single"/>
              </w:rPr>
              <w:t>greater than 7</w:t>
            </w:r>
            <w:r w:rsidR="008177F1">
              <w:rPr>
                <w:color w:val="FF0000"/>
                <w:u w:val="single"/>
              </w:rPr>
              <w:t xml:space="preserve"> </w:t>
            </w:r>
            <w:r w:rsidR="00307CE9">
              <w:rPr>
                <w:color w:val="FF0000"/>
                <w:u w:val="single"/>
              </w:rPr>
              <w:t>days</w:t>
            </w:r>
            <w:r w:rsidR="00074785">
              <w:rPr>
                <w:color w:val="FF0000"/>
                <w:u w:val="single"/>
              </w:rPr>
              <w:t xml:space="preserve"> and </w:t>
            </w:r>
            <w:r w:rsidR="00AA2A3F">
              <w:rPr>
                <w:color w:val="FF0000"/>
                <w:u w:val="single"/>
              </w:rPr>
              <w:t xml:space="preserve">not more than </w:t>
            </w:r>
            <w:r w:rsidR="00074785" w:rsidRPr="00074785">
              <w:rPr>
                <w:color w:val="FF0000"/>
                <w:u w:val="single"/>
              </w:rPr>
              <w:t>21 </w:t>
            </w:r>
            <w:proofErr w:type="gramStart"/>
            <w:r w:rsidR="00074785" w:rsidRPr="00074785">
              <w:rPr>
                <w:color w:val="FF0000"/>
                <w:u w:val="single"/>
              </w:rPr>
              <w:t>days</w:t>
            </w:r>
            <w:r w:rsidR="00074785">
              <w:t xml:space="preserve"> </w:t>
            </w:r>
            <w:r w:rsidR="00307CE9">
              <w:t>.</w:t>
            </w:r>
            <w:proofErr w:type="gramEnd"/>
            <w:r w:rsidR="00307CE9" w:rsidRPr="00C105BD">
              <w:rPr>
                <w:strike/>
              </w:rPr>
              <w:t xml:space="preserve"> are fully reversible within 8 to 21 days of observation.</w:t>
            </w:r>
          </w:p>
          <w:p w14:paraId="2DF7484B" w14:textId="6B6EAED5" w:rsidR="008252B9" w:rsidRPr="00714CBD" w:rsidRDefault="008252B9" w:rsidP="00307CE9">
            <w:pPr>
              <w:keepNext/>
              <w:keepLines/>
              <w:spacing w:before="40" w:after="40"/>
            </w:pPr>
          </w:p>
        </w:tc>
      </w:tr>
      <w:tr w:rsidR="008252B9" w:rsidRPr="00714CBD" w14:paraId="0943C39F" w14:textId="77777777" w:rsidTr="001A173A">
        <w:tc>
          <w:tcPr>
            <w:tcW w:w="2127" w:type="dxa"/>
            <w:tcBorders>
              <w:top w:val="single" w:sz="4" w:space="0" w:color="auto"/>
            </w:tcBorders>
          </w:tcPr>
          <w:p w14:paraId="616B1020" w14:textId="04F0AEB7" w:rsidR="008252B9" w:rsidRPr="00714CBD" w:rsidRDefault="001E428A" w:rsidP="000110A0">
            <w:pPr>
              <w:keepNext/>
              <w:keepLines/>
              <w:spacing w:before="40" w:after="40"/>
              <w:rPr>
                <w:b/>
              </w:rPr>
            </w:pPr>
            <w:r w:rsidRPr="001E428A">
              <w:rPr>
                <w:b/>
                <w:color w:val="FF0000"/>
                <w:u w:val="single"/>
              </w:rPr>
              <w:t>Sub-</w:t>
            </w:r>
            <w:r w:rsidR="008252B9" w:rsidRPr="00714CBD">
              <w:rPr>
                <w:b/>
              </w:rPr>
              <w:t>Category 2B</w:t>
            </w:r>
          </w:p>
        </w:tc>
        <w:tc>
          <w:tcPr>
            <w:tcW w:w="5244" w:type="dxa"/>
            <w:tcBorders>
              <w:top w:val="single" w:sz="4" w:space="0" w:color="auto"/>
              <w:bottom w:val="single" w:sz="4" w:space="0" w:color="auto"/>
            </w:tcBorders>
            <w:shd w:val="clear" w:color="auto" w:fill="auto"/>
          </w:tcPr>
          <w:p w14:paraId="044E2211" w14:textId="56E34A52" w:rsidR="008177F1" w:rsidRPr="008F76E2" w:rsidRDefault="008252B9" w:rsidP="008177F1">
            <w:pPr>
              <w:rPr>
                <w:strike/>
              </w:rPr>
            </w:pPr>
            <w:r w:rsidRPr="00714CBD">
              <w:t xml:space="preserve">An eye irritant is considered </w:t>
            </w:r>
            <w:r w:rsidRPr="00714CBD">
              <w:rPr>
                <w:bCs/>
              </w:rPr>
              <w:t>mildly irritating to eyes</w:t>
            </w:r>
            <w:r w:rsidRPr="00714CBD">
              <w:t xml:space="preserve"> when the effects listed above are </w:t>
            </w:r>
            <w:r w:rsidR="00074785" w:rsidRPr="00714CBD">
              <w:t>fully reversible</w:t>
            </w:r>
            <w:r w:rsidR="008177F1" w:rsidRPr="008177F1">
              <w:rPr>
                <w:color w:val="FF0000"/>
                <w:u w:val="single"/>
              </w:rPr>
              <w:t xml:space="preserve"> within an observation period of seven days</w:t>
            </w:r>
            <w:r w:rsidR="00AA2A3F">
              <w:rPr>
                <w:color w:val="FF0000"/>
                <w:u w:val="single"/>
              </w:rPr>
              <w:t>.</w:t>
            </w:r>
            <w:r w:rsidR="008177F1">
              <w:t xml:space="preserve"> </w:t>
            </w:r>
            <w:r w:rsidR="008177F1" w:rsidRPr="008F76E2">
              <w:rPr>
                <w:strike/>
              </w:rPr>
              <w:t>within 7 days of observation</w:t>
            </w:r>
          </w:p>
          <w:p w14:paraId="63568546" w14:textId="52E6C8AE" w:rsidR="008252B9" w:rsidRPr="00714CBD" w:rsidRDefault="008252B9" w:rsidP="008177F1">
            <w:pPr>
              <w:keepNext/>
              <w:keepLines/>
              <w:spacing w:before="40" w:after="40"/>
            </w:pPr>
          </w:p>
        </w:tc>
      </w:tr>
    </w:tbl>
    <w:p w14:paraId="1CE25C32" w14:textId="5C16F2BD" w:rsidR="008252B9" w:rsidRPr="006C619D" w:rsidRDefault="008252B9" w:rsidP="00B71013">
      <w:pPr>
        <w:pStyle w:val="SingleTxtG"/>
        <w:numPr>
          <w:ilvl w:val="0"/>
          <w:numId w:val="22"/>
        </w:numPr>
        <w:spacing w:before="240"/>
        <w:ind w:left="1134" w:firstLine="0"/>
      </w:pPr>
      <w:r w:rsidRPr="008E4A40">
        <w:t xml:space="preserve">The criteria proposed are identical to those set out in chapter 3.3 currently, with the exception that </w:t>
      </w:r>
      <w:r w:rsidRPr="00F85175">
        <w:t>sub-</w:t>
      </w:r>
      <w:r w:rsidRPr="008252B9">
        <w:rPr>
          <w:lang w:val="en-AU"/>
        </w:rPr>
        <w:t>categories</w:t>
      </w:r>
      <w:r w:rsidRPr="00F85175">
        <w:t xml:space="preserve"> 2A and 2B do not overlap. Authorities may still choose to use either </w:t>
      </w:r>
      <w:r>
        <w:t>C</w:t>
      </w:r>
      <w:r w:rsidRPr="00F85175">
        <w:t xml:space="preserve">ategory 2 or </w:t>
      </w:r>
      <w:r>
        <w:t>S</w:t>
      </w:r>
      <w:r w:rsidRPr="00F85175">
        <w:t>ub-</w:t>
      </w:r>
      <w:r>
        <w:t>C</w:t>
      </w:r>
      <w:r w:rsidRPr="00F85175">
        <w:t>ategories</w:t>
      </w:r>
      <w:r w:rsidRPr="00886861">
        <w:t xml:space="preserve"> 2A and 2B. However, </w:t>
      </w:r>
      <w:r w:rsidR="00393CD1">
        <w:rPr>
          <w:lang w:val="en-AU"/>
        </w:rPr>
        <w:t>the proposed</w:t>
      </w:r>
      <w:r w:rsidR="00393CD1" w:rsidRPr="00886861">
        <w:t xml:space="preserve"> </w:t>
      </w:r>
      <w:r w:rsidRPr="00886861">
        <w:t>approach would provide clarity</w:t>
      </w:r>
      <w:r w:rsidR="00393CD1">
        <w:rPr>
          <w:lang w:val="en-AU"/>
        </w:rPr>
        <w:t xml:space="preserve"> both w</w:t>
      </w:r>
      <w:r w:rsidR="00121390">
        <w:rPr>
          <w:lang w:val="en-AU"/>
        </w:rPr>
        <w:t>here authorities do not require</w:t>
      </w:r>
      <w:r w:rsidRPr="00886861">
        <w:t xml:space="preserve"> </w:t>
      </w:r>
      <w:r w:rsidR="00393CD1">
        <w:t>sub-categorization and also where sub-categorization is required where supported by data</w:t>
      </w:r>
      <w:r w:rsidR="00393CD1">
        <w:rPr>
          <w:lang w:val="en-AU"/>
        </w:rPr>
        <w:t>.</w:t>
      </w:r>
      <w:r w:rsidRPr="006C619D">
        <w:rPr>
          <w:szCs w:val="28"/>
        </w:rPr>
        <w:t xml:space="preserve"> </w:t>
      </w:r>
    </w:p>
    <w:p w14:paraId="63C8A752" w14:textId="77777777" w:rsidR="008252B9" w:rsidRPr="006C619D" w:rsidRDefault="008252B9" w:rsidP="008252B9">
      <w:pPr>
        <w:pStyle w:val="SingleTxtG"/>
        <w:numPr>
          <w:ilvl w:val="0"/>
          <w:numId w:val="22"/>
        </w:numPr>
        <w:ind w:left="1134" w:firstLine="0"/>
      </w:pPr>
      <w:r w:rsidRPr="006C619D">
        <w:rPr>
          <w:szCs w:val="28"/>
        </w:rPr>
        <w:t xml:space="preserve">It is expect that </w:t>
      </w:r>
      <w:r w:rsidRPr="008252B9">
        <w:rPr>
          <w:lang w:val="en-AU"/>
        </w:rPr>
        <w:t>only</w:t>
      </w:r>
      <w:r w:rsidRPr="006C619D">
        <w:rPr>
          <w:szCs w:val="28"/>
        </w:rPr>
        <w:t xml:space="preserve"> minimal changes to section 3.3.2 of the GHS would be needed to clarify the classification criteria and</w:t>
      </w:r>
      <w:r>
        <w:rPr>
          <w:szCs w:val="28"/>
        </w:rPr>
        <w:t xml:space="preserve"> refine the</w:t>
      </w:r>
      <w:r w:rsidRPr="006C619D">
        <w:rPr>
          <w:szCs w:val="28"/>
        </w:rPr>
        <w:t xml:space="preserve"> terminology. Consequential changes to Annexes 1 and 3 would also be required.  </w:t>
      </w:r>
    </w:p>
    <w:p w14:paraId="238B4A79" w14:textId="005A3D73" w:rsidR="00C5745C" w:rsidRDefault="008252B9" w:rsidP="00C5745C">
      <w:pPr>
        <w:pStyle w:val="HChG"/>
        <w:ind w:firstLine="0"/>
        <w:rPr>
          <w:lang w:val="en-AU"/>
        </w:rPr>
      </w:pPr>
      <w:r>
        <w:rPr>
          <w:lang w:val="en-AU"/>
        </w:rPr>
        <w:t xml:space="preserve">Next </w:t>
      </w:r>
      <w:r w:rsidR="0026022E">
        <w:rPr>
          <w:lang w:val="en-AU"/>
        </w:rPr>
        <w:t>s</w:t>
      </w:r>
      <w:r>
        <w:rPr>
          <w:lang w:val="en-AU"/>
        </w:rPr>
        <w:t>teps</w:t>
      </w:r>
    </w:p>
    <w:p w14:paraId="03C4AB23" w14:textId="77777777" w:rsidR="008252B9" w:rsidRPr="006C619D" w:rsidRDefault="008252B9" w:rsidP="008252B9">
      <w:pPr>
        <w:pStyle w:val="SingleTxtG"/>
        <w:numPr>
          <w:ilvl w:val="0"/>
          <w:numId w:val="22"/>
        </w:numPr>
        <w:ind w:left="1134" w:firstLine="0"/>
        <w:rPr>
          <w:szCs w:val="28"/>
        </w:rPr>
      </w:pPr>
      <w:r w:rsidRPr="006C619D">
        <w:rPr>
          <w:szCs w:val="28"/>
        </w:rPr>
        <w:t xml:space="preserve">The expert from Australia welcomes any comments on the proposal, including any alternative proposals. </w:t>
      </w:r>
    </w:p>
    <w:p w14:paraId="277521BD" w14:textId="70434248" w:rsidR="008252B9" w:rsidRPr="008252B9" w:rsidRDefault="008252B9" w:rsidP="000110A0">
      <w:pPr>
        <w:pStyle w:val="SingleTxtG"/>
        <w:numPr>
          <w:ilvl w:val="0"/>
          <w:numId w:val="22"/>
        </w:numPr>
        <w:ind w:left="1134" w:firstLine="0"/>
        <w:rPr>
          <w:lang w:val="en-AU"/>
        </w:rPr>
      </w:pPr>
      <w:r w:rsidRPr="008252B9">
        <w:rPr>
          <w:szCs w:val="28"/>
        </w:rPr>
        <w:t xml:space="preserve">If the Sub-Committee is supportive of this approach, the expert from Australia will prepare a formal paper for agreement at the 39th session. This </w:t>
      </w:r>
      <w:r w:rsidR="00CC78DE">
        <w:rPr>
          <w:szCs w:val="28"/>
          <w:lang w:val="fr-CH"/>
        </w:rPr>
        <w:t>document</w:t>
      </w:r>
      <w:r w:rsidRPr="008252B9">
        <w:rPr>
          <w:szCs w:val="28"/>
        </w:rPr>
        <w:t xml:space="preserve"> would include the complete changes needed to implement this proposal. </w:t>
      </w:r>
    </w:p>
    <w:p w14:paraId="2366D60D" w14:textId="399F277B" w:rsidR="000F3B1C" w:rsidRPr="00CC78DE" w:rsidRDefault="00CC78DE" w:rsidP="00CC78DE">
      <w:pPr>
        <w:spacing w:before="240"/>
        <w:jc w:val="center"/>
        <w:rPr>
          <w:u w:val="single"/>
          <w:lang w:val="en-AU"/>
        </w:rPr>
      </w:pPr>
      <w:r>
        <w:rPr>
          <w:u w:val="single"/>
          <w:lang w:val="en-AU"/>
        </w:rPr>
        <w:tab/>
      </w:r>
      <w:r>
        <w:rPr>
          <w:u w:val="single"/>
          <w:lang w:val="en-AU"/>
        </w:rPr>
        <w:tab/>
      </w:r>
      <w:r>
        <w:rPr>
          <w:u w:val="single"/>
          <w:lang w:val="en-AU"/>
        </w:rPr>
        <w:tab/>
      </w:r>
    </w:p>
    <w:sectPr w:rsidR="000F3B1C" w:rsidRPr="00CC78DE" w:rsidSect="00A8623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134" w:header="851" w:footer="75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35262" w14:textId="77777777" w:rsidR="000110A0" w:rsidRDefault="000110A0"/>
  </w:endnote>
  <w:endnote w:type="continuationSeparator" w:id="0">
    <w:p w14:paraId="03E505C9" w14:textId="77777777" w:rsidR="000110A0" w:rsidRDefault="000110A0"/>
  </w:endnote>
  <w:endnote w:type="continuationNotice" w:id="1">
    <w:p w14:paraId="3586D7DA" w14:textId="77777777" w:rsidR="000110A0" w:rsidRDefault="000110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1847941257"/>
      <w:docPartObj>
        <w:docPartGallery w:val="Page Numbers (Bottom of Page)"/>
        <w:docPartUnique/>
      </w:docPartObj>
    </w:sdtPr>
    <w:sdtEndPr>
      <w:rPr>
        <w:noProof/>
      </w:rPr>
    </w:sdtEndPr>
    <w:sdtContent>
      <w:p w14:paraId="6AAA6D17" w14:textId="65FBC916" w:rsidR="000110A0" w:rsidRPr="009F228E" w:rsidRDefault="000110A0">
        <w:pPr>
          <w:pStyle w:val="Footer"/>
          <w:rPr>
            <w:b/>
            <w:sz w:val="18"/>
            <w:szCs w:val="18"/>
          </w:rPr>
        </w:pPr>
        <w:r w:rsidRPr="009F228E">
          <w:rPr>
            <w:b/>
            <w:sz w:val="18"/>
            <w:szCs w:val="18"/>
          </w:rPr>
          <w:fldChar w:fldCharType="begin"/>
        </w:r>
        <w:r w:rsidRPr="009F228E">
          <w:rPr>
            <w:b/>
            <w:sz w:val="18"/>
            <w:szCs w:val="18"/>
          </w:rPr>
          <w:instrText xml:space="preserve"> PAGE   \* MERGEFORMAT </w:instrText>
        </w:r>
        <w:r w:rsidRPr="009F228E">
          <w:rPr>
            <w:b/>
            <w:sz w:val="18"/>
            <w:szCs w:val="18"/>
          </w:rPr>
          <w:fldChar w:fldCharType="separate"/>
        </w:r>
        <w:r w:rsidR="00AA2A3F">
          <w:rPr>
            <w:b/>
            <w:noProof/>
            <w:sz w:val="18"/>
            <w:szCs w:val="18"/>
          </w:rPr>
          <w:t>4</w:t>
        </w:r>
        <w:r w:rsidRPr="009F228E">
          <w:rPr>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1623575685"/>
      <w:docPartObj>
        <w:docPartGallery w:val="Page Numbers (Bottom of Page)"/>
        <w:docPartUnique/>
      </w:docPartObj>
    </w:sdtPr>
    <w:sdtEndPr>
      <w:rPr>
        <w:noProof/>
      </w:rPr>
    </w:sdtEndPr>
    <w:sdtContent>
      <w:p w14:paraId="46503E9F" w14:textId="7327D7D0" w:rsidR="000110A0" w:rsidRPr="009F228E" w:rsidRDefault="000110A0">
        <w:pPr>
          <w:pStyle w:val="Footer"/>
          <w:jc w:val="right"/>
          <w:rPr>
            <w:b/>
            <w:sz w:val="18"/>
            <w:szCs w:val="18"/>
          </w:rPr>
        </w:pPr>
        <w:r w:rsidRPr="009F228E">
          <w:rPr>
            <w:b/>
            <w:sz w:val="18"/>
            <w:szCs w:val="18"/>
          </w:rPr>
          <w:fldChar w:fldCharType="begin"/>
        </w:r>
        <w:r w:rsidRPr="009F228E">
          <w:rPr>
            <w:b/>
            <w:sz w:val="18"/>
            <w:szCs w:val="18"/>
          </w:rPr>
          <w:instrText xml:space="preserve"> PAGE   \* MERGEFORMAT </w:instrText>
        </w:r>
        <w:r w:rsidRPr="009F228E">
          <w:rPr>
            <w:b/>
            <w:sz w:val="18"/>
            <w:szCs w:val="18"/>
          </w:rPr>
          <w:fldChar w:fldCharType="separate"/>
        </w:r>
        <w:r w:rsidR="008177F1">
          <w:rPr>
            <w:b/>
            <w:noProof/>
            <w:sz w:val="18"/>
            <w:szCs w:val="18"/>
          </w:rPr>
          <w:t>3</w:t>
        </w:r>
        <w:r w:rsidRPr="009F228E">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8EFCE" w14:textId="77777777" w:rsidR="0041058A" w:rsidRDefault="00410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03D5A" w14:textId="77777777" w:rsidR="000110A0" w:rsidRPr="000B175B" w:rsidRDefault="000110A0" w:rsidP="000B175B">
      <w:pPr>
        <w:tabs>
          <w:tab w:val="right" w:pos="2155"/>
        </w:tabs>
        <w:spacing w:after="80"/>
        <w:ind w:left="680"/>
        <w:rPr>
          <w:u w:val="single"/>
        </w:rPr>
      </w:pPr>
      <w:r>
        <w:rPr>
          <w:u w:val="single"/>
        </w:rPr>
        <w:tab/>
      </w:r>
    </w:p>
  </w:footnote>
  <w:footnote w:type="continuationSeparator" w:id="0">
    <w:p w14:paraId="71C7ABF9" w14:textId="77777777" w:rsidR="000110A0" w:rsidRPr="00FC68B7" w:rsidRDefault="000110A0" w:rsidP="00FC68B7">
      <w:pPr>
        <w:tabs>
          <w:tab w:val="left" w:pos="2155"/>
        </w:tabs>
        <w:spacing w:after="80"/>
        <w:ind w:left="680"/>
        <w:rPr>
          <w:u w:val="single"/>
        </w:rPr>
      </w:pPr>
      <w:r>
        <w:rPr>
          <w:u w:val="single"/>
        </w:rPr>
        <w:tab/>
      </w:r>
    </w:p>
  </w:footnote>
  <w:footnote w:type="continuationNotice" w:id="1">
    <w:p w14:paraId="489F22F6" w14:textId="77777777" w:rsidR="000110A0" w:rsidRDefault="000110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81C37" w14:textId="24B5CC40" w:rsidR="000110A0" w:rsidRPr="00364F88" w:rsidRDefault="000110A0" w:rsidP="00364F88">
    <w:pPr>
      <w:pBdr>
        <w:bottom w:val="single" w:sz="4" w:space="1" w:color="auto"/>
      </w:pBdr>
      <w:rPr>
        <w:b/>
        <w:sz w:val="18"/>
        <w:szCs w:val="18"/>
        <w:lang w:val="fr-CH"/>
      </w:rPr>
    </w:pPr>
    <w:r w:rsidRPr="0041058A">
      <w:rPr>
        <w:b/>
        <w:sz w:val="18"/>
        <w:szCs w:val="18"/>
        <w:lang w:val="fr-CH"/>
      </w:rPr>
      <w:t>UN/SCEGHS/38/INF.4/Rev.1</w:t>
    </w:r>
  </w:p>
  <w:p w14:paraId="304F4099" w14:textId="77777777" w:rsidR="000110A0" w:rsidRPr="00364F88" w:rsidRDefault="000110A0" w:rsidP="00ED128B">
    <w:pPr>
      <w:pStyle w:val="Header"/>
      <w:pBdr>
        <w:bottom w:val="none" w:sz="0" w:space="0" w:color="auto"/>
      </w:pBd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D0D75" w14:textId="3C1BE909" w:rsidR="000110A0" w:rsidRPr="00364F88" w:rsidRDefault="000110A0" w:rsidP="00364F88">
    <w:pPr>
      <w:pBdr>
        <w:bottom w:val="single" w:sz="4" w:space="1" w:color="auto"/>
      </w:pBdr>
      <w:jc w:val="right"/>
      <w:rPr>
        <w:b/>
        <w:sz w:val="18"/>
        <w:szCs w:val="18"/>
        <w:lang w:val="fr-CH"/>
      </w:rPr>
    </w:pPr>
    <w:r w:rsidRPr="0041058A">
      <w:rPr>
        <w:b/>
        <w:sz w:val="18"/>
        <w:szCs w:val="18"/>
        <w:lang w:val="fr-CH"/>
      </w:rPr>
      <w:t>UN/SCEGHS/38/INF.4/Rev.1</w:t>
    </w:r>
    <w:bookmarkStart w:id="0" w:name="_GoBack"/>
    <w:bookmarkEnd w:id="0"/>
  </w:p>
  <w:p w14:paraId="64FA2621" w14:textId="77777777" w:rsidR="000110A0" w:rsidRDefault="000110A0" w:rsidP="00ED64BE">
    <w:pPr>
      <w:pStyle w:val="Header"/>
      <w:pBdr>
        <w:bottom w:val="none" w:sz="0" w:space="0" w:color="auto"/>
      </w:pBd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A2D65" w14:textId="73552B8A" w:rsidR="000110A0" w:rsidRPr="0001748C" w:rsidRDefault="000110A0" w:rsidP="0001748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523AC"/>
    <w:multiLevelType w:val="hybridMultilevel"/>
    <w:tmpl w:val="CC0C97FC"/>
    <w:lvl w:ilvl="0" w:tplc="8216280C">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1F7021"/>
    <w:multiLevelType w:val="hybridMultilevel"/>
    <w:tmpl w:val="0FCA0C6A"/>
    <w:lvl w:ilvl="0" w:tplc="99DC298A">
      <w:start w:val="1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4A16E4"/>
    <w:multiLevelType w:val="hybridMultilevel"/>
    <w:tmpl w:val="B9AEE8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059D0B35"/>
    <w:multiLevelType w:val="hybridMultilevel"/>
    <w:tmpl w:val="45B22E7C"/>
    <w:lvl w:ilvl="0" w:tplc="9044F578">
      <w:start w:val="1"/>
      <w:numFmt w:val="decimal"/>
      <w:lvlText w:val="%1."/>
      <w:lvlJc w:val="left"/>
      <w:pPr>
        <w:ind w:left="360" w:hanging="360"/>
      </w:pPr>
      <w:rPr>
        <w:rFonts w:hint="default"/>
        <w:b w:val="0"/>
        <w:sz w:val="2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0546A9"/>
    <w:multiLevelType w:val="hybridMultilevel"/>
    <w:tmpl w:val="45B22E7C"/>
    <w:lvl w:ilvl="0" w:tplc="9044F578">
      <w:start w:val="1"/>
      <w:numFmt w:val="decimal"/>
      <w:lvlText w:val="%1."/>
      <w:lvlJc w:val="left"/>
      <w:pPr>
        <w:ind w:left="4188" w:hanging="360"/>
      </w:pPr>
      <w:rPr>
        <w:rFonts w:hint="default"/>
        <w:b w:val="0"/>
        <w:sz w:val="2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5F54671"/>
    <w:multiLevelType w:val="hybridMultilevel"/>
    <w:tmpl w:val="EE82A206"/>
    <w:lvl w:ilvl="0" w:tplc="0C090019">
      <w:start w:val="1"/>
      <w:numFmt w:val="lowerLetter"/>
      <w:lvlText w:val="%1."/>
      <w:lvlJc w:val="left"/>
      <w:pPr>
        <w:ind w:left="1494" w:hanging="360"/>
      </w:p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9" w15:restartNumberingAfterBreak="0">
    <w:nsid w:val="3CE558BF"/>
    <w:multiLevelType w:val="hybridMultilevel"/>
    <w:tmpl w:val="FD9C1852"/>
    <w:lvl w:ilvl="0" w:tplc="7F8CBEA2">
      <w:start w:val="1"/>
      <w:numFmt w:val="decimal"/>
      <w:lvlText w:val="%1."/>
      <w:lvlJc w:val="left"/>
      <w:pPr>
        <w:ind w:left="2115" w:hanging="555"/>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0" w15:restartNumberingAfterBreak="0">
    <w:nsid w:val="418C5FBC"/>
    <w:multiLevelType w:val="hybridMultilevel"/>
    <w:tmpl w:val="9ECEE6B4"/>
    <w:lvl w:ilvl="0" w:tplc="41C0ACA8">
      <w:start w:val="1"/>
      <w:numFmt w:val="decimal"/>
      <w:lvlText w:val="%1."/>
      <w:lvlJc w:val="left"/>
      <w:pPr>
        <w:ind w:left="2115" w:hanging="555"/>
      </w:pPr>
      <w:rPr>
        <w:rFonts w:hint="default"/>
        <w:b w:val="0"/>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1" w15:restartNumberingAfterBreak="0">
    <w:nsid w:val="45907325"/>
    <w:multiLevelType w:val="hybridMultilevel"/>
    <w:tmpl w:val="FD9C1852"/>
    <w:lvl w:ilvl="0" w:tplc="7F8CBEA2">
      <w:start w:val="1"/>
      <w:numFmt w:val="decimal"/>
      <w:lvlText w:val="%1."/>
      <w:lvlJc w:val="left"/>
      <w:pPr>
        <w:ind w:left="2115" w:hanging="555"/>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2" w15:restartNumberingAfterBreak="0">
    <w:nsid w:val="4DFF0554"/>
    <w:multiLevelType w:val="hybridMultilevel"/>
    <w:tmpl w:val="C652BADA"/>
    <w:lvl w:ilvl="0" w:tplc="15723C2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5B5913"/>
    <w:multiLevelType w:val="hybridMultilevel"/>
    <w:tmpl w:val="E86AC1E4"/>
    <w:lvl w:ilvl="0" w:tplc="F41A364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4666020"/>
    <w:multiLevelType w:val="hybridMultilevel"/>
    <w:tmpl w:val="C9EA89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D14C32"/>
    <w:multiLevelType w:val="hybridMultilevel"/>
    <w:tmpl w:val="E18A1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5"/>
  </w:num>
  <w:num w:numId="13">
    <w:abstractNumId w:val="14"/>
  </w:num>
  <w:num w:numId="14">
    <w:abstractNumId w:val="26"/>
  </w:num>
  <w:num w:numId="15">
    <w:abstractNumId w:val="28"/>
  </w:num>
  <w:num w:numId="16">
    <w:abstractNumId w:val="23"/>
  </w:num>
  <w:num w:numId="17">
    <w:abstractNumId w:val="22"/>
  </w:num>
  <w:num w:numId="18">
    <w:abstractNumId w:val="10"/>
  </w:num>
  <w:num w:numId="19">
    <w:abstractNumId w:val="11"/>
  </w:num>
  <w:num w:numId="20">
    <w:abstractNumId w:val="27"/>
  </w:num>
  <w:num w:numId="21">
    <w:abstractNumId w:val="16"/>
  </w:num>
  <w:num w:numId="22">
    <w:abstractNumId w:val="20"/>
  </w:num>
  <w:num w:numId="23">
    <w:abstractNumId w:val="18"/>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2"/>
  </w:num>
  <w:num w:numId="27">
    <w:abstractNumId w:val="21"/>
  </w:num>
  <w:num w:numId="28">
    <w:abstractNumId w:val="13"/>
  </w:num>
  <w:num w:numId="29">
    <w:abstractNumId w:val="25"/>
  </w:num>
  <w:num w:numId="30">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es-ES_tradnl" w:vendorID="64" w:dllVersion="6" w:nlCheck="1" w:checkStyle="1"/>
  <w:activeWritingStyle w:appName="MSWord" w:lang="fr-FR" w:vendorID="64" w:dllVersion="6" w:nlCheck="1" w:checkStyle="0"/>
  <w:activeWritingStyle w:appName="MSWord" w:lang="en-AU"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4728"/>
    <w:rsid w:val="00006D38"/>
    <w:rsid w:val="00006FAE"/>
    <w:rsid w:val="00007091"/>
    <w:rsid w:val="000110A0"/>
    <w:rsid w:val="000133C5"/>
    <w:rsid w:val="0001343A"/>
    <w:rsid w:val="00013CF9"/>
    <w:rsid w:val="0001719E"/>
    <w:rsid w:val="0001748C"/>
    <w:rsid w:val="00017D24"/>
    <w:rsid w:val="000216CC"/>
    <w:rsid w:val="00026BCF"/>
    <w:rsid w:val="00034D97"/>
    <w:rsid w:val="00043180"/>
    <w:rsid w:val="000440B3"/>
    <w:rsid w:val="00046A06"/>
    <w:rsid w:val="000504CE"/>
    <w:rsid w:val="00050922"/>
    <w:rsid w:val="00050F6B"/>
    <w:rsid w:val="0005281B"/>
    <w:rsid w:val="00052946"/>
    <w:rsid w:val="0005317C"/>
    <w:rsid w:val="00053492"/>
    <w:rsid w:val="0005582B"/>
    <w:rsid w:val="00055A0A"/>
    <w:rsid w:val="00056084"/>
    <w:rsid w:val="0005710C"/>
    <w:rsid w:val="00062F39"/>
    <w:rsid w:val="00063B3F"/>
    <w:rsid w:val="00064402"/>
    <w:rsid w:val="00067E6D"/>
    <w:rsid w:val="000701F4"/>
    <w:rsid w:val="00072C8C"/>
    <w:rsid w:val="00073129"/>
    <w:rsid w:val="00074785"/>
    <w:rsid w:val="00074B14"/>
    <w:rsid w:val="00075F99"/>
    <w:rsid w:val="00076A0A"/>
    <w:rsid w:val="000812A5"/>
    <w:rsid w:val="00082CE1"/>
    <w:rsid w:val="00083169"/>
    <w:rsid w:val="00083598"/>
    <w:rsid w:val="00084632"/>
    <w:rsid w:val="00086270"/>
    <w:rsid w:val="00086FA7"/>
    <w:rsid w:val="00091046"/>
    <w:rsid w:val="00091419"/>
    <w:rsid w:val="00091CB3"/>
    <w:rsid w:val="000920DD"/>
    <w:rsid w:val="00092776"/>
    <w:rsid w:val="000931C0"/>
    <w:rsid w:val="00094F85"/>
    <w:rsid w:val="000A09DB"/>
    <w:rsid w:val="000A1C4F"/>
    <w:rsid w:val="000A2236"/>
    <w:rsid w:val="000A35F2"/>
    <w:rsid w:val="000A3A48"/>
    <w:rsid w:val="000A4C38"/>
    <w:rsid w:val="000B175B"/>
    <w:rsid w:val="000B303A"/>
    <w:rsid w:val="000B3168"/>
    <w:rsid w:val="000B3A0F"/>
    <w:rsid w:val="000B4919"/>
    <w:rsid w:val="000B5E7D"/>
    <w:rsid w:val="000B7AF2"/>
    <w:rsid w:val="000C1ED8"/>
    <w:rsid w:val="000C3D2E"/>
    <w:rsid w:val="000C5D4B"/>
    <w:rsid w:val="000C717F"/>
    <w:rsid w:val="000C73DD"/>
    <w:rsid w:val="000D0B8F"/>
    <w:rsid w:val="000D1DF0"/>
    <w:rsid w:val="000D3980"/>
    <w:rsid w:val="000D481F"/>
    <w:rsid w:val="000D6D97"/>
    <w:rsid w:val="000D7830"/>
    <w:rsid w:val="000E0415"/>
    <w:rsid w:val="000E0E6A"/>
    <w:rsid w:val="000E20B9"/>
    <w:rsid w:val="000E23BE"/>
    <w:rsid w:val="000E513C"/>
    <w:rsid w:val="000E65FC"/>
    <w:rsid w:val="000F0D34"/>
    <w:rsid w:val="000F3B1C"/>
    <w:rsid w:val="000F4FDC"/>
    <w:rsid w:val="000F52D6"/>
    <w:rsid w:val="000F54C0"/>
    <w:rsid w:val="000F6A20"/>
    <w:rsid w:val="001001A5"/>
    <w:rsid w:val="001039FD"/>
    <w:rsid w:val="0010461A"/>
    <w:rsid w:val="001056C9"/>
    <w:rsid w:val="001070D7"/>
    <w:rsid w:val="00115265"/>
    <w:rsid w:val="00115303"/>
    <w:rsid w:val="00117787"/>
    <w:rsid w:val="00117D0D"/>
    <w:rsid w:val="00121390"/>
    <w:rsid w:val="00121EB7"/>
    <w:rsid w:val="001249AC"/>
    <w:rsid w:val="00127C32"/>
    <w:rsid w:val="00130D54"/>
    <w:rsid w:val="00131B10"/>
    <w:rsid w:val="00131D42"/>
    <w:rsid w:val="00131ECB"/>
    <w:rsid w:val="00133C50"/>
    <w:rsid w:val="00134895"/>
    <w:rsid w:val="001374FC"/>
    <w:rsid w:val="0014001E"/>
    <w:rsid w:val="001406F4"/>
    <w:rsid w:val="00142117"/>
    <w:rsid w:val="00143116"/>
    <w:rsid w:val="00153065"/>
    <w:rsid w:val="001532D8"/>
    <w:rsid w:val="001633FB"/>
    <w:rsid w:val="00163A1B"/>
    <w:rsid w:val="00165735"/>
    <w:rsid w:val="001662E3"/>
    <w:rsid w:val="00166CD3"/>
    <w:rsid w:val="00167786"/>
    <w:rsid w:val="00171CD7"/>
    <w:rsid w:val="001767D7"/>
    <w:rsid w:val="00180A9C"/>
    <w:rsid w:val="00181019"/>
    <w:rsid w:val="001835BF"/>
    <w:rsid w:val="00184B86"/>
    <w:rsid w:val="001904BD"/>
    <w:rsid w:val="00195726"/>
    <w:rsid w:val="001966B4"/>
    <w:rsid w:val="001A02A4"/>
    <w:rsid w:val="001A173A"/>
    <w:rsid w:val="001A24C9"/>
    <w:rsid w:val="001A4831"/>
    <w:rsid w:val="001B0DD8"/>
    <w:rsid w:val="001B1A5E"/>
    <w:rsid w:val="001B35EE"/>
    <w:rsid w:val="001B38F0"/>
    <w:rsid w:val="001B4B04"/>
    <w:rsid w:val="001B5F6F"/>
    <w:rsid w:val="001B6B72"/>
    <w:rsid w:val="001B6F2D"/>
    <w:rsid w:val="001C0761"/>
    <w:rsid w:val="001C2046"/>
    <w:rsid w:val="001C429D"/>
    <w:rsid w:val="001C6663"/>
    <w:rsid w:val="001C7895"/>
    <w:rsid w:val="001D26DF"/>
    <w:rsid w:val="001D2FDC"/>
    <w:rsid w:val="001D3123"/>
    <w:rsid w:val="001D3A88"/>
    <w:rsid w:val="001D45AC"/>
    <w:rsid w:val="001D4B2D"/>
    <w:rsid w:val="001D4E70"/>
    <w:rsid w:val="001D5656"/>
    <w:rsid w:val="001D7C70"/>
    <w:rsid w:val="001E253C"/>
    <w:rsid w:val="001E428A"/>
    <w:rsid w:val="001E797C"/>
    <w:rsid w:val="00203C1F"/>
    <w:rsid w:val="002060F1"/>
    <w:rsid w:val="00211B12"/>
    <w:rsid w:val="00211E0B"/>
    <w:rsid w:val="0021481D"/>
    <w:rsid w:val="00215160"/>
    <w:rsid w:val="00215614"/>
    <w:rsid w:val="002168D8"/>
    <w:rsid w:val="00221589"/>
    <w:rsid w:val="00221AC2"/>
    <w:rsid w:val="00224CD9"/>
    <w:rsid w:val="00225909"/>
    <w:rsid w:val="002309A7"/>
    <w:rsid w:val="00235381"/>
    <w:rsid w:val="00236690"/>
    <w:rsid w:val="00237785"/>
    <w:rsid w:val="00241178"/>
    <w:rsid w:val="00241466"/>
    <w:rsid w:val="00243804"/>
    <w:rsid w:val="002440E7"/>
    <w:rsid w:val="00247570"/>
    <w:rsid w:val="00247BC4"/>
    <w:rsid w:val="00252078"/>
    <w:rsid w:val="002523CF"/>
    <w:rsid w:val="002565E2"/>
    <w:rsid w:val="00256979"/>
    <w:rsid w:val="00257C1E"/>
    <w:rsid w:val="0026022E"/>
    <w:rsid w:val="00260632"/>
    <w:rsid w:val="00261B2A"/>
    <w:rsid w:val="00261B71"/>
    <w:rsid w:val="002621C8"/>
    <w:rsid w:val="002621F5"/>
    <w:rsid w:val="002626E5"/>
    <w:rsid w:val="002708B5"/>
    <w:rsid w:val="00270DDB"/>
    <w:rsid w:val="002716CE"/>
    <w:rsid w:val="00271EF4"/>
    <w:rsid w:val="002725CA"/>
    <w:rsid w:val="00273A92"/>
    <w:rsid w:val="00276805"/>
    <w:rsid w:val="00277896"/>
    <w:rsid w:val="00277A09"/>
    <w:rsid w:val="00277E2F"/>
    <w:rsid w:val="00280B19"/>
    <w:rsid w:val="00280EB7"/>
    <w:rsid w:val="00285189"/>
    <w:rsid w:val="00285676"/>
    <w:rsid w:val="00287A35"/>
    <w:rsid w:val="002921EA"/>
    <w:rsid w:val="002976CF"/>
    <w:rsid w:val="002A0BD2"/>
    <w:rsid w:val="002A5B17"/>
    <w:rsid w:val="002B0609"/>
    <w:rsid w:val="002B067A"/>
    <w:rsid w:val="002B1514"/>
    <w:rsid w:val="002B1CDA"/>
    <w:rsid w:val="002B24D5"/>
    <w:rsid w:val="002C29B4"/>
    <w:rsid w:val="002C65F2"/>
    <w:rsid w:val="002C7F25"/>
    <w:rsid w:val="002D2EE6"/>
    <w:rsid w:val="002D59BF"/>
    <w:rsid w:val="002D5A85"/>
    <w:rsid w:val="002D5C7D"/>
    <w:rsid w:val="002D6CD7"/>
    <w:rsid w:val="002E35BB"/>
    <w:rsid w:val="002E54FE"/>
    <w:rsid w:val="002E5FBD"/>
    <w:rsid w:val="002E63B5"/>
    <w:rsid w:val="002F323F"/>
    <w:rsid w:val="002F68FD"/>
    <w:rsid w:val="002F7870"/>
    <w:rsid w:val="00302C15"/>
    <w:rsid w:val="0030327B"/>
    <w:rsid w:val="003058A5"/>
    <w:rsid w:val="003063E9"/>
    <w:rsid w:val="00307CE9"/>
    <w:rsid w:val="00307E38"/>
    <w:rsid w:val="003107FA"/>
    <w:rsid w:val="00311851"/>
    <w:rsid w:val="0031227E"/>
    <w:rsid w:val="00315D73"/>
    <w:rsid w:val="00316FF9"/>
    <w:rsid w:val="0031792B"/>
    <w:rsid w:val="00321716"/>
    <w:rsid w:val="003229D8"/>
    <w:rsid w:val="003257E3"/>
    <w:rsid w:val="00327D0A"/>
    <w:rsid w:val="00330180"/>
    <w:rsid w:val="003371C1"/>
    <w:rsid w:val="0034169B"/>
    <w:rsid w:val="00342774"/>
    <w:rsid w:val="003517C3"/>
    <w:rsid w:val="00352472"/>
    <w:rsid w:val="00355502"/>
    <w:rsid w:val="00356BC7"/>
    <w:rsid w:val="00357A20"/>
    <w:rsid w:val="00360C8E"/>
    <w:rsid w:val="003637C8"/>
    <w:rsid w:val="00364F88"/>
    <w:rsid w:val="00366B09"/>
    <w:rsid w:val="00372F06"/>
    <w:rsid w:val="00391647"/>
    <w:rsid w:val="003921E6"/>
    <w:rsid w:val="0039277A"/>
    <w:rsid w:val="00393CD1"/>
    <w:rsid w:val="00394922"/>
    <w:rsid w:val="00394FF5"/>
    <w:rsid w:val="00395FD7"/>
    <w:rsid w:val="00396F6A"/>
    <w:rsid w:val="003972E0"/>
    <w:rsid w:val="00397AE7"/>
    <w:rsid w:val="003A092C"/>
    <w:rsid w:val="003A1EC2"/>
    <w:rsid w:val="003A4561"/>
    <w:rsid w:val="003A52D7"/>
    <w:rsid w:val="003A5A16"/>
    <w:rsid w:val="003B62FE"/>
    <w:rsid w:val="003B73AC"/>
    <w:rsid w:val="003C0657"/>
    <w:rsid w:val="003C18C9"/>
    <w:rsid w:val="003C1F19"/>
    <w:rsid w:val="003C2A08"/>
    <w:rsid w:val="003C2CC4"/>
    <w:rsid w:val="003C2DAB"/>
    <w:rsid w:val="003C655D"/>
    <w:rsid w:val="003D4B23"/>
    <w:rsid w:val="003D5245"/>
    <w:rsid w:val="003D7611"/>
    <w:rsid w:val="003E40AD"/>
    <w:rsid w:val="003F23A4"/>
    <w:rsid w:val="003F3127"/>
    <w:rsid w:val="003F5B52"/>
    <w:rsid w:val="003F6160"/>
    <w:rsid w:val="00402488"/>
    <w:rsid w:val="00403EC6"/>
    <w:rsid w:val="00404754"/>
    <w:rsid w:val="00406CD4"/>
    <w:rsid w:val="00407DB1"/>
    <w:rsid w:val="00407FED"/>
    <w:rsid w:val="0041058A"/>
    <w:rsid w:val="004130AC"/>
    <w:rsid w:val="004207CF"/>
    <w:rsid w:val="004207DD"/>
    <w:rsid w:val="00430086"/>
    <w:rsid w:val="00430918"/>
    <w:rsid w:val="004325CB"/>
    <w:rsid w:val="004337AA"/>
    <w:rsid w:val="004354EE"/>
    <w:rsid w:val="00437F3F"/>
    <w:rsid w:val="00440C1E"/>
    <w:rsid w:val="00442365"/>
    <w:rsid w:val="004425EE"/>
    <w:rsid w:val="004447BD"/>
    <w:rsid w:val="00445BB2"/>
    <w:rsid w:val="004466E2"/>
    <w:rsid w:val="00446DE4"/>
    <w:rsid w:val="004476CA"/>
    <w:rsid w:val="00450ACC"/>
    <w:rsid w:val="00451C23"/>
    <w:rsid w:val="00452D10"/>
    <w:rsid w:val="00452F3A"/>
    <w:rsid w:val="00454036"/>
    <w:rsid w:val="00454764"/>
    <w:rsid w:val="00454F19"/>
    <w:rsid w:val="004562AA"/>
    <w:rsid w:val="0046443A"/>
    <w:rsid w:val="004653B3"/>
    <w:rsid w:val="004654C4"/>
    <w:rsid w:val="0046668F"/>
    <w:rsid w:val="0046773D"/>
    <w:rsid w:val="0046788D"/>
    <w:rsid w:val="004801A8"/>
    <w:rsid w:val="0048304D"/>
    <w:rsid w:val="004835EB"/>
    <w:rsid w:val="00484894"/>
    <w:rsid w:val="00484A9B"/>
    <w:rsid w:val="00490889"/>
    <w:rsid w:val="00492AF9"/>
    <w:rsid w:val="00493A81"/>
    <w:rsid w:val="00494C77"/>
    <w:rsid w:val="00496A1D"/>
    <w:rsid w:val="00497711"/>
    <w:rsid w:val="004A2D51"/>
    <w:rsid w:val="004B2C9D"/>
    <w:rsid w:val="004B54B0"/>
    <w:rsid w:val="004B5939"/>
    <w:rsid w:val="004B5C97"/>
    <w:rsid w:val="004B73D6"/>
    <w:rsid w:val="004B786F"/>
    <w:rsid w:val="004C39D0"/>
    <w:rsid w:val="004C4F1A"/>
    <w:rsid w:val="004C6D6D"/>
    <w:rsid w:val="004D6FC1"/>
    <w:rsid w:val="004E0C5D"/>
    <w:rsid w:val="004E1665"/>
    <w:rsid w:val="004F1595"/>
    <w:rsid w:val="004F2B21"/>
    <w:rsid w:val="004F32CF"/>
    <w:rsid w:val="004F3B30"/>
    <w:rsid w:val="004F4240"/>
    <w:rsid w:val="004F77CD"/>
    <w:rsid w:val="00503ADB"/>
    <w:rsid w:val="00505EEB"/>
    <w:rsid w:val="00506778"/>
    <w:rsid w:val="00507CF1"/>
    <w:rsid w:val="00510B08"/>
    <w:rsid w:val="005138C0"/>
    <w:rsid w:val="00513A2E"/>
    <w:rsid w:val="00520D85"/>
    <w:rsid w:val="00522177"/>
    <w:rsid w:val="005230E8"/>
    <w:rsid w:val="00527910"/>
    <w:rsid w:val="005343B4"/>
    <w:rsid w:val="005420F2"/>
    <w:rsid w:val="00542505"/>
    <w:rsid w:val="00543688"/>
    <w:rsid w:val="00543B62"/>
    <w:rsid w:val="0054570E"/>
    <w:rsid w:val="00546655"/>
    <w:rsid w:val="005475D4"/>
    <w:rsid w:val="005513A9"/>
    <w:rsid w:val="00555CDB"/>
    <w:rsid w:val="00557E4F"/>
    <w:rsid w:val="00561B6D"/>
    <w:rsid w:val="00562D45"/>
    <w:rsid w:val="0056615B"/>
    <w:rsid w:val="00567DFB"/>
    <w:rsid w:val="00571DAA"/>
    <w:rsid w:val="00574079"/>
    <w:rsid w:val="00574716"/>
    <w:rsid w:val="00580A0F"/>
    <w:rsid w:val="0058129D"/>
    <w:rsid w:val="00585B2B"/>
    <w:rsid w:val="00585D64"/>
    <w:rsid w:val="00590144"/>
    <w:rsid w:val="00592E17"/>
    <w:rsid w:val="00594F31"/>
    <w:rsid w:val="0059682C"/>
    <w:rsid w:val="005A64DD"/>
    <w:rsid w:val="005A6E71"/>
    <w:rsid w:val="005A7C26"/>
    <w:rsid w:val="005B09F0"/>
    <w:rsid w:val="005B0CED"/>
    <w:rsid w:val="005B3DB3"/>
    <w:rsid w:val="005B528A"/>
    <w:rsid w:val="005B6172"/>
    <w:rsid w:val="005C1AB7"/>
    <w:rsid w:val="005C4CB5"/>
    <w:rsid w:val="005D05C5"/>
    <w:rsid w:val="005D0C6C"/>
    <w:rsid w:val="005D4518"/>
    <w:rsid w:val="005D6A38"/>
    <w:rsid w:val="005E0664"/>
    <w:rsid w:val="005E1AF1"/>
    <w:rsid w:val="005E5946"/>
    <w:rsid w:val="005E5C92"/>
    <w:rsid w:val="005F2DBC"/>
    <w:rsid w:val="005F37AA"/>
    <w:rsid w:val="005F3A39"/>
    <w:rsid w:val="005F3E24"/>
    <w:rsid w:val="005F589C"/>
    <w:rsid w:val="005F5C2F"/>
    <w:rsid w:val="005F5C79"/>
    <w:rsid w:val="005F78C7"/>
    <w:rsid w:val="005F7BB1"/>
    <w:rsid w:val="00602490"/>
    <w:rsid w:val="00603D57"/>
    <w:rsid w:val="00603E3C"/>
    <w:rsid w:val="0060539D"/>
    <w:rsid w:val="00605672"/>
    <w:rsid w:val="00611FC4"/>
    <w:rsid w:val="00612812"/>
    <w:rsid w:val="006176FB"/>
    <w:rsid w:val="0062083B"/>
    <w:rsid w:val="006264E9"/>
    <w:rsid w:val="00626B06"/>
    <w:rsid w:val="00626B77"/>
    <w:rsid w:val="00626DE3"/>
    <w:rsid w:val="006279AC"/>
    <w:rsid w:val="00627A45"/>
    <w:rsid w:val="0063419C"/>
    <w:rsid w:val="00635381"/>
    <w:rsid w:val="00635630"/>
    <w:rsid w:val="00635E4C"/>
    <w:rsid w:val="00636986"/>
    <w:rsid w:val="00636E9C"/>
    <w:rsid w:val="00637542"/>
    <w:rsid w:val="00640B26"/>
    <w:rsid w:val="00641194"/>
    <w:rsid w:val="00645A0B"/>
    <w:rsid w:val="006500BA"/>
    <w:rsid w:val="006506DB"/>
    <w:rsid w:val="006526F7"/>
    <w:rsid w:val="00660AD1"/>
    <w:rsid w:val="00662121"/>
    <w:rsid w:val="00662E09"/>
    <w:rsid w:val="00667788"/>
    <w:rsid w:val="006678CB"/>
    <w:rsid w:val="00667C6B"/>
    <w:rsid w:val="00670CF0"/>
    <w:rsid w:val="00675F87"/>
    <w:rsid w:val="0067675B"/>
    <w:rsid w:val="00682A3A"/>
    <w:rsid w:val="00690CD6"/>
    <w:rsid w:val="006937F4"/>
    <w:rsid w:val="0069386C"/>
    <w:rsid w:val="00695AEE"/>
    <w:rsid w:val="006A1F8F"/>
    <w:rsid w:val="006A3932"/>
    <w:rsid w:val="006A5630"/>
    <w:rsid w:val="006A5B6B"/>
    <w:rsid w:val="006A63E3"/>
    <w:rsid w:val="006A7392"/>
    <w:rsid w:val="006B1C55"/>
    <w:rsid w:val="006B36F8"/>
    <w:rsid w:val="006C0D34"/>
    <w:rsid w:val="006C251B"/>
    <w:rsid w:val="006C2F7E"/>
    <w:rsid w:val="006C306A"/>
    <w:rsid w:val="006C590C"/>
    <w:rsid w:val="006D3560"/>
    <w:rsid w:val="006D3FCD"/>
    <w:rsid w:val="006D4B44"/>
    <w:rsid w:val="006D4CE9"/>
    <w:rsid w:val="006D6ED0"/>
    <w:rsid w:val="006E18F5"/>
    <w:rsid w:val="006E36E7"/>
    <w:rsid w:val="006E3B65"/>
    <w:rsid w:val="006E4277"/>
    <w:rsid w:val="006E4FFE"/>
    <w:rsid w:val="006E564B"/>
    <w:rsid w:val="006F370A"/>
    <w:rsid w:val="0070032B"/>
    <w:rsid w:val="007025C0"/>
    <w:rsid w:val="0070413B"/>
    <w:rsid w:val="00707F04"/>
    <w:rsid w:val="00711637"/>
    <w:rsid w:val="00714F4F"/>
    <w:rsid w:val="00715844"/>
    <w:rsid w:val="0072632A"/>
    <w:rsid w:val="0073292B"/>
    <w:rsid w:val="00733FA4"/>
    <w:rsid w:val="00735C8C"/>
    <w:rsid w:val="00736E6A"/>
    <w:rsid w:val="00741401"/>
    <w:rsid w:val="00741F59"/>
    <w:rsid w:val="007427B7"/>
    <w:rsid w:val="007428A1"/>
    <w:rsid w:val="0074697D"/>
    <w:rsid w:val="00747CCD"/>
    <w:rsid w:val="00754256"/>
    <w:rsid w:val="00755EBE"/>
    <w:rsid w:val="00761619"/>
    <w:rsid w:val="0076177C"/>
    <w:rsid w:val="00763C33"/>
    <w:rsid w:val="00764CB1"/>
    <w:rsid w:val="00766322"/>
    <w:rsid w:val="00767583"/>
    <w:rsid w:val="00770BCD"/>
    <w:rsid w:val="00770D3F"/>
    <w:rsid w:val="00771904"/>
    <w:rsid w:val="00773353"/>
    <w:rsid w:val="00774129"/>
    <w:rsid w:val="00774E8F"/>
    <w:rsid w:val="00774EAA"/>
    <w:rsid w:val="0078102B"/>
    <w:rsid w:val="0078123B"/>
    <w:rsid w:val="00783286"/>
    <w:rsid w:val="00786434"/>
    <w:rsid w:val="00790791"/>
    <w:rsid w:val="0079172F"/>
    <w:rsid w:val="00794A14"/>
    <w:rsid w:val="00796F36"/>
    <w:rsid w:val="007A2218"/>
    <w:rsid w:val="007A2CDB"/>
    <w:rsid w:val="007A3367"/>
    <w:rsid w:val="007A4671"/>
    <w:rsid w:val="007A62EC"/>
    <w:rsid w:val="007B1A7E"/>
    <w:rsid w:val="007B208C"/>
    <w:rsid w:val="007B2BA8"/>
    <w:rsid w:val="007B6BA5"/>
    <w:rsid w:val="007B6CFF"/>
    <w:rsid w:val="007C2C0D"/>
    <w:rsid w:val="007C3162"/>
    <w:rsid w:val="007C3390"/>
    <w:rsid w:val="007C4F4B"/>
    <w:rsid w:val="007C644D"/>
    <w:rsid w:val="007D42F4"/>
    <w:rsid w:val="007D7BC6"/>
    <w:rsid w:val="007E0D6C"/>
    <w:rsid w:val="007E31B8"/>
    <w:rsid w:val="007E4BD3"/>
    <w:rsid w:val="007E5D7C"/>
    <w:rsid w:val="007E7135"/>
    <w:rsid w:val="007F2A54"/>
    <w:rsid w:val="007F5104"/>
    <w:rsid w:val="007F6611"/>
    <w:rsid w:val="007F67C8"/>
    <w:rsid w:val="00800024"/>
    <w:rsid w:val="008000C6"/>
    <w:rsid w:val="0080018B"/>
    <w:rsid w:val="00800859"/>
    <w:rsid w:val="008037A2"/>
    <w:rsid w:val="00807A33"/>
    <w:rsid w:val="00816582"/>
    <w:rsid w:val="008175E9"/>
    <w:rsid w:val="008177F1"/>
    <w:rsid w:val="00817EF2"/>
    <w:rsid w:val="00820A2D"/>
    <w:rsid w:val="008242D7"/>
    <w:rsid w:val="008252B9"/>
    <w:rsid w:val="00826C09"/>
    <w:rsid w:val="0083043E"/>
    <w:rsid w:val="0083069A"/>
    <w:rsid w:val="00832A1D"/>
    <w:rsid w:val="00833EC7"/>
    <w:rsid w:val="00834479"/>
    <w:rsid w:val="00843AB2"/>
    <w:rsid w:val="0084667A"/>
    <w:rsid w:val="00846809"/>
    <w:rsid w:val="00851033"/>
    <w:rsid w:val="00851D86"/>
    <w:rsid w:val="00855EE4"/>
    <w:rsid w:val="0086107D"/>
    <w:rsid w:val="008628F4"/>
    <w:rsid w:val="00864251"/>
    <w:rsid w:val="00865914"/>
    <w:rsid w:val="00867E90"/>
    <w:rsid w:val="00871FD5"/>
    <w:rsid w:val="0087494C"/>
    <w:rsid w:val="008749B8"/>
    <w:rsid w:val="00881213"/>
    <w:rsid w:val="008869E3"/>
    <w:rsid w:val="008979B1"/>
    <w:rsid w:val="008A0B75"/>
    <w:rsid w:val="008A1542"/>
    <w:rsid w:val="008A2128"/>
    <w:rsid w:val="008A4503"/>
    <w:rsid w:val="008A6B25"/>
    <w:rsid w:val="008A6C4F"/>
    <w:rsid w:val="008A7679"/>
    <w:rsid w:val="008A7AB3"/>
    <w:rsid w:val="008B0105"/>
    <w:rsid w:val="008B0F0F"/>
    <w:rsid w:val="008B1986"/>
    <w:rsid w:val="008B469C"/>
    <w:rsid w:val="008B65FB"/>
    <w:rsid w:val="008C1F12"/>
    <w:rsid w:val="008C3B3C"/>
    <w:rsid w:val="008C4283"/>
    <w:rsid w:val="008C62D0"/>
    <w:rsid w:val="008C74C3"/>
    <w:rsid w:val="008C7BF7"/>
    <w:rsid w:val="008D134F"/>
    <w:rsid w:val="008D14AC"/>
    <w:rsid w:val="008D22AC"/>
    <w:rsid w:val="008D3C75"/>
    <w:rsid w:val="008D6942"/>
    <w:rsid w:val="008E0E46"/>
    <w:rsid w:val="008E1DAE"/>
    <w:rsid w:val="008E295A"/>
    <w:rsid w:val="008E5C63"/>
    <w:rsid w:val="008F2D9A"/>
    <w:rsid w:val="008F44B8"/>
    <w:rsid w:val="008F504A"/>
    <w:rsid w:val="00903038"/>
    <w:rsid w:val="00904EBC"/>
    <w:rsid w:val="00906511"/>
    <w:rsid w:val="009077B4"/>
    <w:rsid w:val="00915795"/>
    <w:rsid w:val="00917E94"/>
    <w:rsid w:val="00923019"/>
    <w:rsid w:val="00924A7A"/>
    <w:rsid w:val="00924B63"/>
    <w:rsid w:val="00924E15"/>
    <w:rsid w:val="00925AA3"/>
    <w:rsid w:val="00926D41"/>
    <w:rsid w:val="00930A8A"/>
    <w:rsid w:val="009332D2"/>
    <w:rsid w:val="00935CE9"/>
    <w:rsid w:val="009363B6"/>
    <w:rsid w:val="00940F46"/>
    <w:rsid w:val="00941ECC"/>
    <w:rsid w:val="009422AF"/>
    <w:rsid w:val="00945A4F"/>
    <w:rsid w:val="00945A5D"/>
    <w:rsid w:val="00946A0D"/>
    <w:rsid w:val="00955109"/>
    <w:rsid w:val="00956EDF"/>
    <w:rsid w:val="009578BA"/>
    <w:rsid w:val="009600BB"/>
    <w:rsid w:val="009606D7"/>
    <w:rsid w:val="00961F2F"/>
    <w:rsid w:val="00963B67"/>
    <w:rsid w:val="00963CBA"/>
    <w:rsid w:val="0096797E"/>
    <w:rsid w:val="009701ED"/>
    <w:rsid w:val="0098100A"/>
    <w:rsid w:val="009825BD"/>
    <w:rsid w:val="0098412F"/>
    <w:rsid w:val="00984471"/>
    <w:rsid w:val="00985F37"/>
    <w:rsid w:val="009879EA"/>
    <w:rsid w:val="00987C3F"/>
    <w:rsid w:val="009908A5"/>
    <w:rsid w:val="0099124E"/>
    <w:rsid w:val="00991261"/>
    <w:rsid w:val="00993616"/>
    <w:rsid w:val="00994F0E"/>
    <w:rsid w:val="009953D5"/>
    <w:rsid w:val="009A1D29"/>
    <w:rsid w:val="009B18D4"/>
    <w:rsid w:val="009B29C8"/>
    <w:rsid w:val="009B6D03"/>
    <w:rsid w:val="009B77DA"/>
    <w:rsid w:val="009C26BF"/>
    <w:rsid w:val="009C4BDE"/>
    <w:rsid w:val="009C6394"/>
    <w:rsid w:val="009C7F7E"/>
    <w:rsid w:val="009D0E2A"/>
    <w:rsid w:val="009D0F0E"/>
    <w:rsid w:val="009D1AAE"/>
    <w:rsid w:val="009D1DEE"/>
    <w:rsid w:val="009D2246"/>
    <w:rsid w:val="009D634E"/>
    <w:rsid w:val="009E1560"/>
    <w:rsid w:val="009E18CC"/>
    <w:rsid w:val="009E2283"/>
    <w:rsid w:val="009E34C6"/>
    <w:rsid w:val="009E47FC"/>
    <w:rsid w:val="009E5340"/>
    <w:rsid w:val="009F0F06"/>
    <w:rsid w:val="009F228E"/>
    <w:rsid w:val="009F369A"/>
    <w:rsid w:val="009F4FC5"/>
    <w:rsid w:val="009F7892"/>
    <w:rsid w:val="00A01AC1"/>
    <w:rsid w:val="00A03409"/>
    <w:rsid w:val="00A06982"/>
    <w:rsid w:val="00A06F1A"/>
    <w:rsid w:val="00A07B1D"/>
    <w:rsid w:val="00A104CA"/>
    <w:rsid w:val="00A11695"/>
    <w:rsid w:val="00A13EC4"/>
    <w:rsid w:val="00A1427D"/>
    <w:rsid w:val="00A212C6"/>
    <w:rsid w:val="00A235F1"/>
    <w:rsid w:val="00A23FAC"/>
    <w:rsid w:val="00A26040"/>
    <w:rsid w:val="00A27DFF"/>
    <w:rsid w:val="00A34B00"/>
    <w:rsid w:val="00A3777A"/>
    <w:rsid w:val="00A436EB"/>
    <w:rsid w:val="00A50077"/>
    <w:rsid w:val="00A505AA"/>
    <w:rsid w:val="00A54CA8"/>
    <w:rsid w:val="00A54F0B"/>
    <w:rsid w:val="00A60196"/>
    <w:rsid w:val="00A60CAE"/>
    <w:rsid w:val="00A6165E"/>
    <w:rsid w:val="00A6199C"/>
    <w:rsid w:val="00A622AF"/>
    <w:rsid w:val="00A655D6"/>
    <w:rsid w:val="00A65F4A"/>
    <w:rsid w:val="00A66636"/>
    <w:rsid w:val="00A67B16"/>
    <w:rsid w:val="00A71119"/>
    <w:rsid w:val="00A714AE"/>
    <w:rsid w:val="00A721CE"/>
    <w:rsid w:val="00A72F06"/>
    <w:rsid w:val="00A72F22"/>
    <w:rsid w:val="00A744D7"/>
    <w:rsid w:val="00A748A6"/>
    <w:rsid w:val="00A74A46"/>
    <w:rsid w:val="00A75EC9"/>
    <w:rsid w:val="00A810D4"/>
    <w:rsid w:val="00A826BB"/>
    <w:rsid w:val="00A83538"/>
    <w:rsid w:val="00A8523D"/>
    <w:rsid w:val="00A86230"/>
    <w:rsid w:val="00A879A4"/>
    <w:rsid w:val="00A903EC"/>
    <w:rsid w:val="00AA19B4"/>
    <w:rsid w:val="00AA1D9A"/>
    <w:rsid w:val="00AA2A3F"/>
    <w:rsid w:val="00AA32EB"/>
    <w:rsid w:val="00AB366E"/>
    <w:rsid w:val="00AB382F"/>
    <w:rsid w:val="00AB4CF1"/>
    <w:rsid w:val="00AB75AE"/>
    <w:rsid w:val="00AC5F1B"/>
    <w:rsid w:val="00AC7E37"/>
    <w:rsid w:val="00AD0165"/>
    <w:rsid w:val="00AD34EE"/>
    <w:rsid w:val="00AD53C9"/>
    <w:rsid w:val="00AD5A2F"/>
    <w:rsid w:val="00AD7C88"/>
    <w:rsid w:val="00AD7D43"/>
    <w:rsid w:val="00AE271D"/>
    <w:rsid w:val="00AE2E13"/>
    <w:rsid w:val="00AE45DE"/>
    <w:rsid w:val="00AF0846"/>
    <w:rsid w:val="00AF0878"/>
    <w:rsid w:val="00AF2F9D"/>
    <w:rsid w:val="00AF6710"/>
    <w:rsid w:val="00B013E6"/>
    <w:rsid w:val="00B04866"/>
    <w:rsid w:val="00B04D66"/>
    <w:rsid w:val="00B10C19"/>
    <w:rsid w:val="00B1157C"/>
    <w:rsid w:val="00B1501F"/>
    <w:rsid w:val="00B15454"/>
    <w:rsid w:val="00B23B4A"/>
    <w:rsid w:val="00B24C1E"/>
    <w:rsid w:val="00B26710"/>
    <w:rsid w:val="00B26B3C"/>
    <w:rsid w:val="00B30179"/>
    <w:rsid w:val="00B314CB"/>
    <w:rsid w:val="00B3317B"/>
    <w:rsid w:val="00B34F03"/>
    <w:rsid w:val="00B35D5F"/>
    <w:rsid w:val="00B36C43"/>
    <w:rsid w:val="00B3742B"/>
    <w:rsid w:val="00B41384"/>
    <w:rsid w:val="00B4398E"/>
    <w:rsid w:val="00B52E13"/>
    <w:rsid w:val="00B535B3"/>
    <w:rsid w:val="00B5392B"/>
    <w:rsid w:val="00B611B3"/>
    <w:rsid w:val="00B63C8B"/>
    <w:rsid w:val="00B65556"/>
    <w:rsid w:val="00B678B0"/>
    <w:rsid w:val="00B71013"/>
    <w:rsid w:val="00B71D19"/>
    <w:rsid w:val="00B71E2B"/>
    <w:rsid w:val="00B7214C"/>
    <w:rsid w:val="00B7266A"/>
    <w:rsid w:val="00B7341E"/>
    <w:rsid w:val="00B73DA8"/>
    <w:rsid w:val="00B74F7C"/>
    <w:rsid w:val="00B75E05"/>
    <w:rsid w:val="00B81E12"/>
    <w:rsid w:val="00B84944"/>
    <w:rsid w:val="00B84AAC"/>
    <w:rsid w:val="00B85A48"/>
    <w:rsid w:val="00B90F54"/>
    <w:rsid w:val="00B91CC3"/>
    <w:rsid w:val="00B92989"/>
    <w:rsid w:val="00B92A0C"/>
    <w:rsid w:val="00B93068"/>
    <w:rsid w:val="00B9369C"/>
    <w:rsid w:val="00B94012"/>
    <w:rsid w:val="00B95488"/>
    <w:rsid w:val="00BB176D"/>
    <w:rsid w:val="00BB1E7F"/>
    <w:rsid w:val="00BB3B28"/>
    <w:rsid w:val="00BB7596"/>
    <w:rsid w:val="00BC0C09"/>
    <w:rsid w:val="00BC1AC9"/>
    <w:rsid w:val="00BC4BF8"/>
    <w:rsid w:val="00BC4C36"/>
    <w:rsid w:val="00BC5D32"/>
    <w:rsid w:val="00BC6C7A"/>
    <w:rsid w:val="00BC74E9"/>
    <w:rsid w:val="00BD109F"/>
    <w:rsid w:val="00BE0423"/>
    <w:rsid w:val="00BE1FF8"/>
    <w:rsid w:val="00BE3609"/>
    <w:rsid w:val="00BE50CA"/>
    <w:rsid w:val="00BE618E"/>
    <w:rsid w:val="00BF2ABE"/>
    <w:rsid w:val="00BF479B"/>
    <w:rsid w:val="00BF4DE2"/>
    <w:rsid w:val="00BF65D7"/>
    <w:rsid w:val="00C0236F"/>
    <w:rsid w:val="00C0263F"/>
    <w:rsid w:val="00C03B44"/>
    <w:rsid w:val="00C13A85"/>
    <w:rsid w:val="00C15366"/>
    <w:rsid w:val="00C218A4"/>
    <w:rsid w:val="00C22BC3"/>
    <w:rsid w:val="00C30546"/>
    <w:rsid w:val="00C31A1F"/>
    <w:rsid w:val="00C36D37"/>
    <w:rsid w:val="00C4087B"/>
    <w:rsid w:val="00C430B5"/>
    <w:rsid w:val="00C4552C"/>
    <w:rsid w:val="00C463DD"/>
    <w:rsid w:val="00C46D5B"/>
    <w:rsid w:val="00C47ACC"/>
    <w:rsid w:val="00C52020"/>
    <w:rsid w:val="00C530B1"/>
    <w:rsid w:val="00C537D5"/>
    <w:rsid w:val="00C55BD4"/>
    <w:rsid w:val="00C5745C"/>
    <w:rsid w:val="00C62F76"/>
    <w:rsid w:val="00C63311"/>
    <w:rsid w:val="00C63A69"/>
    <w:rsid w:val="00C66D78"/>
    <w:rsid w:val="00C745C3"/>
    <w:rsid w:val="00C76942"/>
    <w:rsid w:val="00C77386"/>
    <w:rsid w:val="00C8038E"/>
    <w:rsid w:val="00C80C57"/>
    <w:rsid w:val="00C80F30"/>
    <w:rsid w:val="00C81212"/>
    <w:rsid w:val="00C824E5"/>
    <w:rsid w:val="00C84FF1"/>
    <w:rsid w:val="00C86C21"/>
    <w:rsid w:val="00C91180"/>
    <w:rsid w:val="00C92C5E"/>
    <w:rsid w:val="00C93C11"/>
    <w:rsid w:val="00C94DDD"/>
    <w:rsid w:val="00C971F6"/>
    <w:rsid w:val="00CA049C"/>
    <w:rsid w:val="00CA381C"/>
    <w:rsid w:val="00CA5821"/>
    <w:rsid w:val="00CA628C"/>
    <w:rsid w:val="00CA74D3"/>
    <w:rsid w:val="00CA794A"/>
    <w:rsid w:val="00CB143B"/>
    <w:rsid w:val="00CB2158"/>
    <w:rsid w:val="00CB22C9"/>
    <w:rsid w:val="00CB5783"/>
    <w:rsid w:val="00CB6380"/>
    <w:rsid w:val="00CC4CA6"/>
    <w:rsid w:val="00CC78DE"/>
    <w:rsid w:val="00CD0009"/>
    <w:rsid w:val="00CD158A"/>
    <w:rsid w:val="00CD160D"/>
    <w:rsid w:val="00CD2127"/>
    <w:rsid w:val="00CD30EE"/>
    <w:rsid w:val="00CD3225"/>
    <w:rsid w:val="00CE2F07"/>
    <w:rsid w:val="00CE4083"/>
    <w:rsid w:val="00CE46BA"/>
    <w:rsid w:val="00CE4A8F"/>
    <w:rsid w:val="00CE5966"/>
    <w:rsid w:val="00CE66CE"/>
    <w:rsid w:val="00CE6FAE"/>
    <w:rsid w:val="00CF6F32"/>
    <w:rsid w:val="00CF778D"/>
    <w:rsid w:val="00D00A82"/>
    <w:rsid w:val="00D034DC"/>
    <w:rsid w:val="00D0631B"/>
    <w:rsid w:val="00D06C3A"/>
    <w:rsid w:val="00D07C57"/>
    <w:rsid w:val="00D1644D"/>
    <w:rsid w:val="00D164BA"/>
    <w:rsid w:val="00D202CC"/>
    <w:rsid w:val="00D2031B"/>
    <w:rsid w:val="00D25E8C"/>
    <w:rsid w:val="00D25FE2"/>
    <w:rsid w:val="00D27E89"/>
    <w:rsid w:val="00D3234C"/>
    <w:rsid w:val="00D37E80"/>
    <w:rsid w:val="00D43252"/>
    <w:rsid w:val="00D46231"/>
    <w:rsid w:val="00D477C4"/>
    <w:rsid w:val="00D5409C"/>
    <w:rsid w:val="00D57C13"/>
    <w:rsid w:val="00D57FD9"/>
    <w:rsid w:val="00D610C1"/>
    <w:rsid w:val="00D636B4"/>
    <w:rsid w:val="00D658FA"/>
    <w:rsid w:val="00D67CDD"/>
    <w:rsid w:val="00D730E3"/>
    <w:rsid w:val="00D753D8"/>
    <w:rsid w:val="00D76D45"/>
    <w:rsid w:val="00D80E67"/>
    <w:rsid w:val="00D81163"/>
    <w:rsid w:val="00D91E0D"/>
    <w:rsid w:val="00D920D7"/>
    <w:rsid w:val="00D9274F"/>
    <w:rsid w:val="00D96248"/>
    <w:rsid w:val="00D96CC5"/>
    <w:rsid w:val="00D978C6"/>
    <w:rsid w:val="00D97B77"/>
    <w:rsid w:val="00DA332C"/>
    <w:rsid w:val="00DA6620"/>
    <w:rsid w:val="00DA67AD"/>
    <w:rsid w:val="00DB2D6F"/>
    <w:rsid w:val="00DB655F"/>
    <w:rsid w:val="00DB7A1D"/>
    <w:rsid w:val="00DC581A"/>
    <w:rsid w:val="00DC7D59"/>
    <w:rsid w:val="00DD42A0"/>
    <w:rsid w:val="00DD6801"/>
    <w:rsid w:val="00DD764B"/>
    <w:rsid w:val="00DE236F"/>
    <w:rsid w:val="00DE3ECB"/>
    <w:rsid w:val="00DE4785"/>
    <w:rsid w:val="00DE7267"/>
    <w:rsid w:val="00DF0A4D"/>
    <w:rsid w:val="00DF1383"/>
    <w:rsid w:val="00DF3039"/>
    <w:rsid w:val="00DF3568"/>
    <w:rsid w:val="00DF3A04"/>
    <w:rsid w:val="00DF4518"/>
    <w:rsid w:val="00E01324"/>
    <w:rsid w:val="00E05B1C"/>
    <w:rsid w:val="00E066E6"/>
    <w:rsid w:val="00E07015"/>
    <w:rsid w:val="00E112A6"/>
    <w:rsid w:val="00E11783"/>
    <w:rsid w:val="00E130AB"/>
    <w:rsid w:val="00E15C3F"/>
    <w:rsid w:val="00E1679E"/>
    <w:rsid w:val="00E16FF3"/>
    <w:rsid w:val="00E239A0"/>
    <w:rsid w:val="00E23C14"/>
    <w:rsid w:val="00E27B7A"/>
    <w:rsid w:val="00E311FE"/>
    <w:rsid w:val="00E312F3"/>
    <w:rsid w:val="00E34E58"/>
    <w:rsid w:val="00E35317"/>
    <w:rsid w:val="00E3560E"/>
    <w:rsid w:val="00E36838"/>
    <w:rsid w:val="00E36C10"/>
    <w:rsid w:val="00E40B76"/>
    <w:rsid w:val="00E42461"/>
    <w:rsid w:val="00E4443D"/>
    <w:rsid w:val="00E4670F"/>
    <w:rsid w:val="00E47A04"/>
    <w:rsid w:val="00E51E6F"/>
    <w:rsid w:val="00E52EB0"/>
    <w:rsid w:val="00E54352"/>
    <w:rsid w:val="00E5644E"/>
    <w:rsid w:val="00E5654F"/>
    <w:rsid w:val="00E56849"/>
    <w:rsid w:val="00E5691C"/>
    <w:rsid w:val="00E631BA"/>
    <w:rsid w:val="00E6448B"/>
    <w:rsid w:val="00E65EA7"/>
    <w:rsid w:val="00E6613A"/>
    <w:rsid w:val="00E67F31"/>
    <w:rsid w:val="00E706A0"/>
    <w:rsid w:val="00E7260F"/>
    <w:rsid w:val="00E730D8"/>
    <w:rsid w:val="00E73EB3"/>
    <w:rsid w:val="00E7545A"/>
    <w:rsid w:val="00E778C8"/>
    <w:rsid w:val="00E81230"/>
    <w:rsid w:val="00E8254A"/>
    <w:rsid w:val="00E84898"/>
    <w:rsid w:val="00E8535A"/>
    <w:rsid w:val="00E864BE"/>
    <w:rsid w:val="00E90647"/>
    <w:rsid w:val="00E92537"/>
    <w:rsid w:val="00E96630"/>
    <w:rsid w:val="00EA0364"/>
    <w:rsid w:val="00EA2DCD"/>
    <w:rsid w:val="00EA3179"/>
    <w:rsid w:val="00EA48C4"/>
    <w:rsid w:val="00EA772F"/>
    <w:rsid w:val="00EB1763"/>
    <w:rsid w:val="00EB2AE3"/>
    <w:rsid w:val="00EB3B84"/>
    <w:rsid w:val="00EB4543"/>
    <w:rsid w:val="00EB4C06"/>
    <w:rsid w:val="00EB51D5"/>
    <w:rsid w:val="00EB56BD"/>
    <w:rsid w:val="00EB65EF"/>
    <w:rsid w:val="00EB6832"/>
    <w:rsid w:val="00EB71BA"/>
    <w:rsid w:val="00EB798F"/>
    <w:rsid w:val="00EC14E9"/>
    <w:rsid w:val="00EC271A"/>
    <w:rsid w:val="00EC3561"/>
    <w:rsid w:val="00EC755A"/>
    <w:rsid w:val="00ED128B"/>
    <w:rsid w:val="00ED3508"/>
    <w:rsid w:val="00ED3F6F"/>
    <w:rsid w:val="00ED64BE"/>
    <w:rsid w:val="00ED7A2A"/>
    <w:rsid w:val="00EE2ECD"/>
    <w:rsid w:val="00EE4D59"/>
    <w:rsid w:val="00EE4E42"/>
    <w:rsid w:val="00EE73C3"/>
    <w:rsid w:val="00EF18D3"/>
    <w:rsid w:val="00EF1D7F"/>
    <w:rsid w:val="00EF4AAC"/>
    <w:rsid w:val="00EF6FCD"/>
    <w:rsid w:val="00F00971"/>
    <w:rsid w:val="00F01C57"/>
    <w:rsid w:val="00F03FA2"/>
    <w:rsid w:val="00F05283"/>
    <w:rsid w:val="00F05690"/>
    <w:rsid w:val="00F07537"/>
    <w:rsid w:val="00F075EF"/>
    <w:rsid w:val="00F07E12"/>
    <w:rsid w:val="00F1200D"/>
    <w:rsid w:val="00F138E5"/>
    <w:rsid w:val="00F14682"/>
    <w:rsid w:val="00F21360"/>
    <w:rsid w:val="00F24A2B"/>
    <w:rsid w:val="00F30A8A"/>
    <w:rsid w:val="00F34267"/>
    <w:rsid w:val="00F3574D"/>
    <w:rsid w:val="00F364EF"/>
    <w:rsid w:val="00F37E88"/>
    <w:rsid w:val="00F40295"/>
    <w:rsid w:val="00F40E75"/>
    <w:rsid w:val="00F412D3"/>
    <w:rsid w:val="00F4216E"/>
    <w:rsid w:val="00F44004"/>
    <w:rsid w:val="00F444E3"/>
    <w:rsid w:val="00F44619"/>
    <w:rsid w:val="00F5039C"/>
    <w:rsid w:val="00F5087E"/>
    <w:rsid w:val="00F519D1"/>
    <w:rsid w:val="00F51BAB"/>
    <w:rsid w:val="00F51FD8"/>
    <w:rsid w:val="00F5233F"/>
    <w:rsid w:val="00F52DB2"/>
    <w:rsid w:val="00F535BE"/>
    <w:rsid w:val="00F54674"/>
    <w:rsid w:val="00F555BC"/>
    <w:rsid w:val="00F60E87"/>
    <w:rsid w:val="00F64C95"/>
    <w:rsid w:val="00F653C4"/>
    <w:rsid w:val="00F71468"/>
    <w:rsid w:val="00F72514"/>
    <w:rsid w:val="00F736C5"/>
    <w:rsid w:val="00F75E96"/>
    <w:rsid w:val="00F807CE"/>
    <w:rsid w:val="00F80C07"/>
    <w:rsid w:val="00F902D7"/>
    <w:rsid w:val="00F90657"/>
    <w:rsid w:val="00F9283E"/>
    <w:rsid w:val="00F92B0D"/>
    <w:rsid w:val="00F940FF"/>
    <w:rsid w:val="00FA00A0"/>
    <w:rsid w:val="00FA1DE0"/>
    <w:rsid w:val="00FA2701"/>
    <w:rsid w:val="00FA31C1"/>
    <w:rsid w:val="00FA3FB7"/>
    <w:rsid w:val="00FB0621"/>
    <w:rsid w:val="00FB2CDB"/>
    <w:rsid w:val="00FB5A37"/>
    <w:rsid w:val="00FB7793"/>
    <w:rsid w:val="00FC18AA"/>
    <w:rsid w:val="00FC215C"/>
    <w:rsid w:val="00FC29AA"/>
    <w:rsid w:val="00FC29EC"/>
    <w:rsid w:val="00FC68B7"/>
    <w:rsid w:val="00FC72C4"/>
    <w:rsid w:val="00FD3C5D"/>
    <w:rsid w:val="00FD3E70"/>
    <w:rsid w:val="00FD4128"/>
    <w:rsid w:val="00FD6B2B"/>
    <w:rsid w:val="00FE2B81"/>
    <w:rsid w:val="00FE3EEA"/>
    <w:rsid w:val="00FE5882"/>
    <w:rsid w:val="00FE75BD"/>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3F359064"/>
  <w15:docId w15:val="{8C147BAB-25DE-4A75-A65C-37074E444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link w:val="Heading4Char"/>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link w:val="Heading6Char"/>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link w:val="Heading8Char"/>
    <w:qFormat/>
    <w:rsid w:val="00A8523D"/>
    <w:pPr>
      <w:spacing w:line="240" w:lineRule="auto"/>
      <w:outlineLvl w:val="7"/>
    </w:pPr>
  </w:style>
  <w:style w:type="paragraph" w:styleId="Heading9">
    <w:name w:val="heading 9"/>
    <w:basedOn w:val="Normal"/>
    <w:next w:val="Normal"/>
    <w:link w:val="Heading9Char"/>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uiPriority w:val="99"/>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tabs>
        <w:tab w:val="clear" w:pos="1209"/>
        <w:tab w:val="num" w:pos="360"/>
      </w:tabs>
      <w:ind w:left="0" w:firstLine="0"/>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character" w:customStyle="1" w:styleId="BodyTextIndent3Char">
    <w:name w:val="Body Text Indent 3 Char"/>
    <w:link w:val="BodyTextIndent3"/>
    <w:semiHidden/>
    <w:rsid w:val="00BD109F"/>
    <w:rPr>
      <w:sz w:val="16"/>
      <w:szCs w:val="16"/>
      <w:lang w:eastAsia="en-US"/>
    </w:rPr>
  </w:style>
  <w:style w:type="character" w:customStyle="1" w:styleId="TitleChar">
    <w:name w:val="Title Char"/>
    <w:link w:val="Title"/>
    <w:rsid w:val="00BD109F"/>
    <w:rPr>
      <w:rFonts w:ascii="Arial" w:hAnsi="Arial" w:cs="Arial"/>
      <w:b/>
      <w:bCs/>
      <w:kern w:val="28"/>
      <w:sz w:val="32"/>
      <w:szCs w:val="32"/>
      <w:lang w:eastAsia="en-US"/>
    </w:rPr>
  </w:style>
  <w:style w:type="character" w:customStyle="1" w:styleId="H1GChar">
    <w:name w:val="_ H_1_G Char"/>
    <w:link w:val="H1G"/>
    <w:rsid w:val="000E23BE"/>
    <w:rPr>
      <w:b/>
      <w:sz w:val="24"/>
      <w:lang w:eastAsia="en-US"/>
    </w:rPr>
  </w:style>
  <w:style w:type="character" w:customStyle="1" w:styleId="Heading1Char">
    <w:name w:val="Heading 1 Char"/>
    <w:aliases w:val="Table_G Char"/>
    <w:basedOn w:val="DefaultParagraphFont"/>
    <w:link w:val="Heading1"/>
    <w:rsid w:val="00B84944"/>
    <w:rPr>
      <w:lang w:val="x-none" w:eastAsia="en-US"/>
    </w:rPr>
  </w:style>
  <w:style w:type="character" w:customStyle="1" w:styleId="Heading2Char">
    <w:name w:val="Heading 2 Char"/>
    <w:basedOn w:val="DefaultParagraphFont"/>
    <w:link w:val="Heading2"/>
    <w:rsid w:val="00B84944"/>
    <w:rPr>
      <w:lang w:eastAsia="en-US"/>
    </w:rPr>
  </w:style>
  <w:style w:type="character" w:customStyle="1" w:styleId="Heading4Char">
    <w:name w:val="Heading 4 Char"/>
    <w:basedOn w:val="DefaultParagraphFont"/>
    <w:link w:val="Heading4"/>
    <w:rsid w:val="00B84944"/>
    <w:rPr>
      <w:lang w:eastAsia="en-US"/>
    </w:rPr>
  </w:style>
  <w:style w:type="character" w:customStyle="1" w:styleId="Heading5Char">
    <w:name w:val="Heading 5 Char"/>
    <w:basedOn w:val="DefaultParagraphFont"/>
    <w:link w:val="Heading5"/>
    <w:rsid w:val="00B84944"/>
    <w:rPr>
      <w:lang w:eastAsia="en-US"/>
    </w:rPr>
  </w:style>
  <w:style w:type="character" w:customStyle="1" w:styleId="Heading6Char">
    <w:name w:val="Heading 6 Char"/>
    <w:basedOn w:val="DefaultParagraphFont"/>
    <w:link w:val="Heading6"/>
    <w:rsid w:val="00B84944"/>
    <w:rPr>
      <w:lang w:eastAsia="en-US"/>
    </w:rPr>
  </w:style>
  <w:style w:type="character" w:customStyle="1" w:styleId="Heading7Char">
    <w:name w:val="Heading 7 Char"/>
    <w:basedOn w:val="DefaultParagraphFont"/>
    <w:link w:val="Heading7"/>
    <w:rsid w:val="00B84944"/>
    <w:rPr>
      <w:lang w:eastAsia="en-US"/>
    </w:rPr>
  </w:style>
  <w:style w:type="character" w:customStyle="1" w:styleId="Heading8Char">
    <w:name w:val="Heading 8 Char"/>
    <w:basedOn w:val="DefaultParagraphFont"/>
    <w:link w:val="Heading8"/>
    <w:rsid w:val="00B84944"/>
    <w:rPr>
      <w:lang w:eastAsia="en-US"/>
    </w:rPr>
  </w:style>
  <w:style w:type="character" w:customStyle="1" w:styleId="Heading9Char">
    <w:name w:val="Heading 9 Char"/>
    <w:basedOn w:val="DefaultParagraphFont"/>
    <w:link w:val="Heading9"/>
    <w:rsid w:val="00B84944"/>
    <w:rPr>
      <w:lang w:eastAsia="en-US"/>
    </w:rPr>
  </w:style>
  <w:style w:type="paragraph" w:customStyle="1" w:styleId="a">
    <w:name w:val="–"/>
    <w:semiHidden/>
    <w:rsid w:val="00B84944"/>
    <w:pPr>
      <w:autoSpaceDE w:val="0"/>
      <w:autoSpaceDN w:val="0"/>
      <w:adjustRightInd w:val="0"/>
      <w:jc w:val="both"/>
    </w:pPr>
    <w:rPr>
      <w:rFonts w:ascii="Arial" w:eastAsia="Times New Roman" w:hAnsi="Arial"/>
      <w:sz w:val="24"/>
      <w:szCs w:val="24"/>
      <w:lang w:val="en-US" w:eastAsia="en-US"/>
    </w:rPr>
  </w:style>
  <w:style w:type="paragraph" w:customStyle="1" w:styleId="font5">
    <w:name w:val="font5"/>
    <w:basedOn w:val="Normal"/>
    <w:semiHidden/>
    <w:rsid w:val="00B84944"/>
    <w:pPr>
      <w:suppressAutoHyphens w:val="0"/>
      <w:spacing w:before="100" w:beforeAutospacing="1" w:after="100" w:afterAutospacing="1" w:line="240" w:lineRule="auto"/>
    </w:pPr>
    <w:rPr>
      <w:rFonts w:ascii="CG Times" w:eastAsia="Times New Roman" w:hAnsi="CG Times"/>
    </w:rPr>
  </w:style>
  <w:style w:type="paragraph" w:customStyle="1" w:styleId="Document1">
    <w:name w:val="Document 1"/>
    <w:semiHidden/>
    <w:rsid w:val="00B84944"/>
    <w:pPr>
      <w:keepNext/>
      <w:keepLines/>
      <w:tabs>
        <w:tab w:val="left" w:pos="-720"/>
      </w:tabs>
      <w:suppressAutoHyphens/>
    </w:pPr>
    <w:rPr>
      <w:rFonts w:ascii="Times Roman" w:eastAsia="Times New Roman" w:hAnsi="Times Roman"/>
      <w:sz w:val="22"/>
      <w:lang w:val="en-US" w:eastAsia="en-US"/>
    </w:rPr>
  </w:style>
  <w:style w:type="paragraph" w:customStyle="1" w:styleId="Num-DocParagraph">
    <w:name w:val="Num-Doc Paragraph"/>
    <w:basedOn w:val="BodyText"/>
    <w:semiHidden/>
    <w:rsid w:val="00B84944"/>
    <w:pPr>
      <w:tabs>
        <w:tab w:val="left" w:pos="851"/>
        <w:tab w:val="left" w:pos="1191"/>
        <w:tab w:val="left" w:pos="1531"/>
      </w:tabs>
      <w:suppressAutoHyphens w:val="0"/>
      <w:spacing w:after="240" w:line="240" w:lineRule="auto"/>
      <w:jc w:val="both"/>
    </w:pPr>
    <w:rPr>
      <w:rFonts w:ascii="Times" w:eastAsia="Times New Roman" w:hAnsi="Times"/>
      <w:sz w:val="22"/>
    </w:rPr>
  </w:style>
  <w:style w:type="character" w:customStyle="1" w:styleId="BodyText2Char">
    <w:name w:val="Body Text 2 Char"/>
    <w:basedOn w:val="DefaultParagraphFont"/>
    <w:link w:val="BodyText2"/>
    <w:semiHidden/>
    <w:rsid w:val="00B84944"/>
    <w:rPr>
      <w:lang w:eastAsia="en-US"/>
    </w:rPr>
  </w:style>
  <w:style w:type="character" w:customStyle="1" w:styleId="DateChar">
    <w:name w:val="Date Char"/>
    <w:basedOn w:val="DefaultParagraphFont"/>
    <w:link w:val="Date"/>
    <w:rsid w:val="00B84944"/>
    <w:rPr>
      <w:lang w:eastAsia="en-US"/>
    </w:rPr>
  </w:style>
  <w:style w:type="character" w:customStyle="1" w:styleId="BodyText3Char">
    <w:name w:val="Body Text 3 Char"/>
    <w:basedOn w:val="DefaultParagraphFont"/>
    <w:link w:val="BodyText3"/>
    <w:rsid w:val="00B84944"/>
    <w:rPr>
      <w:sz w:val="16"/>
      <w:szCs w:val="16"/>
      <w:lang w:eastAsia="en-US"/>
    </w:rPr>
  </w:style>
  <w:style w:type="character" w:customStyle="1" w:styleId="BodyTextFirstIndentChar">
    <w:name w:val="Body Text First Indent Char"/>
    <w:basedOn w:val="BodyTextChar"/>
    <w:link w:val="BodyTextFirstIndent"/>
    <w:rsid w:val="00B84944"/>
    <w:rPr>
      <w:lang w:eastAsia="en-US"/>
    </w:rPr>
  </w:style>
  <w:style w:type="character" w:customStyle="1" w:styleId="BodyTextFirstIndent2Char">
    <w:name w:val="Body Text First Indent 2 Char"/>
    <w:basedOn w:val="BodyTextIndentChar"/>
    <w:link w:val="BodyTextFirstIndent2"/>
    <w:rsid w:val="00B84944"/>
    <w:rPr>
      <w:lang w:eastAsia="en-US"/>
    </w:rPr>
  </w:style>
  <w:style w:type="paragraph" w:styleId="Caption">
    <w:name w:val="caption"/>
    <w:basedOn w:val="Normal"/>
    <w:next w:val="Normal"/>
    <w:qFormat/>
    <w:rsid w:val="00B84944"/>
    <w:pPr>
      <w:suppressAutoHyphens w:val="0"/>
      <w:autoSpaceDE w:val="0"/>
      <w:autoSpaceDN w:val="0"/>
      <w:adjustRightInd w:val="0"/>
      <w:spacing w:line="240" w:lineRule="auto"/>
    </w:pPr>
    <w:rPr>
      <w:rFonts w:ascii="Times" w:eastAsia="Times New Roman" w:hAnsi="Times"/>
      <w:b/>
      <w:bCs/>
      <w:lang w:val="fr-FR" w:eastAsia="fr-FR"/>
    </w:rPr>
  </w:style>
  <w:style w:type="character" w:customStyle="1" w:styleId="ClosingChar">
    <w:name w:val="Closing Char"/>
    <w:basedOn w:val="DefaultParagraphFont"/>
    <w:link w:val="Closing"/>
    <w:rsid w:val="00B84944"/>
    <w:rPr>
      <w:lang w:eastAsia="en-US"/>
    </w:rPr>
  </w:style>
  <w:style w:type="paragraph" w:styleId="DocumentMap">
    <w:name w:val="Document Map"/>
    <w:basedOn w:val="Normal"/>
    <w:link w:val="DocumentMapChar"/>
    <w:semiHidden/>
    <w:rsid w:val="00B84944"/>
    <w:pPr>
      <w:shd w:val="clear" w:color="auto" w:fill="000080"/>
      <w:suppressAutoHyphens w:val="0"/>
      <w:autoSpaceDE w:val="0"/>
      <w:autoSpaceDN w:val="0"/>
      <w:adjustRightInd w:val="0"/>
      <w:spacing w:line="240" w:lineRule="auto"/>
    </w:pPr>
    <w:rPr>
      <w:rFonts w:ascii="Tahoma" w:eastAsia="Times New Roman" w:hAnsi="Tahoma" w:cs="Tahoma"/>
      <w:lang w:val="fr-FR" w:eastAsia="fr-FR"/>
    </w:rPr>
  </w:style>
  <w:style w:type="character" w:customStyle="1" w:styleId="DocumentMapChar">
    <w:name w:val="Document Map Char"/>
    <w:basedOn w:val="DefaultParagraphFont"/>
    <w:link w:val="DocumentMap"/>
    <w:semiHidden/>
    <w:rsid w:val="00B84944"/>
    <w:rPr>
      <w:rFonts w:ascii="Tahoma" w:eastAsia="Times New Roman" w:hAnsi="Tahoma" w:cs="Tahoma"/>
      <w:shd w:val="clear" w:color="auto" w:fill="000080"/>
      <w:lang w:val="fr-FR" w:eastAsia="fr-FR"/>
    </w:rPr>
  </w:style>
  <w:style w:type="character" w:customStyle="1" w:styleId="E-mailSignatureChar">
    <w:name w:val="E-mail Signature Char"/>
    <w:basedOn w:val="DefaultParagraphFont"/>
    <w:link w:val="E-mailSignature"/>
    <w:rsid w:val="00B84944"/>
    <w:rPr>
      <w:lang w:eastAsia="en-US"/>
    </w:rPr>
  </w:style>
  <w:style w:type="character" w:customStyle="1" w:styleId="EndnoteTextChar">
    <w:name w:val="Endnote Text Char"/>
    <w:aliases w:val="2_G Char"/>
    <w:basedOn w:val="DefaultParagraphFont"/>
    <w:link w:val="EndnoteText"/>
    <w:rsid w:val="00B84944"/>
    <w:rPr>
      <w:sz w:val="18"/>
      <w:lang w:val="x-none" w:eastAsia="en-US"/>
    </w:rPr>
  </w:style>
  <w:style w:type="character" w:customStyle="1" w:styleId="HTMLAddressChar">
    <w:name w:val="HTML Address Char"/>
    <w:basedOn w:val="DefaultParagraphFont"/>
    <w:link w:val="HTMLAddress"/>
    <w:rsid w:val="00B84944"/>
    <w:rPr>
      <w:i/>
      <w:iCs/>
      <w:lang w:eastAsia="en-US"/>
    </w:rPr>
  </w:style>
  <w:style w:type="paragraph" w:styleId="Index1">
    <w:name w:val="index 1"/>
    <w:basedOn w:val="Normal"/>
    <w:next w:val="Normal"/>
    <w:autoRedefine/>
    <w:semiHidden/>
    <w:rsid w:val="00B84944"/>
    <w:pPr>
      <w:suppressAutoHyphens w:val="0"/>
      <w:autoSpaceDE w:val="0"/>
      <w:autoSpaceDN w:val="0"/>
      <w:adjustRightInd w:val="0"/>
      <w:spacing w:line="240" w:lineRule="auto"/>
      <w:ind w:left="200" w:hanging="200"/>
    </w:pPr>
    <w:rPr>
      <w:rFonts w:ascii="Times" w:eastAsia="Times New Roman" w:hAnsi="Times"/>
      <w:lang w:val="fr-FR" w:eastAsia="fr-FR"/>
    </w:rPr>
  </w:style>
  <w:style w:type="paragraph" w:styleId="Index2">
    <w:name w:val="index 2"/>
    <w:basedOn w:val="Normal"/>
    <w:next w:val="Normal"/>
    <w:autoRedefine/>
    <w:semiHidden/>
    <w:rsid w:val="00B84944"/>
    <w:pPr>
      <w:suppressAutoHyphens w:val="0"/>
      <w:autoSpaceDE w:val="0"/>
      <w:autoSpaceDN w:val="0"/>
      <w:adjustRightInd w:val="0"/>
      <w:spacing w:line="240" w:lineRule="auto"/>
      <w:ind w:left="400" w:hanging="200"/>
    </w:pPr>
    <w:rPr>
      <w:rFonts w:ascii="Times" w:eastAsia="Times New Roman" w:hAnsi="Times"/>
      <w:lang w:val="fr-FR" w:eastAsia="fr-FR"/>
    </w:rPr>
  </w:style>
  <w:style w:type="paragraph" w:styleId="Index3">
    <w:name w:val="index 3"/>
    <w:basedOn w:val="Normal"/>
    <w:next w:val="Normal"/>
    <w:autoRedefine/>
    <w:semiHidden/>
    <w:rsid w:val="00B84944"/>
    <w:pPr>
      <w:suppressAutoHyphens w:val="0"/>
      <w:autoSpaceDE w:val="0"/>
      <w:autoSpaceDN w:val="0"/>
      <w:adjustRightInd w:val="0"/>
      <w:spacing w:line="240" w:lineRule="auto"/>
      <w:ind w:left="600" w:hanging="200"/>
    </w:pPr>
    <w:rPr>
      <w:rFonts w:ascii="Times" w:eastAsia="Times New Roman" w:hAnsi="Times"/>
      <w:lang w:val="fr-FR" w:eastAsia="fr-FR"/>
    </w:rPr>
  </w:style>
  <w:style w:type="paragraph" w:styleId="Index4">
    <w:name w:val="index 4"/>
    <w:basedOn w:val="Normal"/>
    <w:next w:val="Normal"/>
    <w:autoRedefine/>
    <w:semiHidden/>
    <w:rsid w:val="00B84944"/>
    <w:pPr>
      <w:suppressAutoHyphens w:val="0"/>
      <w:autoSpaceDE w:val="0"/>
      <w:autoSpaceDN w:val="0"/>
      <w:adjustRightInd w:val="0"/>
      <w:spacing w:line="240" w:lineRule="auto"/>
      <w:ind w:left="800" w:hanging="200"/>
    </w:pPr>
    <w:rPr>
      <w:rFonts w:ascii="Times" w:eastAsia="Times New Roman" w:hAnsi="Times"/>
      <w:lang w:val="fr-FR" w:eastAsia="fr-FR"/>
    </w:rPr>
  </w:style>
  <w:style w:type="paragraph" w:styleId="Index5">
    <w:name w:val="index 5"/>
    <w:basedOn w:val="Normal"/>
    <w:next w:val="Normal"/>
    <w:autoRedefine/>
    <w:semiHidden/>
    <w:rsid w:val="00B84944"/>
    <w:pPr>
      <w:suppressAutoHyphens w:val="0"/>
      <w:autoSpaceDE w:val="0"/>
      <w:autoSpaceDN w:val="0"/>
      <w:adjustRightInd w:val="0"/>
      <w:spacing w:line="240" w:lineRule="auto"/>
      <w:ind w:left="1000" w:hanging="200"/>
    </w:pPr>
    <w:rPr>
      <w:rFonts w:ascii="Times" w:eastAsia="Times New Roman" w:hAnsi="Times"/>
      <w:lang w:val="fr-FR" w:eastAsia="fr-FR"/>
    </w:rPr>
  </w:style>
  <w:style w:type="paragraph" w:styleId="Index6">
    <w:name w:val="index 6"/>
    <w:basedOn w:val="Normal"/>
    <w:next w:val="Normal"/>
    <w:autoRedefine/>
    <w:semiHidden/>
    <w:rsid w:val="00B84944"/>
    <w:pPr>
      <w:suppressAutoHyphens w:val="0"/>
      <w:autoSpaceDE w:val="0"/>
      <w:autoSpaceDN w:val="0"/>
      <w:adjustRightInd w:val="0"/>
      <w:spacing w:line="240" w:lineRule="auto"/>
      <w:ind w:left="1200" w:hanging="200"/>
    </w:pPr>
    <w:rPr>
      <w:rFonts w:ascii="Times" w:eastAsia="Times New Roman" w:hAnsi="Times"/>
      <w:lang w:val="fr-FR" w:eastAsia="fr-FR"/>
    </w:rPr>
  </w:style>
  <w:style w:type="paragraph" w:styleId="Index7">
    <w:name w:val="index 7"/>
    <w:basedOn w:val="Normal"/>
    <w:next w:val="Normal"/>
    <w:autoRedefine/>
    <w:semiHidden/>
    <w:rsid w:val="00B84944"/>
    <w:pPr>
      <w:suppressAutoHyphens w:val="0"/>
      <w:autoSpaceDE w:val="0"/>
      <w:autoSpaceDN w:val="0"/>
      <w:adjustRightInd w:val="0"/>
      <w:spacing w:line="240" w:lineRule="auto"/>
      <w:ind w:left="1400" w:hanging="200"/>
    </w:pPr>
    <w:rPr>
      <w:rFonts w:ascii="Times" w:eastAsia="Times New Roman" w:hAnsi="Times"/>
      <w:lang w:val="fr-FR" w:eastAsia="fr-FR"/>
    </w:rPr>
  </w:style>
  <w:style w:type="paragraph" w:styleId="Index8">
    <w:name w:val="index 8"/>
    <w:basedOn w:val="Normal"/>
    <w:next w:val="Normal"/>
    <w:autoRedefine/>
    <w:semiHidden/>
    <w:rsid w:val="00B84944"/>
    <w:pPr>
      <w:suppressAutoHyphens w:val="0"/>
      <w:autoSpaceDE w:val="0"/>
      <w:autoSpaceDN w:val="0"/>
      <w:adjustRightInd w:val="0"/>
      <w:spacing w:line="240" w:lineRule="auto"/>
      <w:ind w:left="1600" w:hanging="200"/>
    </w:pPr>
    <w:rPr>
      <w:rFonts w:ascii="Times" w:eastAsia="Times New Roman" w:hAnsi="Times"/>
      <w:lang w:val="fr-FR" w:eastAsia="fr-FR"/>
    </w:rPr>
  </w:style>
  <w:style w:type="paragraph" w:styleId="Index9">
    <w:name w:val="index 9"/>
    <w:basedOn w:val="Normal"/>
    <w:next w:val="Normal"/>
    <w:autoRedefine/>
    <w:semiHidden/>
    <w:rsid w:val="00B84944"/>
    <w:pPr>
      <w:suppressAutoHyphens w:val="0"/>
      <w:autoSpaceDE w:val="0"/>
      <w:autoSpaceDN w:val="0"/>
      <w:adjustRightInd w:val="0"/>
      <w:spacing w:line="240" w:lineRule="auto"/>
      <w:ind w:left="1800" w:hanging="200"/>
    </w:pPr>
    <w:rPr>
      <w:rFonts w:ascii="Times" w:eastAsia="Times New Roman" w:hAnsi="Times"/>
      <w:lang w:val="fr-FR" w:eastAsia="fr-FR"/>
    </w:rPr>
  </w:style>
  <w:style w:type="paragraph" w:styleId="IndexHeading">
    <w:name w:val="index heading"/>
    <w:basedOn w:val="Normal"/>
    <w:next w:val="Index1"/>
    <w:semiHidden/>
    <w:rsid w:val="00B84944"/>
    <w:pPr>
      <w:suppressAutoHyphens w:val="0"/>
      <w:autoSpaceDE w:val="0"/>
      <w:autoSpaceDN w:val="0"/>
      <w:adjustRightInd w:val="0"/>
      <w:spacing w:line="240" w:lineRule="auto"/>
    </w:pPr>
    <w:rPr>
      <w:rFonts w:ascii="Arial" w:eastAsia="Times New Roman" w:hAnsi="Arial" w:cs="Arial"/>
      <w:b/>
      <w:bCs/>
      <w:lang w:val="fr-FR" w:eastAsia="fr-FR"/>
    </w:rPr>
  </w:style>
  <w:style w:type="paragraph" w:styleId="MacroText">
    <w:name w:val="macro"/>
    <w:link w:val="MacroTextChar"/>
    <w:semiHidden/>
    <w:rsid w:val="00B84944"/>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eastAsia="Times New Roman" w:hAnsi="Courier New" w:cs="Courier New"/>
      <w:lang w:val="fr-FR" w:eastAsia="fr-FR"/>
    </w:rPr>
  </w:style>
  <w:style w:type="character" w:customStyle="1" w:styleId="MacroTextChar">
    <w:name w:val="Macro Text Char"/>
    <w:basedOn w:val="DefaultParagraphFont"/>
    <w:link w:val="MacroText"/>
    <w:semiHidden/>
    <w:rsid w:val="00B84944"/>
    <w:rPr>
      <w:rFonts w:ascii="Courier New" w:eastAsia="Times New Roman" w:hAnsi="Courier New" w:cs="Courier New"/>
      <w:lang w:val="fr-FR" w:eastAsia="fr-FR"/>
    </w:rPr>
  </w:style>
  <w:style w:type="character" w:customStyle="1" w:styleId="MessageHeaderChar">
    <w:name w:val="Message Header Char"/>
    <w:basedOn w:val="DefaultParagraphFont"/>
    <w:link w:val="MessageHeader"/>
    <w:rsid w:val="00B84944"/>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B84944"/>
    <w:rPr>
      <w:lang w:eastAsia="en-US"/>
    </w:rPr>
  </w:style>
  <w:style w:type="character" w:customStyle="1" w:styleId="PlainTextChar">
    <w:name w:val="Plain Text Char"/>
    <w:basedOn w:val="DefaultParagraphFont"/>
    <w:link w:val="PlainText"/>
    <w:rsid w:val="00B84944"/>
    <w:rPr>
      <w:rFonts w:cs="Courier New"/>
      <w:lang w:eastAsia="en-US"/>
    </w:rPr>
  </w:style>
  <w:style w:type="character" w:customStyle="1" w:styleId="SalutationChar">
    <w:name w:val="Salutation Char"/>
    <w:basedOn w:val="DefaultParagraphFont"/>
    <w:link w:val="Salutation"/>
    <w:rsid w:val="00B84944"/>
    <w:rPr>
      <w:lang w:eastAsia="en-US"/>
    </w:rPr>
  </w:style>
  <w:style w:type="character" w:customStyle="1" w:styleId="SignatureChar">
    <w:name w:val="Signature Char"/>
    <w:basedOn w:val="DefaultParagraphFont"/>
    <w:link w:val="Signature"/>
    <w:rsid w:val="00B84944"/>
    <w:rPr>
      <w:lang w:eastAsia="en-US"/>
    </w:rPr>
  </w:style>
  <w:style w:type="character" w:customStyle="1" w:styleId="SubtitleChar">
    <w:name w:val="Subtitle Char"/>
    <w:basedOn w:val="DefaultParagraphFont"/>
    <w:link w:val="Subtitle"/>
    <w:rsid w:val="00B84944"/>
    <w:rPr>
      <w:rFonts w:ascii="Arial" w:hAnsi="Arial" w:cs="Arial"/>
      <w:sz w:val="24"/>
      <w:szCs w:val="24"/>
      <w:lang w:eastAsia="en-US"/>
    </w:rPr>
  </w:style>
  <w:style w:type="paragraph" w:styleId="TableofAuthorities">
    <w:name w:val="table of authorities"/>
    <w:basedOn w:val="Normal"/>
    <w:next w:val="Normal"/>
    <w:semiHidden/>
    <w:rsid w:val="00B84944"/>
    <w:pPr>
      <w:suppressAutoHyphens w:val="0"/>
      <w:autoSpaceDE w:val="0"/>
      <w:autoSpaceDN w:val="0"/>
      <w:adjustRightInd w:val="0"/>
      <w:spacing w:line="240" w:lineRule="auto"/>
      <w:ind w:left="200" w:hanging="200"/>
    </w:pPr>
    <w:rPr>
      <w:rFonts w:ascii="Times" w:eastAsia="Times New Roman" w:hAnsi="Times"/>
      <w:lang w:val="fr-FR" w:eastAsia="fr-FR"/>
    </w:rPr>
  </w:style>
  <w:style w:type="paragraph" w:styleId="TableofFigures">
    <w:name w:val="table of figures"/>
    <w:basedOn w:val="Normal"/>
    <w:next w:val="Normal"/>
    <w:semiHidden/>
    <w:rsid w:val="00B84944"/>
    <w:pPr>
      <w:suppressAutoHyphens w:val="0"/>
      <w:autoSpaceDE w:val="0"/>
      <w:autoSpaceDN w:val="0"/>
      <w:adjustRightInd w:val="0"/>
      <w:spacing w:line="240" w:lineRule="auto"/>
    </w:pPr>
    <w:rPr>
      <w:rFonts w:ascii="Times" w:eastAsia="Times New Roman" w:hAnsi="Times"/>
      <w:lang w:val="fr-FR" w:eastAsia="fr-FR"/>
    </w:rPr>
  </w:style>
  <w:style w:type="paragraph" w:styleId="TOAHeading">
    <w:name w:val="toa heading"/>
    <w:basedOn w:val="Normal"/>
    <w:next w:val="Normal"/>
    <w:semiHidden/>
    <w:rsid w:val="00B84944"/>
    <w:pPr>
      <w:suppressAutoHyphens w:val="0"/>
      <w:autoSpaceDE w:val="0"/>
      <w:autoSpaceDN w:val="0"/>
      <w:adjustRightInd w:val="0"/>
      <w:spacing w:before="120" w:line="240" w:lineRule="auto"/>
    </w:pPr>
    <w:rPr>
      <w:rFonts w:ascii="Arial" w:eastAsia="Times New Roman" w:hAnsi="Arial" w:cs="Arial"/>
      <w:b/>
      <w:bCs/>
      <w:sz w:val="24"/>
      <w:szCs w:val="24"/>
      <w:lang w:val="fr-FR" w:eastAsia="fr-FR"/>
    </w:rPr>
  </w:style>
  <w:style w:type="paragraph" w:styleId="TOC1">
    <w:name w:val="toc 1"/>
    <w:basedOn w:val="Normal"/>
    <w:next w:val="Normal"/>
    <w:autoRedefine/>
    <w:semiHidden/>
    <w:rsid w:val="00B84944"/>
    <w:pPr>
      <w:suppressAutoHyphens w:val="0"/>
      <w:autoSpaceDE w:val="0"/>
      <w:autoSpaceDN w:val="0"/>
      <w:adjustRightInd w:val="0"/>
      <w:spacing w:line="240" w:lineRule="auto"/>
    </w:pPr>
    <w:rPr>
      <w:rFonts w:ascii="Times" w:eastAsia="Times New Roman" w:hAnsi="Times"/>
      <w:lang w:val="fr-FR" w:eastAsia="fr-FR"/>
    </w:rPr>
  </w:style>
  <w:style w:type="paragraph" w:styleId="TOC2">
    <w:name w:val="toc 2"/>
    <w:basedOn w:val="Normal"/>
    <w:next w:val="Normal"/>
    <w:autoRedefine/>
    <w:semiHidden/>
    <w:rsid w:val="00B84944"/>
    <w:pPr>
      <w:suppressAutoHyphens w:val="0"/>
      <w:autoSpaceDE w:val="0"/>
      <w:autoSpaceDN w:val="0"/>
      <w:adjustRightInd w:val="0"/>
      <w:spacing w:line="240" w:lineRule="auto"/>
      <w:ind w:left="200"/>
    </w:pPr>
    <w:rPr>
      <w:rFonts w:ascii="Times" w:eastAsia="Times New Roman" w:hAnsi="Times"/>
      <w:lang w:val="fr-FR" w:eastAsia="fr-FR"/>
    </w:rPr>
  </w:style>
  <w:style w:type="paragraph" w:styleId="TOC3">
    <w:name w:val="toc 3"/>
    <w:basedOn w:val="Normal"/>
    <w:next w:val="Normal"/>
    <w:autoRedefine/>
    <w:semiHidden/>
    <w:rsid w:val="00B84944"/>
    <w:pPr>
      <w:suppressAutoHyphens w:val="0"/>
      <w:autoSpaceDE w:val="0"/>
      <w:autoSpaceDN w:val="0"/>
      <w:adjustRightInd w:val="0"/>
      <w:spacing w:line="240" w:lineRule="auto"/>
      <w:ind w:left="400"/>
    </w:pPr>
    <w:rPr>
      <w:rFonts w:ascii="Times" w:eastAsia="Times New Roman" w:hAnsi="Times"/>
      <w:lang w:val="fr-FR" w:eastAsia="fr-FR"/>
    </w:rPr>
  </w:style>
  <w:style w:type="paragraph" w:styleId="TOC4">
    <w:name w:val="toc 4"/>
    <w:basedOn w:val="Normal"/>
    <w:next w:val="Normal"/>
    <w:autoRedefine/>
    <w:semiHidden/>
    <w:rsid w:val="00B84944"/>
    <w:pPr>
      <w:suppressAutoHyphens w:val="0"/>
      <w:autoSpaceDE w:val="0"/>
      <w:autoSpaceDN w:val="0"/>
      <w:adjustRightInd w:val="0"/>
      <w:spacing w:line="240" w:lineRule="auto"/>
      <w:ind w:left="600"/>
    </w:pPr>
    <w:rPr>
      <w:rFonts w:ascii="Times" w:eastAsia="Times New Roman" w:hAnsi="Times"/>
      <w:lang w:val="fr-FR" w:eastAsia="fr-FR"/>
    </w:rPr>
  </w:style>
  <w:style w:type="paragraph" w:styleId="TOC5">
    <w:name w:val="toc 5"/>
    <w:basedOn w:val="Normal"/>
    <w:next w:val="Normal"/>
    <w:autoRedefine/>
    <w:semiHidden/>
    <w:rsid w:val="00B84944"/>
    <w:pPr>
      <w:suppressAutoHyphens w:val="0"/>
      <w:autoSpaceDE w:val="0"/>
      <w:autoSpaceDN w:val="0"/>
      <w:adjustRightInd w:val="0"/>
      <w:spacing w:line="240" w:lineRule="auto"/>
      <w:ind w:left="800"/>
    </w:pPr>
    <w:rPr>
      <w:rFonts w:ascii="Times" w:eastAsia="Times New Roman" w:hAnsi="Times"/>
      <w:lang w:val="fr-FR" w:eastAsia="fr-FR"/>
    </w:rPr>
  </w:style>
  <w:style w:type="paragraph" w:styleId="TOC6">
    <w:name w:val="toc 6"/>
    <w:basedOn w:val="Normal"/>
    <w:next w:val="Normal"/>
    <w:autoRedefine/>
    <w:semiHidden/>
    <w:rsid w:val="00B84944"/>
    <w:pPr>
      <w:suppressAutoHyphens w:val="0"/>
      <w:autoSpaceDE w:val="0"/>
      <w:autoSpaceDN w:val="0"/>
      <w:adjustRightInd w:val="0"/>
      <w:spacing w:line="240" w:lineRule="auto"/>
      <w:ind w:left="1000"/>
    </w:pPr>
    <w:rPr>
      <w:rFonts w:ascii="Times" w:eastAsia="Times New Roman" w:hAnsi="Times"/>
      <w:lang w:val="fr-FR" w:eastAsia="fr-FR"/>
    </w:rPr>
  </w:style>
  <w:style w:type="paragraph" w:styleId="TOC7">
    <w:name w:val="toc 7"/>
    <w:basedOn w:val="Normal"/>
    <w:next w:val="Normal"/>
    <w:autoRedefine/>
    <w:semiHidden/>
    <w:rsid w:val="00B84944"/>
    <w:pPr>
      <w:suppressAutoHyphens w:val="0"/>
      <w:autoSpaceDE w:val="0"/>
      <w:autoSpaceDN w:val="0"/>
      <w:adjustRightInd w:val="0"/>
      <w:spacing w:line="240" w:lineRule="auto"/>
      <w:ind w:left="1200"/>
    </w:pPr>
    <w:rPr>
      <w:rFonts w:ascii="Times" w:eastAsia="Times New Roman" w:hAnsi="Times"/>
      <w:lang w:val="fr-FR" w:eastAsia="fr-FR"/>
    </w:rPr>
  </w:style>
  <w:style w:type="paragraph" w:styleId="TOC8">
    <w:name w:val="toc 8"/>
    <w:basedOn w:val="Normal"/>
    <w:next w:val="Normal"/>
    <w:autoRedefine/>
    <w:semiHidden/>
    <w:rsid w:val="00B84944"/>
    <w:pPr>
      <w:suppressAutoHyphens w:val="0"/>
      <w:autoSpaceDE w:val="0"/>
      <w:autoSpaceDN w:val="0"/>
      <w:adjustRightInd w:val="0"/>
      <w:spacing w:line="240" w:lineRule="auto"/>
      <w:ind w:left="1400"/>
    </w:pPr>
    <w:rPr>
      <w:rFonts w:ascii="Times" w:eastAsia="Times New Roman" w:hAnsi="Times"/>
      <w:lang w:val="fr-FR" w:eastAsia="fr-FR"/>
    </w:rPr>
  </w:style>
  <w:style w:type="paragraph" w:styleId="TOC9">
    <w:name w:val="toc 9"/>
    <w:basedOn w:val="Normal"/>
    <w:next w:val="Normal"/>
    <w:autoRedefine/>
    <w:semiHidden/>
    <w:rsid w:val="00B84944"/>
    <w:pPr>
      <w:suppressAutoHyphens w:val="0"/>
      <w:autoSpaceDE w:val="0"/>
      <w:autoSpaceDN w:val="0"/>
      <w:adjustRightInd w:val="0"/>
      <w:spacing w:line="240" w:lineRule="auto"/>
      <w:ind w:left="1600"/>
    </w:pPr>
    <w:rPr>
      <w:rFonts w:ascii="Times" w:eastAsia="Times New Roman" w:hAnsi="Times"/>
      <w:lang w:val="fr-FR" w:eastAsia="fr-FR"/>
    </w:rPr>
  </w:style>
  <w:style w:type="table" w:customStyle="1" w:styleId="TableGrid10">
    <w:name w:val="Table Grid1"/>
    <w:basedOn w:val="TableNormal"/>
    <w:next w:val="TableGrid"/>
    <w:uiPriority w:val="39"/>
    <w:rsid w:val="00E16FF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ar">
    <w:name w:val="_ Single Txt_G Car"/>
    <w:locked/>
    <w:rsid w:val="00E778C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359901">
      <w:bodyDiv w:val="1"/>
      <w:marLeft w:val="0"/>
      <w:marRight w:val="0"/>
      <w:marTop w:val="0"/>
      <w:marBottom w:val="0"/>
      <w:divBdr>
        <w:top w:val="none" w:sz="0" w:space="0" w:color="auto"/>
        <w:left w:val="none" w:sz="0" w:space="0" w:color="auto"/>
        <w:bottom w:val="none" w:sz="0" w:space="0" w:color="auto"/>
        <w:right w:val="none" w:sz="0" w:space="0" w:color="auto"/>
      </w:divBdr>
    </w:div>
    <w:div w:id="510921550">
      <w:bodyDiv w:val="1"/>
      <w:marLeft w:val="0"/>
      <w:marRight w:val="0"/>
      <w:marTop w:val="0"/>
      <w:marBottom w:val="0"/>
      <w:divBdr>
        <w:top w:val="none" w:sz="0" w:space="0" w:color="auto"/>
        <w:left w:val="none" w:sz="0" w:space="0" w:color="auto"/>
        <w:bottom w:val="none" w:sz="0" w:space="0" w:color="auto"/>
        <w:right w:val="none" w:sz="0" w:space="0" w:color="auto"/>
      </w:divBdr>
    </w:div>
    <w:div w:id="1076055965">
      <w:bodyDiv w:val="1"/>
      <w:marLeft w:val="0"/>
      <w:marRight w:val="0"/>
      <w:marTop w:val="0"/>
      <w:marBottom w:val="0"/>
      <w:divBdr>
        <w:top w:val="none" w:sz="0" w:space="0" w:color="auto"/>
        <w:left w:val="none" w:sz="0" w:space="0" w:color="auto"/>
        <w:bottom w:val="none" w:sz="0" w:space="0" w:color="auto"/>
        <w:right w:val="none" w:sz="0" w:space="0" w:color="auto"/>
      </w:divBdr>
    </w:div>
    <w:div w:id="1859151985">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BC432-6552-4404-BAE6-C2E6F5323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289</TotalTime>
  <Pages>4</Pages>
  <Words>1480</Words>
  <Characters>8436</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dc:description/>
  <cp:lastModifiedBy>Rosa</cp:lastModifiedBy>
  <cp:revision>12</cp:revision>
  <cp:lastPrinted>2019-10-08T11:09:00Z</cp:lastPrinted>
  <dcterms:created xsi:type="dcterms:W3CDTF">2019-11-26T03:16:00Z</dcterms:created>
  <dcterms:modified xsi:type="dcterms:W3CDTF">2019-11-28T08:25:00Z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