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1973E6"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1973E6"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1973E6"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7E98A916" w:rsidR="00FC215C" w:rsidRPr="001973E6" w:rsidRDefault="00FC215C" w:rsidP="00B666B2">
            <w:pPr>
              <w:jc w:val="right"/>
              <w:rPr>
                <w:b/>
                <w:sz w:val="40"/>
                <w:szCs w:val="40"/>
              </w:rPr>
            </w:pPr>
            <w:r w:rsidRPr="001973E6">
              <w:rPr>
                <w:b/>
                <w:sz w:val="40"/>
                <w:szCs w:val="40"/>
              </w:rPr>
              <w:t>UN/SCETDG/</w:t>
            </w:r>
            <w:r w:rsidR="00CE74ED" w:rsidRPr="001973E6">
              <w:rPr>
                <w:b/>
                <w:sz w:val="40"/>
                <w:szCs w:val="40"/>
              </w:rPr>
              <w:t>5</w:t>
            </w:r>
            <w:r w:rsidR="00EE2966" w:rsidRPr="001973E6">
              <w:rPr>
                <w:b/>
                <w:sz w:val="40"/>
                <w:szCs w:val="40"/>
              </w:rPr>
              <w:t>6</w:t>
            </w:r>
            <w:r w:rsidRPr="001973E6">
              <w:rPr>
                <w:b/>
                <w:sz w:val="40"/>
                <w:szCs w:val="40"/>
              </w:rPr>
              <w:t>/INF.</w:t>
            </w:r>
            <w:r w:rsidR="00792454" w:rsidRPr="001973E6">
              <w:rPr>
                <w:b/>
                <w:sz w:val="40"/>
                <w:szCs w:val="40"/>
              </w:rPr>
              <w:t>6</w:t>
            </w:r>
          </w:p>
          <w:p w14:paraId="23600409" w14:textId="77777777" w:rsidR="000216CC" w:rsidRPr="001973E6" w:rsidRDefault="000216CC" w:rsidP="00497711">
            <w:pPr>
              <w:jc w:val="right"/>
            </w:pPr>
          </w:p>
        </w:tc>
      </w:tr>
    </w:tbl>
    <w:p w14:paraId="2C8AD83B" w14:textId="77777777" w:rsidR="000019B8" w:rsidRPr="001973E6"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1973E6" w14:paraId="49111E43" w14:textId="77777777" w:rsidTr="00D73803">
        <w:tc>
          <w:tcPr>
            <w:tcW w:w="9645" w:type="dxa"/>
            <w:gridSpan w:val="2"/>
            <w:tcMar>
              <w:top w:w="142" w:type="dxa"/>
              <w:left w:w="108" w:type="dxa"/>
              <w:bottom w:w="142" w:type="dxa"/>
              <w:right w:w="108" w:type="dxa"/>
            </w:tcMar>
          </w:tcPr>
          <w:p w14:paraId="659610D8" w14:textId="7F504561" w:rsidR="00645A0B" w:rsidRPr="001973E6" w:rsidRDefault="00645A0B" w:rsidP="00EE2966">
            <w:pPr>
              <w:tabs>
                <w:tab w:val="right" w:pos="9214"/>
              </w:tabs>
            </w:pPr>
            <w:r w:rsidRPr="001973E6">
              <w:rPr>
                <w:b/>
                <w:sz w:val="24"/>
                <w:szCs w:val="24"/>
              </w:rPr>
              <w:t>Committee of Experts on the Transport of Dangerous Goods</w:t>
            </w:r>
            <w:r w:rsidRPr="001973E6">
              <w:rPr>
                <w:b/>
                <w:sz w:val="24"/>
                <w:szCs w:val="24"/>
              </w:rPr>
              <w:tab/>
            </w:r>
            <w:r w:rsidRPr="001973E6">
              <w:rPr>
                <w:b/>
                <w:sz w:val="24"/>
                <w:szCs w:val="24"/>
              </w:rPr>
              <w:br/>
              <w:t>and on the Globally Harmonized System of Classification</w:t>
            </w:r>
            <w:r w:rsidRPr="001973E6">
              <w:rPr>
                <w:b/>
                <w:sz w:val="24"/>
                <w:szCs w:val="24"/>
              </w:rPr>
              <w:br/>
              <w:t>and Labelling of Chemicals</w:t>
            </w:r>
            <w:r w:rsidRPr="001973E6">
              <w:rPr>
                <w:b/>
              </w:rPr>
              <w:tab/>
            </w:r>
            <w:r w:rsidR="00607959">
              <w:rPr>
                <w:b/>
              </w:rPr>
              <w:t>15</w:t>
            </w:r>
            <w:r w:rsidR="0085041C" w:rsidRPr="001973E6">
              <w:rPr>
                <w:b/>
              </w:rPr>
              <w:t xml:space="preserve"> October</w:t>
            </w:r>
            <w:r w:rsidR="006216A1" w:rsidRPr="001973E6">
              <w:rPr>
                <w:b/>
              </w:rPr>
              <w:t xml:space="preserve"> </w:t>
            </w:r>
            <w:r w:rsidR="006A53DC" w:rsidRPr="001973E6">
              <w:rPr>
                <w:b/>
              </w:rPr>
              <w:t>2019</w:t>
            </w:r>
          </w:p>
        </w:tc>
      </w:tr>
      <w:tr w:rsidR="00645A0B" w:rsidRPr="001973E6" w14:paraId="6574E88D" w14:textId="77777777" w:rsidTr="00D73803">
        <w:tc>
          <w:tcPr>
            <w:tcW w:w="4652" w:type="dxa"/>
            <w:tcMar>
              <w:top w:w="57" w:type="dxa"/>
              <w:left w:w="108" w:type="dxa"/>
              <w:bottom w:w="0" w:type="dxa"/>
              <w:right w:w="108" w:type="dxa"/>
            </w:tcMar>
            <w:vAlign w:val="center"/>
          </w:tcPr>
          <w:p w14:paraId="30C2CA7B" w14:textId="77777777" w:rsidR="00645A0B" w:rsidRPr="001973E6" w:rsidRDefault="00645A0B" w:rsidP="00D73803">
            <w:pPr>
              <w:spacing w:before="40"/>
              <w:rPr>
                <w:b/>
              </w:rPr>
            </w:pPr>
            <w:r w:rsidRPr="001973E6">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1973E6" w:rsidRDefault="00645A0B" w:rsidP="00165735">
            <w:pPr>
              <w:spacing w:before="120"/>
              <w:rPr>
                <w:b/>
              </w:rPr>
            </w:pPr>
          </w:p>
        </w:tc>
      </w:tr>
      <w:tr w:rsidR="00645A0B" w:rsidRPr="001973E6" w14:paraId="4907F537" w14:textId="77777777" w:rsidTr="00D73803">
        <w:trPr>
          <w:trHeight w:val="201"/>
        </w:trPr>
        <w:tc>
          <w:tcPr>
            <w:tcW w:w="4652" w:type="dxa"/>
            <w:tcMar>
              <w:top w:w="57" w:type="dxa"/>
              <w:left w:w="108" w:type="dxa"/>
              <w:bottom w:w="0" w:type="dxa"/>
              <w:right w:w="108" w:type="dxa"/>
            </w:tcMar>
          </w:tcPr>
          <w:p w14:paraId="510A5F4F" w14:textId="7038CB3F" w:rsidR="00645A0B" w:rsidRPr="001973E6" w:rsidRDefault="00CE74ED" w:rsidP="00EE2966">
            <w:pPr>
              <w:spacing w:line="240" w:lineRule="auto"/>
              <w:ind w:left="34" w:hanging="34"/>
              <w:rPr>
                <w:b/>
              </w:rPr>
            </w:pPr>
            <w:r w:rsidRPr="001973E6">
              <w:rPr>
                <w:b/>
              </w:rPr>
              <w:t>Fifty-</w:t>
            </w:r>
            <w:r w:rsidR="00EE2966" w:rsidRPr="001973E6">
              <w:rPr>
                <w:b/>
              </w:rPr>
              <w:t>sixth</w:t>
            </w:r>
            <w:r w:rsidRPr="001973E6">
              <w:rPr>
                <w:b/>
              </w:rPr>
              <w:t xml:space="preserve"> session</w:t>
            </w:r>
          </w:p>
        </w:tc>
        <w:tc>
          <w:tcPr>
            <w:tcW w:w="4993" w:type="dxa"/>
            <w:tcMar>
              <w:top w:w="57" w:type="dxa"/>
              <w:left w:w="108" w:type="dxa"/>
              <w:bottom w:w="0" w:type="dxa"/>
              <w:right w:w="108" w:type="dxa"/>
            </w:tcMar>
          </w:tcPr>
          <w:p w14:paraId="15F73DBB" w14:textId="77777777" w:rsidR="00645A0B" w:rsidRPr="001973E6" w:rsidRDefault="00645A0B" w:rsidP="00D73803">
            <w:pPr>
              <w:spacing w:line="240" w:lineRule="auto"/>
              <w:ind w:left="34" w:hanging="34"/>
              <w:rPr>
                <w:b/>
              </w:rPr>
            </w:pPr>
          </w:p>
        </w:tc>
      </w:tr>
      <w:tr w:rsidR="00645A0B" w:rsidRPr="001973E6" w14:paraId="4C8F45BA" w14:textId="77777777" w:rsidTr="00340E2C">
        <w:trPr>
          <w:trHeight w:val="1146"/>
        </w:trPr>
        <w:tc>
          <w:tcPr>
            <w:tcW w:w="4652" w:type="dxa"/>
            <w:tcMar>
              <w:top w:w="28" w:type="dxa"/>
              <w:left w:w="108" w:type="dxa"/>
              <w:bottom w:w="0" w:type="dxa"/>
              <w:right w:w="108" w:type="dxa"/>
            </w:tcMar>
          </w:tcPr>
          <w:p w14:paraId="3094528C" w14:textId="410CF238" w:rsidR="00645A0B" w:rsidRPr="001973E6" w:rsidRDefault="00CE74ED" w:rsidP="00607959">
            <w:pPr>
              <w:tabs>
                <w:tab w:val="left" w:pos="6361"/>
                <w:tab w:val="left" w:pos="6939"/>
              </w:tabs>
              <w:spacing w:before="40"/>
              <w:outlineLvl w:val="0"/>
              <w:rPr>
                <w:b/>
                <w:bCs/>
              </w:rPr>
            </w:pPr>
            <w:r w:rsidRPr="001973E6">
              <w:t xml:space="preserve">Geneva, </w:t>
            </w:r>
            <w:r w:rsidR="00B45BCD" w:rsidRPr="001973E6">
              <w:t>2-11</w:t>
            </w:r>
            <w:r w:rsidRPr="001973E6">
              <w:t xml:space="preserve"> </w:t>
            </w:r>
            <w:r w:rsidR="00EE2966" w:rsidRPr="001973E6">
              <w:t>December</w:t>
            </w:r>
            <w:r w:rsidR="006A53DC" w:rsidRPr="001973E6">
              <w:t xml:space="preserve"> 2019</w:t>
            </w:r>
            <w:r w:rsidR="0085041C" w:rsidRPr="001973E6">
              <w:br/>
            </w:r>
            <w:r w:rsidR="00A83451" w:rsidRPr="001973E6">
              <w:t xml:space="preserve">Item </w:t>
            </w:r>
            <w:r w:rsidR="001973E6">
              <w:t>6 (e)</w:t>
            </w:r>
            <w:r w:rsidR="00EE2966" w:rsidRPr="001973E6">
              <w:t xml:space="preserve"> </w:t>
            </w:r>
            <w:r w:rsidR="00A83451" w:rsidRPr="001973E6">
              <w:t>of the provisional agenda</w:t>
            </w:r>
            <w:r w:rsidR="0085041C" w:rsidRPr="001973E6">
              <w:br/>
            </w:r>
            <w:r w:rsidR="001973E6" w:rsidRPr="00813D74">
              <w:rPr>
                <w:b/>
                <w:bCs/>
              </w:rPr>
              <w:t>Miscellaneous proposals for amendments to the Model Regulations on the Transport of Dangerous Goods:</w:t>
            </w:r>
            <w:r w:rsidR="00607959">
              <w:rPr>
                <w:b/>
                <w:bCs/>
              </w:rPr>
              <w:t xml:space="preserve"> </w:t>
            </w:r>
            <w:r w:rsidR="001973E6" w:rsidRPr="00813D74">
              <w:rPr>
                <w:b/>
                <w:bCs/>
              </w:rPr>
              <w:t>Other miscellaneous proposals</w:t>
            </w:r>
          </w:p>
        </w:tc>
        <w:tc>
          <w:tcPr>
            <w:tcW w:w="4993" w:type="dxa"/>
            <w:tcMar>
              <w:top w:w="28" w:type="dxa"/>
              <w:left w:w="108" w:type="dxa"/>
              <w:bottom w:w="0" w:type="dxa"/>
              <w:right w:w="108" w:type="dxa"/>
            </w:tcMar>
          </w:tcPr>
          <w:p w14:paraId="452F8F0A" w14:textId="77777777" w:rsidR="00645A0B" w:rsidRPr="001973E6" w:rsidRDefault="00645A0B" w:rsidP="000B6AD1">
            <w:pPr>
              <w:spacing w:before="40"/>
              <w:rPr>
                <w:b/>
                <w:bCs/>
              </w:rPr>
            </w:pPr>
          </w:p>
        </w:tc>
      </w:tr>
    </w:tbl>
    <w:p w14:paraId="08EDE3E5" w14:textId="5E4635EF" w:rsidR="00D6123A" w:rsidRPr="001973E6" w:rsidRDefault="00D6123A" w:rsidP="002C11CD">
      <w:pPr>
        <w:pStyle w:val="HChG"/>
        <w:spacing w:before="240" w:after="120"/>
        <w:ind w:firstLine="0"/>
        <w:rPr>
          <w:lang w:val="en-GB"/>
        </w:rPr>
      </w:pPr>
      <w:r w:rsidRPr="001973E6">
        <w:rPr>
          <w:rFonts w:eastAsia="Arial Unicode MS" w:cs="Arial Unicode MS"/>
          <w:lang w:val="en-GB"/>
        </w:rPr>
        <w:tab/>
      </w:r>
      <w:r w:rsidR="00D60743" w:rsidRPr="001973E6">
        <w:rPr>
          <w:lang w:val="en-GB"/>
        </w:rPr>
        <w:t>Reference to “MOLTEN” as part of the proper shipping name in the transport document</w:t>
      </w:r>
    </w:p>
    <w:p w14:paraId="75622A1A" w14:textId="365CBA95" w:rsidR="00D6123A" w:rsidRPr="001973E6" w:rsidRDefault="00D6123A" w:rsidP="00EE2966">
      <w:pPr>
        <w:pStyle w:val="H1G"/>
      </w:pPr>
      <w:r w:rsidRPr="001973E6">
        <w:rPr>
          <w:rFonts w:eastAsia="Arial Unicode MS" w:cs="Arial Unicode MS"/>
        </w:rPr>
        <w:tab/>
      </w:r>
      <w:r w:rsidRPr="001973E6">
        <w:rPr>
          <w:rFonts w:eastAsia="Arial Unicode MS" w:cs="Arial Unicode MS"/>
        </w:rPr>
        <w:tab/>
        <w:t xml:space="preserve">Transmitted by the expert from </w:t>
      </w:r>
      <w:r w:rsidR="002C11CD" w:rsidRPr="001973E6">
        <w:rPr>
          <w:rFonts w:eastAsia="Arial Unicode MS" w:cs="Arial Unicode MS"/>
        </w:rPr>
        <w:t>Spain</w:t>
      </w:r>
      <w:r w:rsidRPr="001973E6">
        <w:rPr>
          <w:rFonts w:eastAsia="Arial Unicode MS" w:cs="Arial Unicode MS"/>
        </w:rPr>
        <w:t xml:space="preserve"> </w:t>
      </w:r>
    </w:p>
    <w:p w14:paraId="23E41956" w14:textId="52854500" w:rsidR="00D60743" w:rsidRPr="001973E6" w:rsidRDefault="0085041C" w:rsidP="0085041C">
      <w:pPr>
        <w:pStyle w:val="HChG"/>
        <w:rPr>
          <w:lang w:val="en-GB"/>
        </w:rPr>
      </w:pPr>
      <w:r w:rsidRPr="001973E6">
        <w:rPr>
          <w:lang w:val="en-GB"/>
        </w:rPr>
        <w:tab/>
      </w:r>
      <w:r w:rsidRPr="001973E6">
        <w:rPr>
          <w:lang w:val="en-GB"/>
        </w:rPr>
        <w:tab/>
      </w:r>
      <w:r w:rsidR="00D60743" w:rsidRPr="001973E6">
        <w:rPr>
          <w:lang w:val="en-GB"/>
        </w:rPr>
        <w:t>Introduction</w:t>
      </w:r>
    </w:p>
    <w:p w14:paraId="19823969" w14:textId="78594A26" w:rsidR="00D60743" w:rsidRPr="001973E6" w:rsidRDefault="00D60743" w:rsidP="00D60743">
      <w:pPr>
        <w:pStyle w:val="SingleTxtG"/>
        <w:rPr>
          <w:lang w:val="en-GB"/>
        </w:rPr>
      </w:pPr>
      <w:r w:rsidRPr="001973E6">
        <w:rPr>
          <w:lang w:val="en-GB"/>
        </w:rPr>
        <w:t>1.</w:t>
      </w:r>
      <w:r w:rsidRPr="001973E6">
        <w:rPr>
          <w:lang w:val="en-GB"/>
        </w:rPr>
        <w:tab/>
        <w:t xml:space="preserve">In informal document </w:t>
      </w:r>
      <w:r w:rsidR="0085041C" w:rsidRPr="001973E6">
        <w:rPr>
          <w:lang w:val="en-GB"/>
        </w:rPr>
        <w:t>INF.</w:t>
      </w:r>
      <w:r w:rsidR="00792454" w:rsidRPr="001973E6">
        <w:rPr>
          <w:lang w:val="en-GB"/>
        </w:rPr>
        <w:t xml:space="preserve">5 </w:t>
      </w:r>
      <w:r w:rsidRPr="001973E6">
        <w:rPr>
          <w:lang w:val="en-GB"/>
        </w:rPr>
        <w:t xml:space="preserve">to this </w:t>
      </w:r>
      <w:r w:rsidR="00792454" w:rsidRPr="001973E6">
        <w:rPr>
          <w:lang w:val="en-GB"/>
        </w:rPr>
        <w:t>session</w:t>
      </w:r>
      <w:r w:rsidRPr="001973E6">
        <w:rPr>
          <w:lang w:val="en-GB"/>
        </w:rPr>
        <w:t xml:space="preserve">, Spain has suggested to include a new indent </w:t>
      </w:r>
      <w:r w:rsidR="001973E6" w:rsidRPr="001973E6">
        <w:rPr>
          <w:lang w:val="en-GB"/>
        </w:rPr>
        <w:t>(</w:t>
      </w:r>
      <w:r w:rsidR="0031332D">
        <w:rPr>
          <w:lang w:val="en-GB"/>
        </w:rPr>
        <w:t>e</w:t>
      </w:r>
      <w:r w:rsidR="001973E6" w:rsidRPr="001973E6">
        <w:rPr>
          <w:lang w:val="en-GB"/>
        </w:rPr>
        <w:t xml:space="preserve">) under </w:t>
      </w:r>
      <w:r w:rsidRPr="001973E6">
        <w:rPr>
          <w:lang w:val="en-GB"/>
        </w:rPr>
        <w:t xml:space="preserve">5.4.1.4.3 relating to temperature control as a reminder on when the proper shipping name </w:t>
      </w:r>
      <w:proofErr w:type="gramStart"/>
      <w:r w:rsidRPr="001973E6">
        <w:rPr>
          <w:lang w:val="en-GB"/>
        </w:rPr>
        <w:t>has to</w:t>
      </w:r>
      <w:proofErr w:type="gramEnd"/>
      <w:r w:rsidRPr="001973E6">
        <w:rPr>
          <w:lang w:val="en-GB"/>
        </w:rPr>
        <w:t xml:space="preserve"> be modified by including “STABILIZED” or “TEMPERATURE CONTROLLED” into the proper shipping name.</w:t>
      </w:r>
    </w:p>
    <w:p w14:paraId="33E12512" w14:textId="77A3028D" w:rsidR="00D60743" w:rsidRPr="001973E6" w:rsidRDefault="00632DF4" w:rsidP="00D60743">
      <w:pPr>
        <w:pStyle w:val="SingleTxtG"/>
        <w:rPr>
          <w:lang w:val="en-GB"/>
        </w:rPr>
      </w:pPr>
      <w:r w:rsidRPr="001973E6">
        <w:rPr>
          <w:lang w:val="en-GB"/>
        </w:rPr>
        <w:t>2</w:t>
      </w:r>
      <w:r w:rsidR="00D60743" w:rsidRPr="001973E6">
        <w:rPr>
          <w:lang w:val="en-GB"/>
        </w:rPr>
        <w:t xml:space="preserve">. </w:t>
      </w:r>
      <w:r w:rsidR="00D60743" w:rsidRPr="001973E6">
        <w:rPr>
          <w:lang w:val="en-GB"/>
        </w:rPr>
        <w:tab/>
        <w:t xml:space="preserve">If the </w:t>
      </w:r>
      <w:r w:rsidR="00E02CF4" w:rsidRPr="001973E6">
        <w:rPr>
          <w:lang w:val="en-GB"/>
        </w:rPr>
        <w:t>Sub-Committee</w:t>
      </w:r>
      <w:r w:rsidR="00D60743" w:rsidRPr="001973E6">
        <w:rPr>
          <w:lang w:val="en-GB"/>
        </w:rPr>
        <w:t xml:space="preserve"> agrees to the amendments proposed in paragraph </w:t>
      </w:r>
      <w:r w:rsidR="0031332D">
        <w:rPr>
          <w:lang w:val="en-GB"/>
        </w:rPr>
        <w:t>8</w:t>
      </w:r>
      <w:r w:rsidR="0031332D" w:rsidRPr="001973E6">
        <w:rPr>
          <w:lang w:val="en-GB"/>
        </w:rPr>
        <w:t xml:space="preserve"> </w:t>
      </w:r>
      <w:r w:rsidR="00D60743" w:rsidRPr="001973E6">
        <w:rPr>
          <w:lang w:val="en-GB"/>
        </w:rPr>
        <w:t xml:space="preserve">of informal document </w:t>
      </w:r>
      <w:r w:rsidR="0085041C" w:rsidRPr="001973E6">
        <w:rPr>
          <w:lang w:val="en-GB"/>
        </w:rPr>
        <w:t>INF.</w:t>
      </w:r>
      <w:r w:rsidR="00792454" w:rsidRPr="001973E6">
        <w:rPr>
          <w:lang w:val="en-GB"/>
        </w:rPr>
        <w:t>5</w:t>
      </w:r>
      <w:r w:rsidR="00D60743" w:rsidRPr="001973E6">
        <w:rPr>
          <w:lang w:val="en-GB"/>
        </w:rPr>
        <w:t xml:space="preserve">, then an additional consequential amendment should </w:t>
      </w:r>
      <w:r w:rsidR="00792454" w:rsidRPr="001973E6">
        <w:rPr>
          <w:lang w:val="en-GB"/>
        </w:rPr>
        <w:t xml:space="preserve">also </w:t>
      </w:r>
      <w:r w:rsidR="00D60743" w:rsidRPr="001973E6">
        <w:rPr>
          <w:lang w:val="en-GB"/>
        </w:rPr>
        <w:t xml:space="preserve">be </w:t>
      </w:r>
      <w:r w:rsidR="00792454" w:rsidRPr="001973E6">
        <w:rPr>
          <w:lang w:val="en-GB"/>
        </w:rPr>
        <w:t xml:space="preserve">made </w:t>
      </w:r>
      <w:r w:rsidR="00D60743" w:rsidRPr="001973E6">
        <w:rPr>
          <w:lang w:val="en-GB"/>
        </w:rPr>
        <w:t xml:space="preserve">to 5.4.1.4.3. This paragraph in </w:t>
      </w:r>
      <w:r w:rsidR="001973E6" w:rsidRPr="001973E6">
        <w:rPr>
          <w:lang w:val="en-GB"/>
        </w:rPr>
        <w:t>(</w:t>
      </w:r>
      <w:r w:rsidR="00D60743" w:rsidRPr="001973E6">
        <w:rPr>
          <w:lang w:val="en-GB"/>
        </w:rPr>
        <w:t>d) explains when to introduce the word “HOT” into the proper shipping name, but does not mention when to add “MOLTEN” as defined by 3.1.2.5.</w:t>
      </w:r>
    </w:p>
    <w:p w14:paraId="5F57F8A8" w14:textId="56F72A19" w:rsidR="00D60743" w:rsidRPr="001973E6" w:rsidRDefault="0085041C" w:rsidP="0085041C">
      <w:pPr>
        <w:pStyle w:val="H1G"/>
      </w:pPr>
      <w:r w:rsidRPr="001973E6">
        <w:tab/>
      </w:r>
      <w:r w:rsidRPr="001973E6">
        <w:tab/>
      </w:r>
      <w:r w:rsidR="00D60743" w:rsidRPr="001973E6">
        <w:t>Analysis</w:t>
      </w:r>
    </w:p>
    <w:p w14:paraId="4CEB2C0F" w14:textId="1F98DFAE" w:rsidR="00D60743" w:rsidRPr="001973E6" w:rsidRDefault="00632DF4" w:rsidP="00D60743">
      <w:pPr>
        <w:pStyle w:val="SingleTxtG"/>
        <w:rPr>
          <w:lang w:val="en-GB"/>
        </w:rPr>
      </w:pPr>
      <w:r w:rsidRPr="001973E6">
        <w:rPr>
          <w:lang w:val="en-GB"/>
        </w:rPr>
        <w:t>3</w:t>
      </w:r>
      <w:r w:rsidR="00D60743" w:rsidRPr="001973E6">
        <w:rPr>
          <w:lang w:val="en-GB"/>
        </w:rPr>
        <w:t>.</w:t>
      </w:r>
      <w:r w:rsidR="00D60743" w:rsidRPr="001973E6">
        <w:rPr>
          <w:lang w:val="en-GB"/>
        </w:rPr>
        <w:tab/>
        <w:t>The present text of 5.4.1.4.3 is:</w:t>
      </w:r>
    </w:p>
    <w:p w14:paraId="6ECA56A0" w14:textId="32029C24" w:rsidR="006F1888" w:rsidRPr="001973E6" w:rsidRDefault="001973E6" w:rsidP="0085041C">
      <w:pPr>
        <w:pStyle w:val="SingleTxtG"/>
        <w:ind w:left="1701"/>
        <w:rPr>
          <w:i/>
          <w:iCs/>
          <w:lang w:val="en-GB"/>
        </w:rPr>
      </w:pPr>
      <w:r>
        <w:rPr>
          <w:i/>
          <w:iCs/>
          <w:lang w:val="en-GB"/>
        </w:rPr>
        <w:t>“</w:t>
      </w:r>
      <w:r w:rsidR="006F1888" w:rsidRPr="001973E6">
        <w:rPr>
          <w:i/>
          <w:iCs/>
          <w:lang w:val="en-GB"/>
        </w:rPr>
        <w:t>5.4.1.4.3</w:t>
      </w:r>
      <w:r w:rsidR="006F1888" w:rsidRPr="001973E6">
        <w:rPr>
          <w:i/>
          <w:iCs/>
          <w:lang w:val="en-GB"/>
        </w:rPr>
        <w:tab/>
        <w:t>Information which supplements the proper shipping name in the dangerous goods description</w:t>
      </w:r>
    </w:p>
    <w:p w14:paraId="472C3F22" w14:textId="5B008CD9" w:rsidR="000B32C9" w:rsidRPr="001973E6" w:rsidRDefault="000B32C9" w:rsidP="0085041C">
      <w:pPr>
        <w:pStyle w:val="SingleTxtG"/>
        <w:ind w:left="1701"/>
        <w:rPr>
          <w:lang w:val="en-GB"/>
        </w:rPr>
      </w:pPr>
      <w:r w:rsidRPr="001973E6">
        <w:rPr>
          <w:lang w:val="en-GB"/>
        </w:rPr>
        <w:t>The proper shipping name in the dangerous goods description shall be supplemented as follows:</w:t>
      </w:r>
    </w:p>
    <w:p w14:paraId="077ED2DF" w14:textId="6E09BA5F" w:rsidR="000B32C9" w:rsidRPr="001973E6" w:rsidRDefault="0085041C" w:rsidP="001973E6">
      <w:pPr>
        <w:pStyle w:val="SingleTxtG"/>
        <w:ind w:left="2268" w:hanging="567"/>
        <w:rPr>
          <w:rStyle w:val="SingleTxtGCar"/>
          <w:lang w:val="en-GB"/>
        </w:rPr>
      </w:pPr>
      <w:r w:rsidRPr="001973E6">
        <w:rPr>
          <w:rStyle w:val="SingleTxtGCar"/>
          <w:lang w:val="en-GB"/>
        </w:rPr>
        <w:t>(a)</w:t>
      </w:r>
      <w:r w:rsidRPr="001973E6">
        <w:rPr>
          <w:rStyle w:val="SingleTxtGCar"/>
          <w:lang w:val="en-GB"/>
        </w:rPr>
        <w:tab/>
      </w:r>
      <w:r w:rsidR="000B32C9" w:rsidRPr="001973E6">
        <w:rPr>
          <w:rStyle w:val="SingleTxtGCar"/>
          <w:lang w:val="en-GB"/>
        </w:rPr>
        <w:t>Technical names for “</w:t>
      </w:r>
      <w:proofErr w:type="spellStart"/>
      <w:r w:rsidR="000B32C9" w:rsidRPr="001973E6">
        <w:rPr>
          <w:rStyle w:val="SingleTxtGCar"/>
          <w:lang w:val="en-GB"/>
        </w:rPr>
        <w:t>n.o.s</w:t>
      </w:r>
      <w:proofErr w:type="spellEnd"/>
      <w:r w:rsidR="000B32C9" w:rsidRPr="001973E6">
        <w:rPr>
          <w:rStyle w:val="SingleTxtGCar"/>
          <w:lang w:val="en-GB"/>
        </w:rPr>
        <w:t xml:space="preserve">.” and other generic descriptions: Proper shipping names that are assigned special provision 274 or 318 in Column 6 of the Dangerous Goods List </w:t>
      </w:r>
      <w:r w:rsidR="00E02CF4" w:rsidRPr="001973E6">
        <w:rPr>
          <w:rStyle w:val="SingleTxtGCar"/>
          <w:lang w:val="en-GB"/>
        </w:rPr>
        <w:t>shall be</w:t>
      </w:r>
      <w:r w:rsidR="000B32C9" w:rsidRPr="001973E6">
        <w:rPr>
          <w:rStyle w:val="SingleTxtGCar"/>
          <w:lang w:val="en-GB"/>
        </w:rPr>
        <w:t xml:space="preserve"> supplemented with </w:t>
      </w:r>
      <w:r w:rsidR="00E02CF4" w:rsidRPr="001973E6">
        <w:rPr>
          <w:rStyle w:val="SingleTxtGCar"/>
          <w:lang w:val="en-GB"/>
        </w:rPr>
        <w:t>their technical or chemical group</w:t>
      </w:r>
      <w:r w:rsidR="000B32C9" w:rsidRPr="001973E6">
        <w:rPr>
          <w:rStyle w:val="SingleTxtGCar"/>
          <w:lang w:val="en-GB"/>
        </w:rPr>
        <w:t xml:space="preserve"> names as </w:t>
      </w:r>
      <w:r w:rsidR="00E02CF4" w:rsidRPr="001973E6">
        <w:rPr>
          <w:rStyle w:val="SingleTxtGCar"/>
          <w:lang w:val="en-GB"/>
        </w:rPr>
        <w:t>described in</w:t>
      </w:r>
      <w:r w:rsidR="000B32C9" w:rsidRPr="001973E6">
        <w:rPr>
          <w:rStyle w:val="SingleTxtGCar"/>
          <w:lang w:val="en-GB"/>
        </w:rPr>
        <w:t xml:space="preserve"> 3.1.2.8;</w:t>
      </w:r>
    </w:p>
    <w:p w14:paraId="276C6E7C" w14:textId="063FC2BB" w:rsidR="000B32C9" w:rsidRPr="001973E6" w:rsidRDefault="0085041C" w:rsidP="001973E6">
      <w:pPr>
        <w:pStyle w:val="SingleTxtG"/>
        <w:ind w:left="2268" w:hanging="567"/>
        <w:rPr>
          <w:rStyle w:val="SingleTxtGCar"/>
          <w:lang w:val="en-GB"/>
        </w:rPr>
      </w:pPr>
      <w:r w:rsidRPr="001973E6">
        <w:rPr>
          <w:rStyle w:val="SingleTxtGCar"/>
          <w:lang w:val="en-GB"/>
        </w:rPr>
        <w:t>(b)</w:t>
      </w:r>
      <w:r w:rsidRPr="001973E6">
        <w:rPr>
          <w:rStyle w:val="SingleTxtGCar"/>
          <w:lang w:val="en-GB"/>
        </w:rPr>
        <w:tab/>
      </w:r>
      <w:r w:rsidR="000B32C9" w:rsidRPr="001973E6">
        <w:rPr>
          <w:rStyle w:val="SingleTxtGCar"/>
          <w:lang w:val="en-GB"/>
        </w:rPr>
        <w:t xml:space="preserve">Empty uncleaned </w:t>
      </w:r>
      <w:proofErr w:type="spellStart"/>
      <w:r w:rsidR="000B32C9" w:rsidRPr="001973E6">
        <w:rPr>
          <w:rStyle w:val="SingleTxtGCar"/>
          <w:lang w:val="en-GB"/>
        </w:rPr>
        <w:t>packagings</w:t>
      </w:r>
      <w:proofErr w:type="spellEnd"/>
      <w:r w:rsidR="000B32C9" w:rsidRPr="001973E6">
        <w:rPr>
          <w:rStyle w:val="SingleTxtGCar"/>
          <w:lang w:val="en-GB"/>
        </w:rPr>
        <w:t xml:space="preserve">, bulk containers and tanks: Empty means of containment (including </w:t>
      </w:r>
      <w:proofErr w:type="spellStart"/>
      <w:r w:rsidR="000B32C9" w:rsidRPr="001973E6">
        <w:rPr>
          <w:rStyle w:val="SingleTxtGCar"/>
          <w:lang w:val="en-GB"/>
        </w:rPr>
        <w:t>packagings</w:t>
      </w:r>
      <w:proofErr w:type="spellEnd"/>
      <w:r w:rsidR="000B32C9" w:rsidRPr="001973E6">
        <w:rPr>
          <w:rStyle w:val="SingleTxtGCar"/>
          <w:lang w:val="en-GB"/>
        </w:rPr>
        <w:t xml:space="preserve">, IBCs, bulk containers, portable tanks, tank-vehicles and tank-wagons) which contain the residue of dangerous goods of classes other </w:t>
      </w:r>
      <w:r w:rsidR="00E02CF4" w:rsidRPr="001973E6">
        <w:rPr>
          <w:rStyle w:val="SingleTxtGCar"/>
          <w:lang w:val="en-GB"/>
        </w:rPr>
        <w:t>than Class</w:t>
      </w:r>
      <w:r w:rsidR="000B32C9" w:rsidRPr="001973E6">
        <w:rPr>
          <w:rStyle w:val="SingleTxtGCar"/>
          <w:lang w:val="en-GB"/>
        </w:rPr>
        <w:t xml:space="preserve"> 7 shall be described as such by, for example, placing the words “EMPTY UNCLEANED” or “RESIDUE LAST CONTAINED” before or after the dangerous goods description specified in 5.4.1.4.1 (a) to (e);</w:t>
      </w:r>
    </w:p>
    <w:p w14:paraId="2F5AF746" w14:textId="571E28EB" w:rsidR="000B32C9" w:rsidRPr="001973E6" w:rsidRDefault="0085041C" w:rsidP="001973E6">
      <w:pPr>
        <w:pStyle w:val="SingleTxtG"/>
        <w:ind w:left="2268" w:hanging="567"/>
        <w:rPr>
          <w:rStyle w:val="SingleTxtGCar"/>
          <w:lang w:val="en-GB"/>
        </w:rPr>
      </w:pPr>
      <w:r w:rsidRPr="001973E6">
        <w:rPr>
          <w:rStyle w:val="SingleTxtGCar"/>
          <w:lang w:val="en-GB"/>
        </w:rPr>
        <w:t>(c)</w:t>
      </w:r>
      <w:r w:rsidRPr="001973E6">
        <w:rPr>
          <w:rStyle w:val="SingleTxtGCar"/>
          <w:lang w:val="en-GB"/>
        </w:rPr>
        <w:tab/>
      </w:r>
      <w:r w:rsidR="000B32C9" w:rsidRPr="001973E6">
        <w:rPr>
          <w:rStyle w:val="SingleTxtGCar"/>
          <w:lang w:val="en-GB"/>
        </w:rPr>
        <w:t>Wastes: For waste dangerous goods (other than radioactive wastes) which are being transported for disposal, or for processing for disposal, the proper shipping name shall be preceded by the word “WASTE”, unless this is already a part of the proper shipping name;</w:t>
      </w:r>
    </w:p>
    <w:p w14:paraId="4FCCFE43" w14:textId="04500E78" w:rsidR="000B32C9" w:rsidRPr="001973E6" w:rsidRDefault="0031332D" w:rsidP="0031332D">
      <w:pPr>
        <w:pStyle w:val="SingleTxtG"/>
        <w:ind w:left="2268" w:hanging="567"/>
        <w:rPr>
          <w:rStyle w:val="SingleTxtGCar"/>
          <w:lang w:val="en-GB"/>
        </w:rPr>
      </w:pPr>
      <w:r>
        <w:rPr>
          <w:rStyle w:val="SingleTxtGCar"/>
          <w:lang w:val="en-GB"/>
        </w:rPr>
        <w:lastRenderedPageBreak/>
        <w:t>(d)</w:t>
      </w:r>
      <w:r>
        <w:rPr>
          <w:rStyle w:val="SingleTxtGCar"/>
          <w:lang w:val="en-GB"/>
        </w:rPr>
        <w:tab/>
      </w:r>
      <w:r w:rsidR="000B32C9" w:rsidRPr="001973E6">
        <w:rPr>
          <w:rStyle w:val="SingleTxtGCar"/>
          <w:lang w:val="en-GB"/>
        </w:rPr>
        <w:t>Elevated temperature substances: If the proper shipping name of a substance which is transported or offered for transport in a liquid state at a temperature equal to or exceeding 100 °C, or in a solid state at a temperature equal to or exceeding 240 °C, does not convey the elevated temperature condition (for example, by using the term “MOLTEN” or “ELEVATED TEMPERATURE” as part of the shipping name), the word “HOT” shall immediately precede the proper shipping name.</w:t>
      </w:r>
      <w:r w:rsidR="001973E6">
        <w:rPr>
          <w:rStyle w:val="SingleTxtGCar"/>
          <w:lang w:val="en-GB"/>
        </w:rPr>
        <w:t>”</w:t>
      </w:r>
      <w:r w:rsidR="001973E6" w:rsidRPr="001973E6">
        <w:rPr>
          <w:rStyle w:val="SingleTxtGCar"/>
          <w:lang w:val="en-GB"/>
        </w:rPr>
        <w:t>.</w:t>
      </w:r>
    </w:p>
    <w:p w14:paraId="312731B8" w14:textId="6DFB567F" w:rsidR="00D60743" w:rsidRPr="001973E6" w:rsidRDefault="00632DF4" w:rsidP="00D60743">
      <w:pPr>
        <w:pStyle w:val="SingleTxtG"/>
        <w:rPr>
          <w:lang w:val="en-GB"/>
        </w:rPr>
      </w:pPr>
      <w:r w:rsidRPr="001973E6">
        <w:rPr>
          <w:lang w:val="en-GB"/>
        </w:rPr>
        <w:t>4</w:t>
      </w:r>
      <w:r w:rsidR="00D60743" w:rsidRPr="001973E6">
        <w:rPr>
          <w:lang w:val="en-GB"/>
        </w:rPr>
        <w:t>.</w:t>
      </w:r>
      <w:r w:rsidR="00D60743" w:rsidRPr="001973E6">
        <w:rPr>
          <w:lang w:val="en-GB"/>
        </w:rPr>
        <w:tab/>
        <w:t xml:space="preserve">Paragraph 3.1.2.5 explains when to include the qualifying word “MOLTEN” into the proper shipping name. </w:t>
      </w:r>
    </w:p>
    <w:p w14:paraId="40AEF2C7" w14:textId="43A5D2CF" w:rsidR="000B32C9" w:rsidRPr="001973E6" w:rsidRDefault="00632DF4" w:rsidP="00D60743">
      <w:pPr>
        <w:pStyle w:val="SingleTxtG"/>
        <w:spacing w:before="120"/>
        <w:rPr>
          <w:lang w:val="en-GB"/>
        </w:rPr>
      </w:pPr>
      <w:r w:rsidRPr="001973E6">
        <w:rPr>
          <w:lang w:val="en-GB"/>
        </w:rPr>
        <w:t>5</w:t>
      </w:r>
      <w:r w:rsidR="00D60743" w:rsidRPr="001973E6">
        <w:rPr>
          <w:lang w:val="en-GB"/>
        </w:rPr>
        <w:t>.</w:t>
      </w:r>
      <w:r w:rsidR="00D60743" w:rsidRPr="001973E6">
        <w:rPr>
          <w:lang w:val="en-GB"/>
        </w:rPr>
        <w:tab/>
        <w:t xml:space="preserve">It may be interesting to include in 5.4.1.4.3 a reference to 3.1.2.5 to recall the fact </w:t>
      </w:r>
      <w:r w:rsidR="000B32C9" w:rsidRPr="001973E6">
        <w:rPr>
          <w:lang w:val="en-GB"/>
        </w:rPr>
        <w:t xml:space="preserve">when </w:t>
      </w:r>
      <w:r w:rsidR="00D60743" w:rsidRPr="001973E6">
        <w:rPr>
          <w:lang w:val="en-GB"/>
        </w:rPr>
        <w:t xml:space="preserve">the proper shipping name of the substance </w:t>
      </w:r>
      <w:proofErr w:type="gramStart"/>
      <w:r w:rsidR="00D60743" w:rsidRPr="001973E6">
        <w:rPr>
          <w:lang w:val="en-GB"/>
        </w:rPr>
        <w:t>has to</w:t>
      </w:r>
      <w:proofErr w:type="gramEnd"/>
      <w:r w:rsidR="00D60743" w:rsidRPr="001973E6">
        <w:rPr>
          <w:lang w:val="en-GB"/>
        </w:rPr>
        <w:t xml:space="preserve"> be modified including the word “MOLTEN”. </w:t>
      </w:r>
    </w:p>
    <w:p w14:paraId="47AB2C92" w14:textId="1EEF215F" w:rsidR="00D60743" w:rsidRPr="001973E6" w:rsidRDefault="00632DF4" w:rsidP="00D60743">
      <w:pPr>
        <w:pStyle w:val="SingleTxtG"/>
        <w:spacing w:before="120"/>
        <w:rPr>
          <w:lang w:val="en-GB"/>
        </w:rPr>
      </w:pPr>
      <w:r w:rsidRPr="001973E6">
        <w:rPr>
          <w:lang w:val="en-GB"/>
        </w:rPr>
        <w:t>6.</w:t>
      </w:r>
      <w:r w:rsidRPr="001973E6">
        <w:rPr>
          <w:lang w:val="en-GB"/>
        </w:rPr>
        <w:tab/>
      </w:r>
      <w:r w:rsidR="00D60743" w:rsidRPr="001973E6">
        <w:rPr>
          <w:lang w:val="en-GB"/>
        </w:rPr>
        <w:t>5.4</w:t>
      </w:r>
      <w:r w:rsidR="00E02CF4" w:rsidRPr="001973E6">
        <w:rPr>
          <w:lang w:val="en-GB"/>
        </w:rPr>
        <w:t>.1</w:t>
      </w:r>
      <w:r w:rsidR="00D60743" w:rsidRPr="001973E6">
        <w:rPr>
          <w:lang w:val="en-GB"/>
        </w:rPr>
        <w:t xml:space="preserve"> should include all important facts to complete the transport document, and unless the user is familiar with the transport of molten products, the contents of 3.1.2.5 may be unknown. This reference to 3.1.2.5 could be done by </w:t>
      </w:r>
      <w:r w:rsidR="00792454" w:rsidRPr="001973E6">
        <w:rPr>
          <w:lang w:val="en-GB"/>
        </w:rPr>
        <w:t xml:space="preserve">inserting </w:t>
      </w:r>
      <w:r w:rsidR="00D60743" w:rsidRPr="001973E6">
        <w:rPr>
          <w:lang w:val="en-GB"/>
        </w:rPr>
        <w:t>a</w:t>
      </w:r>
      <w:r w:rsidR="00E161E4" w:rsidRPr="001973E6">
        <w:rPr>
          <w:lang w:val="en-GB"/>
        </w:rPr>
        <w:t xml:space="preserve"> new </w:t>
      </w:r>
      <w:r w:rsidR="00792454" w:rsidRPr="001973E6">
        <w:rPr>
          <w:lang w:val="en-GB"/>
        </w:rPr>
        <w:t>sub-paragraph</w:t>
      </w:r>
      <w:r w:rsidR="00E161E4" w:rsidRPr="001973E6">
        <w:rPr>
          <w:lang w:val="en-GB"/>
        </w:rPr>
        <w:t xml:space="preserve"> </w:t>
      </w:r>
      <w:r w:rsidR="00792454" w:rsidRPr="001973E6">
        <w:rPr>
          <w:lang w:val="en-GB"/>
        </w:rPr>
        <w:t>(</w:t>
      </w:r>
      <w:r w:rsidR="00E161E4" w:rsidRPr="001973E6">
        <w:rPr>
          <w:lang w:val="en-GB"/>
        </w:rPr>
        <w:t xml:space="preserve">d), </w:t>
      </w:r>
      <w:r w:rsidR="00792454" w:rsidRPr="001973E6">
        <w:rPr>
          <w:lang w:val="en-GB"/>
        </w:rPr>
        <w:t>explaining</w:t>
      </w:r>
      <w:r w:rsidR="00D60743" w:rsidRPr="001973E6">
        <w:rPr>
          <w:lang w:val="en-GB"/>
        </w:rPr>
        <w:t xml:space="preserve"> when to add the Word “HOT”</w:t>
      </w:r>
      <w:r w:rsidR="00E161E4" w:rsidRPr="001973E6">
        <w:rPr>
          <w:lang w:val="en-GB"/>
        </w:rPr>
        <w:t>, similarly</w:t>
      </w:r>
      <w:r w:rsidR="00D60743" w:rsidRPr="001973E6">
        <w:rPr>
          <w:lang w:val="en-GB"/>
        </w:rPr>
        <w:t xml:space="preserve"> as</w:t>
      </w:r>
      <w:r w:rsidR="00E161E4" w:rsidRPr="001973E6">
        <w:rPr>
          <w:lang w:val="en-GB"/>
        </w:rPr>
        <w:t xml:space="preserve"> </w:t>
      </w:r>
      <w:r w:rsidR="00792454" w:rsidRPr="001973E6">
        <w:rPr>
          <w:lang w:val="en-GB"/>
        </w:rPr>
        <w:t xml:space="preserve">what </w:t>
      </w:r>
      <w:r w:rsidR="00D60743" w:rsidRPr="001973E6">
        <w:rPr>
          <w:lang w:val="en-GB"/>
        </w:rPr>
        <w:t>has been proposed in paragraph</w:t>
      </w:r>
      <w:r w:rsidR="00607959">
        <w:rPr>
          <w:lang w:val="en-GB"/>
        </w:rPr>
        <w:t> </w:t>
      </w:r>
      <w:r w:rsidR="0031332D">
        <w:rPr>
          <w:lang w:val="en-GB"/>
        </w:rPr>
        <w:t>8</w:t>
      </w:r>
      <w:r w:rsidR="0031332D" w:rsidRPr="001973E6">
        <w:rPr>
          <w:lang w:val="en-GB"/>
        </w:rPr>
        <w:t xml:space="preserve"> </w:t>
      </w:r>
      <w:r w:rsidR="00D60743" w:rsidRPr="001973E6">
        <w:rPr>
          <w:lang w:val="en-GB"/>
        </w:rPr>
        <w:t xml:space="preserve">of informal </w:t>
      </w:r>
      <w:r w:rsidR="00D60743" w:rsidRPr="00607959">
        <w:rPr>
          <w:color w:val="000000" w:themeColor="text1"/>
          <w:lang w:val="en-GB"/>
        </w:rPr>
        <w:t xml:space="preserve">document </w:t>
      </w:r>
      <w:r w:rsidR="001973E6" w:rsidRPr="00607959">
        <w:rPr>
          <w:color w:val="000000" w:themeColor="text1"/>
          <w:lang w:val="en-GB"/>
        </w:rPr>
        <w:t>INF.</w:t>
      </w:r>
      <w:r w:rsidR="00792454" w:rsidRPr="00607959">
        <w:rPr>
          <w:color w:val="000000" w:themeColor="text1"/>
          <w:lang w:val="en-GB"/>
        </w:rPr>
        <w:t xml:space="preserve">5 </w:t>
      </w:r>
      <w:r w:rsidR="00D60743" w:rsidRPr="00607959">
        <w:rPr>
          <w:color w:val="000000" w:themeColor="text1"/>
          <w:lang w:val="en-GB"/>
        </w:rPr>
        <w:t xml:space="preserve">for stabilized </w:t>
      </w:r>
      <w:r w:rsidR="00D60743" w:rsidRPr="001973E6">
        <w:rPr>
          <w:lang w:val="en-GB"/>
        </w:rPr>
        <w:t xml:space="preserve">or temperature controlled </w:t>
      </w:r>
      <w:r w:rsidR="000B32C9" w:rsidRPr="001973E6">
        <w:rPr>
          <w:lang w:val="en-GB"/>
        </w:rPr>
        <w:t>substances</w:t>
      </w:r>
      <w:r w:rsidR="00D60743" w:rsidRPr="001973E6">
        <w:rPr>
          <w:lang w:val="en-GB"/>
        </w:rPr>
        <w:t xml:space="preserve">. </w:t>
      </w:r>
    </w:p>
    <w:p w14:paraId="0CD9B6E2" w14:textId="4E8C1B74" w:rsidR="00D60743" w:rsidRPr="001973E6" w:rsidRDefault="00632DF4" w:rsidP="00D60743">
      <w:pPr>
        <w:pStyle w:val="SingleTxtG"/>
        <w:spacing w:before="120"/>
        <w:rPr>
          <w:lang w:val="en-GB"/>
        </w:rPr>
      </w:pPr>
      <w:r w:rsidRPr="00853CE1">
        <w:rPr>
          <w:lang w:val="en-GB"/>
        </w:rPr>
        <w:t>7</w:t>
      </w:r>
      <w:r w:rsidR="00D60743" w:rsidRPr="00853CE1">
        <w:rPr>
          <w:lang w:val="en-GB"/>
        </w:rPr>
        <w:t>.</w:t>
      </w:r>
      <w:r w:rsidR="00D60743" w:rsidRPr="00853CE1">
        <w:rPr>
          <w:lang w:val="en-GB"/>
        </w:rPr>
        <w:tab/>
        <w:t xml:space="preserve">The proposed amendments are </w:t>
      </w:r>
      <w:r w:rsidR="00792454" w:rsidRPr="00853CE1">
        <w:rPr>
          <w:lang w:val="en-GB"/>
        </w:rPr>
        <w:t>shown below</w:t>
      </w:r>
      <w:r w:rsidR="00D60743" w:rsidRPr="00853CE1">
        <w:rPr>
          <w:lang w:val="en-GB"/>
        </w:rPr>
        <w:t>.</w:t>
      </w:r>
      <w:r w:rsidR="00D60743" w:rsidRPr="001973E6">
        <w:rPr>
          <w:lang w:val="en-GB"/>
        </w:rPr>
        <w:t xml:space="preserve"> </w:t>
      </w:r>
    </w:p>
    <w:p w14:paraId="1749A76A" w14:textId="23C8D5A9" w:rsidR="00D60743" w:rsidRPr="001973E6" w:rsidRDefault="0085041C" w:rsidP="0085041C">
      <w:pPr>
        <w:pStyle w:val="HChG"/>
        <w:rPr>
          <w:lang w:val="en-GB"/>
        </w:rPr>
      </w:pPr>
      <w:r w:rsidRPr="001973E6">
        <w:rPr>
          <w:lang w:val="en-GB"/>
        </w:rPr>
        <w:tab/>
      </w:r>
      <w:r w:rsidRPr="001973E6">
        <w:rPr>
          <w:lang w:val="en-GB"/>
        </w:rPr>
        <w:tab/>
      </w:r>
      <w:r w:rsidR="00D60743" w:rsidRPr="001973E6">
        <w:rPr>
          <w:lang w:val="en-GB"/>
        </w:rPr>
        <w:t>Proposal</w:t>
      </w:r>
      <w:r w:rsidR="00F45459">
        <w:rPr>
          <w:lang w:val="en-GB"/>
        </w:rPr>
        <w:t>s</w:t>
      </w:r>
      <w:bookmarkStart w:id="0" w:name="_GoBack"/>
      <w:bookmarkEnd w:id="0"/>
    </w:p>
    <w:p w14:paraId="7FA84088" w14:textId="553A70AF" w:rsidR="00D60743" w:rsidRPr="001973E6" w:rsidRDefault="00632DF4" w:rsidP="00D60743">
      <w:pPr>
        <w:pStyle w:val="SingleTxtG"/>
        <w:spacing w:before="120"/>
        <w:rPr>
          <w:lang w:val="en-GB"/>
        </w:rPr>
      </w:pPr>
      <w:r w:rsidRPr="001973E6">
        <w:rPr>
          <w:lang w:val="en-GB"/>
        </w:rPr>
        <w:t>8</w:t>
      </w:r>
      <w:r w:rsidR="00D60743" w:rsidRPr="001973E6">
        <w:rPr>
          <w:lang w:val="en-GB"/>
        </w:rPr>
        <w:t>.</w:t>
      </w:r>
      <w:r w:rsidR="00D60743" w:rsidRPr="001973E6">
        <w:rPr>
          <w:lang w:val="en-GB"/>
        </w:rPr>
        <w:tab/>
        <w:t xml:space="preserve">Spain proposes to amend the text of </w:t>
      </w:r>
      <w:r w:rsidR="00E161E4" w:rsidRPr="001973E6">
        <w:rPr>
          <w:lang w:val="en-GB"/>
        </w:rPr>
        <w:t xml:space="preserve">5.4.1.4.3 </w:t>
      </w:r>
      <w:r w:rsidR="00D60743" w:rsidRPr="001973E6">
        <w:rPr>
          <w:lang w:val="en-GB"/>
        </w:rPr>
        <w:t xml:space="preserve">to read as follows (deleted text shown as </w:t>
      </w:r>
      <w:r w:rsidR="00D60743" w:rsidRPr="001973E6">
        <w:rPr>
          <w:strike/>
          <w:lang w:val="en-GB"/>
        </w:rPr>
        <w:t>stricken through</w:t>
      </w:r>
      <w:r w:rsidR="00D60743" w:rsidRPr="001973E6">
        <w:rPr>
          <w:lang w:val="en-GB"/>
        </w:rPr>
        <w:t xml:space="preserve">, new text added </w:t>
      </w:r>
      <w:r w:rsidR="000B32C9" w:rsidRPr="001973E6">
        <w:rPr>
          <w:u w:val="single"/>
          <w:lang w:val="en-GB"/>
        </w:rPr>
        <w:t>underlined</w:t>
      </w:r>
      <w:r w:rsidR="00D60743" w:rsidRPr="001973E6">
        <w:rPr>
          <w:lang w:val="en-GB"/>
        </w:rPr>
        <w:t>):</w:t>
      </w:r>
    </w:p>
    <w:p w14:paraId="7571E684" w14:textId="3B7F2127" w:rsidR="006F1888" w:rsidRPr="001973E6" w:rsidRDefault="00D20891" w:rsidP="0085041C">
      <w:pPr>
        <w:pStyle w:val="SingleTxtG"/>
        <w:ind w:left="1701"/>
        <w:rPr>
          <w:i/>
          <w:iCs/>
          <w:lang w:val="en-GB"/>
        </w:rPr>
      </w:pPr>
      <w:r>
        <w:rPr>
          <w:i/>
          <w:iCs/>
          <w:lang w:val="en-GB"/>
        </w:rPr>
        <w:t>“</w:t>
      </w:r>
      <w:r w:rsidR="006F1888" w:rsidRPr="001973E6">
        <w:rPr>
          <w:i/>
          <w:iCs/>
          <w:lang w:val="en-GB"/>
        </w:rPr>
        <w:t>5.4.1.4.3</w:t>
      </w:r>
      <w:r w:rsidR="006F1888" w:rsidRPr="001973E6">
        <w:rPr>
          <w:i/>
          <w:iCs/>
          <w:lang w:val="en-GB"/>
        </w:rPr>
        <w:tab/>
        <w:t xml:space="preserve"> Information which supplements the proper shipping name in the dangerous goods description</w:t>
      </w:r>
    </w:p>
    <w:p w14:paraId="6731F7C2" w14:textId="33F3019F" w:rsidR="000B32C9" w:rsidRPr="001973E6" w:rsidRDefault="000B32C9" w:rsidP="0085041C">
      <w:pPr>
        <w:pStyle w:val="BodyText"/>
        <w:spacing w:before="196"/>
        <w:ind w:left="1701" w:right="1133"/>
        <w:jc w:val="both"/>
      </w:pPr>
      <w:r w:rsidRPr="001973E6">
        <w:t>The proper shipping name in the dangerous goods description shall be supplemented</w:t>
      </w:r>
      <w:r w:rsidR="00632DF4" w:rsidRPr="001973E6">
        <w:t xml:space="preserve"> </w:t>
      </w:r>
      <w:r w:rsidRPr="001973E6">
        <w:t>as follows:</w:t>
      </w:r>
    </w:p>
    <w:p w14:paraId="23DAF5B9" w14:textId="51B2304B" w:rsidR="00B854D0" w:rsidRPr="001973E6" w:rsidRDefault="0085041C" w:rsidP="0085041C">
      <w:pPr>
        <w:pStyle w:val="SingleTxtG"/>
        <w:spacing w:before="120"/>
        <w:ind w:left="1701"/>
        <w:rPr>
          <w:lang w:val="en-GB"/>
        </w:rPr>
      </w:pPr>
      <w:r w:rsidRPr="001973E6">
        <w:rPr>
          <w:lang w:val="en-GB"/>
        </w:rPr>
        <w:tab/>
      </w:r>
      <w:r w:rsidR="0071432E" w:rsidRPr="001973E6">
        <w:rPr>
          <w:lang w:val="en-GB"/>
        </w:rPr>
        <w:t>(a)</w:t>
      </w:r>
      <w:r w:rsidRPr="001973E6">
        <w:rPr>
          <w:lang w:val="en-GB"/>
        </w:rPr>
        <w:tab/>
      </w:r>
      <w:r w:rsidR="00B854D0" w:rsidRPr="001973E6">
        <w:rPr>
          <w:lang w:val="en-GB"/>
        </w:rPr>
        <w:t>Technical names for “</w:t>
      </w:r>
      <w:proofErr w:type="spellStart"/>
      <w:r w:rsidR="00B854D0" w:rsidRPr="001973E6">
        <w:rPr>
          <w:lang w:val="en-GB"/>
        </w:rPr>
        <w:t>n.o.s</w:t>
      </w:r>
      <w:proofErr w:type="spellEnd"/>
      <w:r w:rsidR="00B854D0" w:rsidRPr="001973E6">
        <w:rPr>
          <w:lang w:val="en-GB"/>
        </w:rPr>
        <w:t>.” and other generic descriptions: Proper shipping names that are assigned special provision 274 or 318 in Column 6 of the Dangerous Goods List shall be supplemented with their technical or chemical group names as described in 3.1.2.8;</w:t>
      </w:r>
    </w:p>
    <w:p w14:paraId="6980AB97" w14:textId="1987D42E" w:rsidR="000B32C9" w:rsidRPr="001973E6" w:rsidRDefault="0085041C" w:rsidP="0085041C">
      <w:pPr>
        <w:pStyle w:val="SingleTxtG"/>
        <w:ind w:left="1701"/>
        <w:rPr>
          <w:lang w:val="en-GB"/>
        </w:rPr>
      </w:pPr>
      <w:r w:rsidRPr="001973E6">
        <w:rPr>
          <w:lang w:val="en-GB"/>
        </w:rPr>
        <w:tab/>
      </w:r>
      <w:r w:rsidR="0071432E" w:rsidRPr="001973E6">
        <w:rPr>
          <w:lang w:val="en-GB"/>
        </w:rPr>
        <w:t>(b)</w:t>
      </w:r>
      <w:r w:rsidRPr="001973E6">
        <w:rPr>
          <w:lang w:val="en-GB"/>
        </w:rPr>
        <w:tab/>
      </w:r>
      <w:r w:rsidR="000B32C9" w:rsidRPr="001973E6">
        <w:rPr>
          <w:lang w:val="en-GB"/>
        </w:rPr>
        <w:t xml:space="preserve">Empty uncleaned </w:t>
      </w:r>
      <w:proofErr w:type="spellStart"/>
      <w:r w:rsidR="000B32C9" w:rsidRPr="001973E6">
        <w:rPr>
          <w:lang w:val="en-GB"/>
        </w:rPr>
        <w:t>packagings</w:t>
      </w:r>
      <w:proofErr w:type="spellEnd"/>
      <w:r w:rsidR="000B32C9" w:rsidRPr="001973E6">
        <w:rPr>
          <w:lang w:val="en-GB"/>
        </w:rPr>
        <w:t xml:space="preserve">, bulk containers and tanks: Empty means of containment (including </w:t>
      </w:r>
      <w:proofErr w:type="spellStart"/>
      <w:r w:rsidR="000B32C9" w:rsidRPr="001973E6">
        <w:rPr>
          <w:lang w:val="en-GB"/>
        </w:rPr>
        <w:t>packagings</w:t>
      </w:r>
      <w:proofErr w:type="spellEnd"/>
      <w:r w:rsidR="000B32C9" w:rsidRPr="001973E6">
        <w:rPr>
          <w:lang w:val="en-GB"/>
        </w:rPr>
        <w:t xml:space="preserve">, IBCs, bulk containers, portable tanks, tank-vehicles and tank-wagons) which contain the residue of dangerous goods of classes other </w:t>
      </w:r>
      <w:r w:rsidR="00E02CF4" w:rsidRPr="001973E6">
        <w:rPr>
          <w:lang w:val="en-GB"/>
        </w:rPr>
        <w:t>than Class</w:t>
      </w:r>
      <w:r w:rsidR="000B32C9" w:rsidRPr="001973E6">
        <w:rPr>
          <w:lang w:val="en-GB"/>
        </w:rPr>
        <w:t xml:space="preserve"> 7 shall be described as such by, for example, placing the words </w:t>
      </w:r>
      <w:r w:rsidR="000B32C9" w:rsidRPr="001973E6">
        <w:rPr>
          <w:spacing w:val="-3"/>
          <w:lang w:val="en-GB"/>
        </w:rPr>
        <w:t>“</w:t>
      </w:r>
      <w:r w:rsidR="000B32C9" w:rsidRPr="001973E6">
        <w:rPr>
          <w:b/>
          <w:spacing w:val="-3"/>
          <w:lang w:val="en-GB"/>
        </w:rPr>
        <w:t xml:space="preserve">EMPTY </w:t>
      </w:r>
      <w:r w:rsidR="000B32C9" w:rsidRPr="001973E6">
        <w:rPr>
          <w:b/>
          <w:lang w:val="en-GB"/>
        </w:rPr>
        <w:t>UNCLEANED</w:t>
      </w:r>
      <w:r w:rsidR="000B32C9" w:rsidRPr="001973E6">
        <w:rPr>
          <w:lang w:val="en-GB"/>
        </w:rPr>
        <w:t>” or “</w:t>
      </w:r>
      <w:r w:rsidR="000B32C9" w:rsidRPr="001973E6">
        <w:rPr>
          <w:b/>
          <w:lang w:val="en-GB"/>
        </w:rPr>
        <w:t>RESIDUE LAST CONTAINED</w:t>
      </w:r>
      <w:r w:rsidR="000B32C9" w:rsidRPr="001973E6">
        <w:rPr>
          <w:lang w:val="en-GB"/>
        </w:rPr>
        <w:t>” before or after the dangerous goods description specified in 5.4.1.4.1 (a) to</w:t>
      </w:r>
      <w:r w:rsidR="000B32C9" w:rsidRPr="001973E6">
        <w:rPr>
          <w:spacing w:val="-12"/>
          <w:lang w:val="en-GB"/>
        </w:rPr>
        <w:t xml:space="preserve"> </w:t>
      </w:r>
      <w:r w:rsidR="000B32C9" w:rsidRPr="001973E6">
        <w:rPr>
          <w:lang w:val="en-GB"/>
        </w:rPr>
        <w:t>(e);</w:t>
      </w:r>
    </w:p>
    <w:p w14:paraId="26941183" w14:textId="7FC8F9BF" w:rsidR="000B32C9" w:rsidRPr="001973E6" w:rsidRDefault="0085041C" w:rsidP="0085041C">
      <w:pPr>
        <w:pStyle w:val="SingleTxtG"/>
        <w:ind w:left="1701"/>
        <w:rPr>
          <w:lang w:val="en-GB"/>
        </w:rPr>
      </w:pPr>
      <w:r w:rsidRPr="001973E6">
        <w:rPr>
          <w:lang w:val="en-GB"/>
        </w:rPr>
        <w:tab/>
      </w:r>
      <w:r w:rsidR="0071432E" w:rsidRPr="001973E6">
        <w:rPr>
          <w:lang w:val="en-GB"/>
        </w:rPr>
        <w:t>(c)</w:t>
      </w:r>
      <w:r w:rsidRPr="001973E6">
        <w:rPr>
          <w:lang w:val="en-GB"/>
        </w:rPr>
        <w:tab/>
      </w:r>
      <w:r w:rsidR="000B32C9" w:rsidRPr="001973E6">
        <w:rPr>
          <w:lang w:val="en-GB"/>
        </w:rPr>
        <w:t>Wastes: For waste dangerous goods (other than radioactive wastes) which are being transported for disposal, or for processing for disposal, the proper shipping name shall be</w:t>
      </w:r>
      <w:r w:rsidR="000B32C9" w:rsidRPr="001973E6">
        <w:rPr>
          <w:spacing w:val="-6"/>
          <w:lang w:val="en-GB"/>
        </w:rPr>
        <w:t xml:space="preserve"> </w:t>
      </w:r>
      <w:r w:rsidR="000B32C9" w:rsidRPr="001973E6">
        <w:rPr>
          <w:lang w:val="en-GB"/>
        </w:rPr>
        <w:t>preceded</w:t>
      </w:r>
      <w:r w:rsidR="000B32C9" w:rsidRPr="001973E6">
        <w:rPr>
          <w:spacing w:val="-5"/>
          <w:lang w:val="en-GB"/>
        </w:rPr>
        <w:t xml:space="preserve"> </w:t>
      </w:r>
      <w:r w:rsidR="000B32C9" w:rsidRPr="001973E6">
        <w:rPr>
          <w:lang w:val="en-GB"/>
        </w:rPr>
        <w:t>by</w:t>
      </w:r>
      <w:r w:rsidR="000B32C9" w:rsidRPr="001973E6">
        <w:rPr>
          <w:spacing w:val="-8"/>
          <w:lang w:val="en-GB"/>
        </w:rPr>
        <w:t xml:space="preserve"> </w:t>
      </w:r>
      <w:r w:rsidR="000B32C9" w:rsidRPr="001973E6">
        <w:rPr>
          <w:lang w:val="en-GB"/>
        </w:rPr>
        <w:t>the</w:t>
      </w:r>
      <w:r w:rsidR="000B32C9" w:rsidRPr="001973E6">
        <w:rPr>
          <w:spacing w:val="-5"/>
          <w:lang w:val="en-GB"/>
        </w:rPr>
        <w:t xml:space="preserve"> </w:t>
      </w:r>
      <w:r w:rsidR="000B32C9" w:rsidRPr="001973E6">
        <w:rPr>
          <w:lang w:val="en-GB"/>
        </w:rPr>
        <w:t>word</w:t>
      </w:r>
      <w:r w:rsidR="000B32C9" w:rsidRPr="001973E6">
        <w:rPr>
          <w:spacing w:val="-5"/>
          <w:lang w:val="en-GB"/>
        </w:rPr>
        <w:t xml:space="preserve"> </w:t>
      </w:r>
      <w:r w:rsidR="000B32C9" w:rsidRPr="001973E6">
        <w:rPr>
          <w:b/>
          <w:lang w:val="en-GB"/>
        </w:rPr>
        <w:t>“WASTE”</w:t>
      </w:r>
      <w:r w:rsidR="000B32C9" w:rsidRPr="001973E6">
        <w:rPr>
          <w:lang w:val="en-GB"/>
        </w:rPr>
        <w:t>,</w:t>
      </w:r>
      <w:r w:rsidR="000B32C9" w:rsidRPr="001973E6">
        <w:rPr>
          <w:spacing w:val="-5"/>
          <w:lang w:val="en-GB"/>
        </w:rPr>
        <w:t xml:space="preserve"> </w:t>
      </w:r>
      <w:r w:rsidR="000B32C9" w:rsidRPr="001973E6">
        <w:rPr>
          <w:lang w:val="en-GB"/>
        </w:rPr>
        <w:t>unless</w:t>
      </w:r>
      <w:r w:rsidR="000B32C9" w:rsidRPr="001973E6">
        <w:rPr>
          <w:spacing w:val="-5"/>
          <w:lang w:val="en-GB"/>
        </w:rPr>
        <w:t xml:space="preserve"> </w:t>
      </w:r>
      <w:r w:rsidR="000B32C9" w:rsidRPr="001973E6">
        <w:rPr>
          <w:lang w:val="en-GB"/>
        </w:rPr>
        <w:t>this</w:t>
      </w:r>
      <w:r w:rsidR="000B32C9" w:rsidRPr="001973E6">
        <w:rPr>
          <w:spacing w:val="-7"/>
          <w:lang w:val="en-GB"/>
        </w:rPr>
        <w:t xml:space="preserve"> </w:t>
      </w:r>
      <w:r w:rsidR="000B32C9" w:rsidRPr="001973E6">
        <w:rPr>
          <w:lang w:val="en-GB"/>
        </w:rPr>
        <w:t>is</w:t>
      </w:r>
      <w:r w:rsidR="000B32C9" w:rsidRPr="001973E6">
        <w:rPr>
          <w:spacing w:val="-8"/>
          <w:lang w:val="en-GB"/>
        </w:rPr>
        <w:t xml:space="preserve"> </w:t>
      </w:r>
      <w:r w:rsidR="000B32C9" w:rsidRPr="001973E6">
        <w:rPr>
          <w:lang w:val="en-GB"/>
        </w:rPr>
        <w:t>already</w:t>
      </w:r>
      <w:r w:rsidR="000B32C9" w:rsidRPr="001973E6">
        <w:rPr>
          <w:spacing w:val="-7"/>
          <w:lang w:val="en-GB"/>
        </w:rPr>
        <w:t xml:space="preserve"> </w:t>
      </w:r>
      <w:r w:rsidR="000B32C9" w:rsidRPr="001973E6">
        <w:rPr>
          <w:lang w:val="en-GB"/>
        </w:rPr>
        <w:t>a</w:t>
      </w:r>
      <w:r w:rsidR="000B32C9" w:rsidRPr="001973E6">
        <w:rPr>
          <w:spacing w:val="-5"/>
          <w:lang w:val="en-GB"/>
        </w:rPr>
        <w:t xml:space="preserve"> </w:t>
      </w:r>
      <w:r w:rsidR="000B32C9" w:rsidRPr="001973E6">
        <w:rPr>
          <w:lang w:val="en-GB"/>
        </w:rPr>
        <w:t>part</w:t>
      </w:r>
      <w:r w:rsidR="000B32C9" w:rsidRPr="001973E6">
        <w:rPr>
          <w:spacing w:val="-4"/>
          <w:lang w:val="en-GB"/>
        </w:rPr>
        <w:t xml:space="preserve"> </w:t>
      </w:r>
      <w:r w:rsidR="000B32C9" w:rsidRPr="001973E6">
        <w:rPr>
          <w:lang w:val="en-GB"/>
        </w:rPr>
        <w:t>of</w:t>
      </w:r>
      <w:r w:rsidR="000B32C9" w:rsidRPr="001973E6">
        <w:rPr>
          <w:spacing w:val="-7"/>
          <w:lang w:val="en-GB"/>
        </w:rPr>
        <w:t xml:space="preserve"> </w:t>
      </w:r>
      <w:r w:rsidR="000B32C9" w:rsidRPr="001973E6">
        <w:rPr>
          <w:lang w:val="en-GB"/>
        </w:rPr>
        <w:t>the</w:t>
      </w:r>
      <w:r w:rsidR="000B32C9" w:rsidRPr="001973E6">
        <w:rPr>
          <w:spacing w:val="-7"/>
          <w:lang w:val="en-GB"/>
        </w:rPr>
        <w:t xml:space="preserve"> </w:t>
      </w:r>
      <w:r w:rsidR="000B32C9" w:rsidRPr="001973E6">
        <w:rPr>
          <w:lang w:val="en-GB"/>
        </w:rPr>
        <w:t>proper</w:t>
      </w:r>
      <w:r w:rsidR="000B32C9" w:rsidRPr="001973E6">
        <w:rPr>
          <w:spacing w:val="-7"/>
          <w:lang w:val="en-GB"/>
        </w:rPr>
        <w:t xml:space="preserve"> </w:t>
      </w:r>
      <w:r w:rsidR="000B32C9" w:rsidRPr="001973E6">
        <w:rPr>
          <w:lang w:val="en-GB"/>
        </w:rPr>
        <w:t>shipping name;</w:t>
      </w:r>
    </w:p>
    <w:p w14:paraId="2BAC471F" w14:textId="5D254A3A" w:rsidR="000B32C9" w:rsidRPr="001973E6" w:rsidRDefault="0085041C" w:rsidP="0085041C">
      <w:pPr>
        <w:pStyle w:val="SingleTxtG"/>
        <w:ind w:left="1701"/>
        <w:rPr>
          <w:u w:val="single"/>
          <w:lang w:val="en-GB"/>
        </w:rPr>
      </w:pPr>
      <w:r w:rsidRPr="001973E6">
        <w:rPr>
          <w:u w:val="single"/>
          <w:lang w:val="en-GB"/>
        </w:rPr>
        <w:tab/>
      </w:r>
      <w:r w:rsidR="0071432E" w:rsidRPr="001973E6">
        <w:rPr>
          <w:u w:val="single"/>
          <w:lang w:val="en-GB"/>
        </w:rPr>
        <w:t>(d)</w:t>
      </w:r>
      <w:r w:rsidRPr="001973E6">
        <w:rPr>
          <w:lang w:val="en-GB"/>
        </w:rPr>
        <w:tab/>
      </w:r>
      <w:r w:rsidR="000B32C9" w:rsidRPr="001973E6">
        <w:rPr>
          <w:u w:val="single"/>
          <w:lang w:val="en-GB"/>
        </w:rPr>
        <w:t>Molten substances: When a substance which is solid in accordance with the definition in 1.2.1, is offered for transport in the molten state, the qualifying word “MOLTEN” shall be added as part of the proper shipping name, unless it is already part of the proper shipping name (see 3.1.2.5);</w:t>
      </w:r>
    </w:p>
    <w:p w14:paraId="783D1839" w14:textId="6B4DC394" w:rsidR="007535A2" w:rsidRPr="001973E6" w:rsidRDefault="0085041C" w:rsidP="0085041C">
      <w:pPr>
        <w:pStyle w:val="SingleTxtG"/>
        <w:ind w:left="1701"/>
        <w:rPr>
          <w:lang w:val="en-GB"/>
        </w:rPr>
      </w:pPr>
      <w:r w:rsidRPr="001973E6">
        <w:rPr>
          <w:strike/>
          <w:lang w:val="en-GB"/>
        </w:rPr>
        <w:tab/>
      </w:r>
      <w:r w:rsidR="0071432E" w:rsidRPr="001973E6">
        <w:rPr>
          <w:lang w:val="en-GB"/>
        </w:rPr>
        <w:t>(e)</w:t>
      </w:r>
      <w:r w:rsidRPr="001973E6">
        <w:rPr>
          <w:lang w:val="en-GB"/>
        </w:rPr>
        <w:tab/>
      </w:r>
      <w:r w:rsidR="00B854D0" w:rsidRPr="001973E6">
        <w:rPr>
          <w:strike/>
          <w:lang w:val="en-GB"/>
        </w:rPr>
        <w:t>(d)</w:t>
      </w:r>
      <w:r w:rsidR="00B854D0" w:rsidRPr="001973E6">
        <w:rPr>
          <w:lang w:val="en-GB"/>
        </w:rPr>
        <w:t xml:space="preserve"> </w:t>
      </w:r>
      <w:r w:rsidR="000B32C9" w:rsidRPr="001973E6">
        <w:rPr>
          <w:lang w:val="en-GB"/>
        </w:rPr>
        <w:t>Elevated temperature substances: If the proper shipping name of a substance which is transported or offered for transport in a liquid state at a temperature equal to or exceeding</w:t>
      </w:r>
      <w:r w:rsidR="000B32C9" w:rsidRPr="001973E6">
        <w:rPr>
          <w:spacing w:val="-10"/>
          <w:lang w:val="en-GB"/>
        </w:rPr>
        <w:t xml:space="preserve"> </w:t>
      </w:r>
      <w:r w:rsidR="000B32C9" w:rsidRPr="001973E6">
        <w:rPr>
          <w:lang w:val="en-GB"/>
        </w:rPr>
        <w:t>100</w:t>
      </w:r>
      <w:r w:rsidR="000B32C9" w:rsidRPr="001973E6">
        <w:rPr>
          <w:spacing w:val="-10"/>
          <w:lang w:val="en-GB"/>
        </w:rPr>
        <w:t xml:space="preserve"> </w:t>
      </w:r>
      <w:r w:rsidR="000B32C9" w:rsidRPr="001973E6">
        <w:rPr>
          <w:lang w:val="en-GB"/>
        </w:rPr>
        <w:t>°C,</w:t>
      </w:r>
      <w:r w:rsidR="000B32C9" w:rsidRPr="001973E6">
        <w:rPr>
          <w:spacing w:val="-8"/>
          <w:lang w:val="en-GB"/>
        </w:rPr>
        <w:t xml:space="preserve"> </w:t>
      </w:r>
      <w:r w:rsidR="000B32C9" w:rsidRPr="001973E6">
        <w:rPr>
          <w:lang w:val="en-GB"/>
        </w:rPr>
        <w:t>or</w:t>
      </w:r>
      <w:r w:rsidR="000B32C9" w:rsidRPr="001973E6">
        <w:rPr>
          <w:spacing w:val="-9"/>
          <w:lang w:val="en-GB"/>
        </w:rPr>
        <w:t xml:space="preserve"> </w:t>
      </w:r>
      <w:r w:rsidR="000B32C9" w:rsidRPr="001973E6">
        <w:rPr>
          <w:lang w:val="en-GB"/>
        </w:rPr>
        <w:t>in</w:t>
      </w:r>
      <w:r w:rsidR="000B32C9" w:rsidRPr="001973E6">
        <w:rPr>
          <w:spacing w:val="-10"/>
          <w:lang w:val="en-GB"/>
        </w:rPr>
        <w:t xml:space="preserve"> </w:t>
      </w:r>
      <w:r w:rsidR="000B32C9" w:rsidRPr="001973E6">
        <w:rPr>
          <w:lang w:val="en-GB"/>
        </w:rPr>
        <w:t>a</w:t>
      </w:r>
      <w:r w:rsidR="000B32C9" w:rsidRPr="001973E6">
        <w:rPr>
          <w:spacing w:val="-10"/>
          <w:lang w:val="en-GB"/>
        </w:rPr>
        <w:t xml:space="preserve"> </w:t>
      </w:r>
      <w:r w:rsidR="000B32C9" w:rsidRPr="001973E6">
        <w:rPr>
          <w:lang w:val="en-GB"/>
        </w:rPr>
        <w:t>solid</w:t>
      </w:r>
      <w:r w:rsidR="000B32C9" w:rsidRPr="001973E6">
        <w:rPr>
          <w:spacing w:val="-10"/>
          <w:lang w:val="en-GB"/>
        </w:rPr>
        <w:t xml:space="preserve"> </w:t>
      </w:r>
      <w:r w:rsidR="000B32C9" w:rsidRPr="001973E6">
        <w:rPr>
          <w:lang w:val="en-GB"/>
        </w:rPr>
        <w:t>state</w:t>
      </w:r>
      <w:r w:rsidR="000B32C9" w:rsidRPr="001973E6">
        <w:rPr>
          <w:spacing w:val="-7"/>
          <w:lang w:val="en-GB"/>
        </w:rPr>
        <w:t xml:space="preserve"> </w:t>
      </w:r>
      <w:r w:rsidR="000B32C9" w:rsidRPr="001973E6">
        <w:rPr>
          <w:lang w:val="en-GB"/>
        </w:rPr>
        <w:t>at</w:t>
      </w:r>
      <w:r w:rsidR="000B32C9" w:rsidRPr="001973E6">
        <w:rPr>
          <w:spacing w:val="-9"/>
          <w:lang w:val="en-GB"/>
        </w:rPr>
        <w:t xml:space="preserve"> </w:t>
      </w:r>
      <w:r w:rsidR="000B32C9" w:rsidRPr="001973E6">
        <w:rPr>
          <w:lang w:val="en-GB"/>
        </w:rPr>
        <w:t>a</w:t>
      </w:r>
      <w:r w:rsidR="000B32C9" w:rsidRPr="001973E6">
        <w:rPr>
          <w:spacing w:val="-9"/>
          <w:lang w:val="en-GB"/>
        </w:rPr>
        <w:t xml:space="preserve"> </w:t>
      </w:r>
      <w:r w:rsidR="000B32C9" w:rsidRPr="001973E6">
        <w:rPr>
          <w:lang w:val="en-GB"/>
        </w:rPr>
        <w:t>temperature</w:t>
      </w:r>
      <w:r w:rsidR="000B32C9" w:rsidRPr="001973E6">
        <w:rPr>
          <w:spacing w:val="-10"/>
          <w:lang w:val="en-GB"/>
        </w:rPr>
        <w:t xml:space="preserve"> </w:t>
      </w:r>
      <w:r w:rsidR="000B32C9" w:rsidRPr="001973E6">
        <w:rPr>
          <w:lang w:val="en-GB"/>
        </w:rPr>
        <w:t>equal</w:t>
      </w:r>
      <w:r w:rsidR="000B32C9" w:rsidRPr="001973E6">
        <w:rPr>
          <w:spacing w:val="-9"/>
          <w:lang w:val="en-GB"/>
        </w:rPr>
        <w:t xml:space="preserve"> </w:t>
      </w:r>
      <w:r w:rsidR="000B32C9" w:rsidRPr="001973E6">
        <w:rPr>
          <w:lang w:val="en-GB"/>
        </w:rPr>
        <w:t>to</w:t>
      </w:r>
      <w:r w:rsidR="000B32C9" w:rsidRPr="001973E6">
        <w:rPr>
          <w:spacing w:val="-10"/>
          <w:lang w:val="en-GB"/>
        </w:rPr>
        <w:t xml:space="preserve"> </w:t>
      </w:r>
      <w:r w:rsidR="000B32C9" w:rsidRPr="001973E6">
        <w:rPr>
          <w:lang w:val="en-GB"/>
        </w:rPr>
        <w:t>or</w:t>
      </w:r>
      <w:r w:rsidR="000B32C9" w:rsidRPr="001973E6">
        <w:rPr>
          <w:spacing w:val="-9"/>
          <w:lang w:val="en-GB"/>
        </w:rPr>
        <w:t xml:space="preserve"> </w:t>
      </w:r>
      <w:r w:rsidR="000B32C9" w:rsidRPr="001973E6">
        <w:rPr>
          <w:lang w:val="en-GB"/>
        </w:rPr>
        <w:t>exceeding</w:t>
      </w:r>
      <w:r w:rsidR="000B32C9" w:rsidRPr="001973E6">
        <w:rPr>
          <w:spacing w:val="-10"/>
          <w:lang w:val="en-GB"/>
        </w:rPr>
        <w:t xml:space="preserve"> </w:t>
      </w:r>
      <w:r w:rsidR="000B32C9" w:rsidRPr="001973E6">
        <w:rPr>
          <w:lang w:val="en-GB"/>
        </w:rPr>
        <w:t>240 °C,</w:t>
      </w:r>
      <w:r w:rsidR="000B32C9" w:rsidRPr="001973E6">
        <w:rPr>
          <w:spacing w:val="-10"/>
          <w:lang w:val="en-GB"/>
        </w:rPr>
        <w:t xml:space="preserve"> </w:t>
      </w:r>
      <w:r w:rsidR="000B32C9" w:rsidRPr="001973E6">
        <w:rPr>
          <w:lang w:val="en-GB"/>
        </w:rPr>
        <w:t xml:space="preserve">does not convey the elevated temperature condition (for example, by using the term </w:t>
      </w:r>
      <w:r w:rsidR="000B32C9" w:rsidRPr="001973E6">
        <w:rPr>
          <w:b/>
          <w:lang w:val="en-GB"/>
        </w:rPr>
        <w:t>“MOLTEN”</w:t>
      </w:r>
      <w:r w:rsidR="000B32C9" w:rsidRPr="001973E6">
        <w:rPr>
          <w:b/>
          <w:spacing w:val="-5"/>
          <w:lang w:val="en-GB"/>
        </w:rPr>
        <w:t xml:space="preserve"> </w:t>
      </w:r>
      <w:r w:rsidR="000B32C9" w:rsidRPr="001973E6">
        <w:rPr>
          <w:lang w:val="en-GB"/>
        </w:rPr>
        <w:t>or</w:t>
      </w:r>
      <w:r w:rsidR="000B32C9" w:rsidRPr="001973E6">
        <w:rPr>
          <w:spacing w:val="-3"/>
          <w:lang w:val="en-GB"/>
        </w:rPr>
        <w:t xml:space="preserve"> </w:t>
      </w:r>
      <w:r w:rsidR="000B32C9" w:rsidRPr="001973E6">
        <w:rPr>
          <w:b/>
          <w:lang w:val="en-GB"/>
        </w:rPr>
        <w:t>“ELEVATED</w:t>
      </w:r>
      <w:r w:rsidR="000B32C9" w:rsidRPr="001973E6">
        <w:rPr>
          <w:b/>
          <w:spacing w:val="-5"/>
          <w:lang w:val="en-GB"/>
        </w:rPr>
        <w:t xml:space="preserve"> </w:t>
      </w:r>
      <w:r w:rsidR="000B32C9" w:rsidRPr="001973E6">
        <w:rPr>
          <w:b/>
          <w:lang w:val="en-GB"/>
        </w:rPr>
        <w:t>TEMPERATURE”</w:t>
      </w:r>
      <w:r w:rsidR="000B32C9" w:rsidRPr="001973E6">
        <w:rPr>
          <w:b/>
          <w:spacing w:val="-5"/>
          <w:lang w:val="en-GB"/>
        </w:rPr>
        <w:t xml:space="preserve"> </w:t>
      </w:r>
      <w:r w:rsidR="000B32C9" w:rsidRPr="001973E6">
        <w:rPr>
          <w:lang w:val="en-GB"/>
        </w:rPr>
        <w:t>as</w:t>
      </w:r>
      <w:r w:rsidR="000B32C9" w:rsidRPr="001973E6">
        <w:rPr>
          <w:spacing w:val="-3"/>
          <w:lang w:val="en-GB"/>
        </w:rPr>
        <w:t xml:space="preserve"> </w:t>
      </w:r>
      <w:r w:rsidR="000B32C9" w:rsidRPr="001973E6">
        <w:rPr>
          <w:lang w:val="en-GB"/>
        </w:rPr>
        <w:t>part</w:t>
      </w:r>
      <w:r w:rsidR="000B32C9" w:rsidRPr="001973E6">
        <w:rPr>
          <w:spacing w:val="-5"/>
          <w:lang w:val="en-GB"/>
        </w:rPr>
        <w:t xml:space="preserve"> </w:t>
      </w:r>
      <w:r w:rsidR="000B32C9" w:rsidRPr="001973E6">
        <w:rPr>
          <w:lang w:val="en-GB"/>
        </w:rPr>
        <w:t>of</w:t>
      </w:r>
      <w:r w:rsidR="000B32C9" w:rsidRPr="001973E6">
        <w:rPr>
          <w:spacing w:val="-6"/>
          <w:lang w:val="en-GB"/>
        </w:rPr>
        <w:t xml:space="preserve"> </w:t>
      </w:r>
      <w:r w:rsidR="000B32C9" w:rsidRPr="001973E6">
        <w:rPr>
          <w:lang w:val="en-GB"/>
        </w:rPr>
        <w:t>the</w:t>
      </w:r>
      <w:r w:rsidR="000B32C9" w:rsidRPr="001973E6">
        <w:rPr>
          <w:spacing w:val="-3"/>
          <w:lang w:val="en-GB"/>
        </w:rPr>
        <w:t xml:space="preserve"> </w:t>
      </w:r>
      <w:r w:rsidR="000B32C9" w:rsidRPr="001973E6">
        <w:rPr>
          <w:lang w:val="en-GB"/>
        </w:rPr>
        <w:t>shipping</w:t>
      </w:r>
      <w:r w:rsidR="000B32C9" w:rsidRPr="001973E6">
        <w:rPr>
          <w:spacing w:val="-6"/>
          <w:lang w:val="en-GB"/>
        </w:rPr>
        <w:t xml:space="preserve"> </w:t>
      </w:r>
      <w:r w:rsidR="000B32C9" w:rsidRPr="001973E6">
        <w:rPr>
          <w:lang w:val="en-GB"/>
        </w:rPr>
        <w:t>name),</w:t>
      </w:r>
      <w:r w:rsidR="000B32C9" w:rsidRPr="001973E6">
        <w:rPr>
          <w:spacing w:val="-7"/>
          <w:lang w:val="en-GB"/>
        </w:rPr>
        <w:t xml:space="preserve"> </w:t>
      </w:r>
      <w:r w:rsidR="000B32C9" w:rsidRPr="001973E6">
        <w:rPr>
          <w:lang w:val="en-GB"/>
        </w:rPr>
        <w:t xml:space="preserve">the word </w:t>
      </w:r>
      <w:r w:rsidR="000B32C9" w:rsidRPr="001973E6">
        <w:rPr>
          <w:b/>
          <w:lang w:val="en-GB"/>
        </w:rPr>
        <w:t xml:space="preserve">“HOT” </w:t>
      </w:r>
      <w:r w:rsidR="000B32C9" w:rsidRPr="001973E6">
        <w:rPr>
          <w:lang w:val="en-GB"/>
        </w:rPr>
        <w:t>shall immediately precede the proper shipping</w:t>
      </w:r>
      <w:r w:rsidR="000B32C9" w:rsidRPr="001973E6">
        <w:rPr>
          <w:spacing w:val="-13"/>
          <w:lang w:val="en-GB"/>
        </w:rPr>
        <w:t xml:space="preserve"> </w:t>
      </w:r>
      <w:r w:rsidR="000B32C9" w:rsidRPr="001973E6">
        <w:rPr>
          <w:lang w:val="en-GB"/>
        </w:rPr>
        <w:t>name.</w:t>
      </w:r>
      <w:r w:rsidR="00D20891">
        <w:rPr>
          <w:lang w:val="en-GB"/>
        </w:rPr>
        <w:t>”.</w:t>
      </w:r>
    </w:p>
    <w:p w14:paraId="7C150C5C" w14:textId="30AED8E2" w:rsidR="007535A2" w:rsidRPr="001973E6" w:rsidRDefault="007535A2" w:rsidP="007535A2">
      <w:pPr>
        <w:pStyle w:val="SingleTxtG"/>
        <w:rPr>
          <w:lang w:val="en-GB"/>
        </w:rPr>
      </w:pPr>
      <w:r w:rsidRPr="00D20891">
        <w:rPr>
          <w:lang w:val="en-GB"/>
        </w:rPr>
        <w:lastRenderedPageBreak/>
        <w:t xml:space="preserve">9. </w:t>
      </w:r>
      <w:r w:rsidR="0085041C" w:rsidRPr="00D20891">
        <w:rPr>
          <w:lang w:val="en-GB"/>
        </w:rPr>
        <w:tab/>
      </w:r>
      <w:r w:rsidRPr="00D20891">
        <w:rPr>
          <w:lang w:val="en-GB"/>
        </w:rPr>
        <w:t xml:space="preserve">If the proposal </w:t>
      </w:r>
      <w:r w:rsidR="00792454" w:rsidRPr="00D20891">
        <w:rPr>
          <w:lang w:val="en-GB"/>
        </w:rPr>
        <w:t xml:space="preserve">in </w:t>
      </w:r>
      <w:r w:rsidRPr="00D20891">
        <w:rPr>
          <w:lang w:val="en-GB"/>
        </w:rPr>
        <w:t xml:space="preserve">paragraph </w:t>
      </w:r>
      <w:r w:rsidR="0031332D">
        <w:rPr>
          <w:lang w:val="en-GB"/>
        </w:rPr>
        <w:t>8</w:t>
      </w:r>
      <w:r w:rsidR="0031332D" w:rsidRPr="00D20891">
        <w:rPr>
          <w:lang w:val="en-GB"/>
        </w:rPr>
        <w:t xml:space="preserve"> </w:t>
      </w:r>
      <w:r w:rsidR="00D20891" w:rsidRPr="00D20891">
        <w:rPr>
          <w:lang w:val="en-GB"/>
        </w:rPr>
        <w:t xml:space="preserve">in </w:t>
      </w:r>
      <w:r w:rsidR="0085041C" w:rsidRPr="00D20891">
        <w:rPr>
          <w:lang w:val="en-GB"/>
        </w:rPr>
        <w:t xml:space="preserve">informal document </w:t>
      </w:r>
      <w:r w:rsidRPr="00D20891">
        <w:rPr>
          <w:lang w:val="en-GB"/>
        </w:rPr>
        <w:t xml:space="preserve">INF </w:t>
      </w:r>
      <w:r w:rsidR="00792454" w:rsidRPr="00D20891">
        <w:rPr>
          <w:lang w:val="en-GB"/>
        </w:rPr>
        <w:t xml:space="preserve">5 </w:t>
      </w:r>
      <w:r w:rsidRPr="00D20891">
        <w:rPr>
          <w:lang w:val="en-GB"/>
        </w:rPr>
        <w:t>is accepted, 5.4.1.4.3 should be renumbered from (a)</w:t>
      </w:r>
      <w:r w:rsidR="00B9443C" w:rsidRPr="00D20891">
        <w:rPr>
          <w:lang w:val="en-GB"/>
        </w:rPr>
        <w:t>-</w:t>
      </w:r>
      <w:r w:rsidRPr="00D20891">
        <w:rPr>
          <w:lang w:val="en-GB"/>
        </w:rPr>
        <w:t>(f).</w:t>
      </w:r>
    </w:p>
    <w:p w14:paraId="1BC496BE" w14:textId="5CA6752D" w:rsidR="007535A2" w:rsidRPr="001973E6" w:rsidRDefault="007535A2" w:rsidP="007535A2">
      <w:pPr>
        <w:pStyle w:val="SingleTxtG"/>
        <w:rPr>
          <w:lang w:val="en-GB"/>
        </w:rPr>
      </w:pPr>
      <w:r w:rsidRPr="001973E6">
        <w:rPr>
          <w:lang w:val="en-GB"/>
        </w:rPr>
        <w:t xml:space="preserve">10. </w:t>
      </w:r>
      <w:r w:rsidR="0085041C" w:rsidRPr="001973E6">
        <w:rPr>
          <w:lang w:val="en-GB"/>
        </w:rPr>
        <w:tab/>
      </w:r>
      <w:r w:rsidRPr="001973E6">
        <w:rPr>
          <w:lang w:val="en-GB"/>
        </w:rPr>
        <w:t xml:space="preserve">The proposed amendments were presented at the Joint Meeting in September 2019 </w:t>
      </w:r>
      <w:proofErr w:type="gramStart"/>
      <w:r w:rsidRPr="001973E6">
        <w:rPr>
          <w:lang w:val="en-GB"/>
        </w:rPr>
        <w:t>on the basis of</w:t>
      </w:r>
      <w:proofErr w:type="gramEnd"/>
      <w:r w:rsidRPr="001973E6">
        <w:rPr>
          <w:lang w:val="en-GB"/>
        </w:rPr>
        <w:t xml:space="preserve"> informal document </w:t>
      </w:r>
      <w:r w:rsidR="00792454" w:rsidRPr="001973E6">
        <w:rPr>
          <w:lang w:val="en-GB"/>
        </w:rPr>
        <w:t>INF.</w:t>
      </w:r>
      <w:r w:rsidRPr="001973E6">
        <w:rPr>
          <w:lang w:val="en-GB"/>
        </w:rPr>
        <w:t>9</w:t>
      </w:r>
      <w:r w:rsidR="00B9443C" w:rsidRPr="001973E6">
        <w:rPr>
          <w:lang w:val="en-GB"/>
        </w:rPr>
        <w:t xml:space="preserve"> to that </w:t>
      </w:r>
      <w:r w:rsidR="00792454" w:rsidRPr="001973E6">
        <w:rPr>
          <w:lang w:val="en-GB"/>
        </w:rPr>
        <w:t>session</w:t>
      </w:r>
      <w:r w:rsidR="00B9443C" w:rsidRPr="001973E6">
        <w:rPr>
          <w:lang w:val="en-GB"/>
        </w:rPr>
        <w:t>, and</w:t>
      </w:r>
      <w:r w:rsidRPr="001973E6">
        <w:rPr>
          <w:lang w:val="en-GB"/>
        </w:rPr>
        <w:t xml:space="preserve"> the Joint Meeting asked Spain to bring this proposal first to the Sub</w:t>
      </w:r>
      <w:r w:rsidR="00792454" w:rsidRPr="001973E6">
        <w:rPr>
          <w:lang w:val="en-GB"/>
        </w:rPr>
        <w:t>-C</w:t>
      </w:r>
      <w:r w:rsidRPr="001973E6">
        <w:rPr>
          <w:lang w:val="en-GB"/>
        </w:rPr>
        <w:t>ommittee.</w:t>
      </w:r>
    </w:p>
    <w:p w14:paraId="29D0FDD4" w14:textId="4551981D" w:rsidR="00D6123A" w:rsidRPr="001973E6" w:rsidRDefault="00D6123A" w:rsidP="00D6123A">
      <w:pPr>
        <w:spacing w:before="240"/>
        <w:jc w:val="center"/>
        <w:rPr>
          <w:u w:val="single"/>
        </w:rPr>
      </w:pPr>
      <w:r w:rsidRPr="001973E6">
        <w:rPr>
          <w:u w:val="single"/>
        </w:rPr>
        <w:tab/>
      </w:r>
      <w:r w:rsidRPr="001973E6">
        <w:rPr>
          <w:u w:val="single"/>
        </w:rPr>
        <w:tab/>
      </w:r>
      <w:r w:rsidRPr="001973E6">
        <w:rPr>
          <w:u w:val="single"/>
        </w:rPr>
        <w:tab/>
      </w:r>
    </w:p>
    <w:p w14:paraId="66456A5F" w14:textId="77777777" w:rsidR="007535A2" w:rsidRPr="001973E6" w:rsidRDefault="007535A2" w:rsidP="00D6123A">
      <w:pPr>
        <w:spacing w:before="240"/>
        <w:jc w:val="center"/>
        <w:rPr>
          <w:u w:val="single"/>
        </w:rPr>
      </w:pPr>
    </w:p>
    <w:sectPr w:rsidR="007535A2" w:rsidRPr="001973E6" w:rsidSect="008A490A">
      <w:headerReference w:type="even" r:id="rId8"/>
      <w:headerReference w:type="default" r:id="rId9"/>
      <w:footerReference w:type="even" r:id="rId10"/>
      <w:footerReference w:type="default" r:id="rId11"/>
      <w:type w:val="continuous"/>
      <w:pgSz w:w="11906" w:h="16838" w:code="9"/>
      <w:pgMar w:top="1418" w:right="1134" w:bottom="1134"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8D689" w14:textId="77777777" w:rsidR="00F5743B" w:rsidRDefault="00F5743B"/>
  </w:endnote>
  <w:endnote w:type="continuationSeparator" w:id="0">
    <w:p w14:paraId="257E9CA9" w14:textId="77777777" w:rsidR="00F5743B" w:rsidRDefault="00F5743B"/>
  </w:endnote>
  <w:endnote w:type="continuationNotice" w:id="1">
    <w:p w14:paraId="6E313BBF" w14:textId="77777777" w:rsidR="00F5743B" w:rsidRDefault="00F57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F302" w14:textId="01803374" w:rsidR="00A467A3" w:rsidRDefault="004F6DF4" w:rsidP="0062499D">
    <w:pPr>
      <w:pStyle w:val="Foote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853CE1">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C292" w14:textId="2E428923" w:rsidR="00A467A3" w:rsidRDefault="004F6DF4" w:rsidP="0062499D">
    <w:pPr>
      <w:pStyle w:val="Footer"/>
      <w:tabs>
        <w:tab w:val="right" w:pos="9638"/>
      </w:tabs>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853CE1">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4011" w14:textId="77777777" w:rsidR="00F5743B" w:rsidRPr="000B175B" w:rsidRDefault="00F5743B" w:rsidP="000B175B">
      <w:pPr>
        <w:tabs>
          <w:tab w:val="right" w:pos="2155"/>
        </w:tabs>
        <w:spacing w:after="80"/>
        <w:ind w:left="680"/>
        <w:rPr>
          <w:u w:val="single"/>
        </w:rPr>
      </w:pPr>
      <w:r>
        <w:rPr>
          <w:u w:val="single"/>
        </w:rPr>
        <w:tab/>
      </w:r>
    </w:p>
  </w:footnote>
  <w:footnote w:type="continuationSeparator" w:id="0">
    <w:p w14:paraId="5A1E7097" w14:textId="77777777" w:rsidR="00F5743B" w:rsidRPr="00FC68B7" w:rsidRDefault="00F5743B" w:rsidP="00FC68B7">
      <w:pPr>
        <w:tabs>
          <w:tab w:val="left" w:pos="2155"/>
        </w:tabs>
        <w:spacing w:after="80"/>
        <w:ind w:left="680"/>
        <w:rPr>
          <w:u w:val="single"/>
        </w:rPr>
      </w:pPr>
      <w:r>
        <w:rPr>
          <w:u w:val="single"/>
        </w:rPr>
        <w:tab/>
      </w:r>
    </w:p>
  </w:footnote>
  <w:footnote w:type="continuationNotice" w:id="1">
    <w:p w14:paraId="05274711" w14:textId="77777777" w:rsidR="00F5743B" w:rsidRDefault="00F57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788EA481" w:rsidR="004F6DF4" w:rsidRPr="00B5392B" w:rsidRDefault="004F6DF4">
    <w:pPr>
      <w:pStyle w:val="Header"/>
      <w:rPr>
        <w:lang w:val="nl-NL"/>
      </w:rPr>
    </w:pPr>
    <w:r w:rsidRPr="00340E2C">
      <w:rPr>
        <w:lang w:val="nl-NL"/>
      </w:rPr>
      <w:t>UN/SCE</w:t>
    </w:r>
    <w:r w:rsidR="0060673A" w:rsidRPr="00340E2C">
      <w:rPr>
        <w:lang w:val="nl-NL"/>
      </w:rPr>
      <w:t>TDG</w:t>
    </w:r>
    <w:r w:rsidRPr="00340E2C">
      <w:rPr>
        <w:lang w:val="nl-NL"/>
      </w:rPr>
      <w:t>/</w:t>
    </w:r>
    <w:r w:rsidR="0060673A" w:rsidRPr="00340E2C">
      <w:rPr>
        <w:lang w:val="nl-NL"/>
      </w:rPr>
      <w:t>5</w:t>
    </w:r>
    <w:r w:rsidR="00B9443C">
      <w:rPr>
        <w:lang w:val="nl-NL"/>
      </w:rPr>
      <w:t>6</w:t>
    </w:r>
    <w:r w:rsidRPr="00340E2C">
      <w:rPr>
        <w:lang w:val="nl-NL"/>
      </w:rPr>
      <w:t>/INF.</w:t>
    </w:r>
    <w:r w:rsidR="00792454">
      <w:rPr>
        <w:lang w:val="nl-NL"/>
      </w:rPr>
      <w:t>6</w:t>
    </w:r>
  </w:p>
  <w:p w14:paraId="48B1EBBE" w14:textId="77777777" w:rsidR="00A467A3" w:rsidRDefault="00A467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538AF5AB" w:rsidR="004F6DF4" w:rsidRPr="000216CC" w:rsidRDefault="004F6DF4" w:rsidP="000216CC">
    <w:pPr>
      <w:pStyle w:val="Header"/>
      <w:jc w:val="right"/>
    </w:pPr>
    <w:r w:rsidRPr="0059131E">
      <w:t>UN/SCETDG/5</w:t>
    </w:r>
    <w:r w:rsidR="00B9443C">
      <w:t>6</w:t>
    </w:r>
    <w:r w:rsidRPr="0059131E">
      <w:t>/INF.</w:t>
    </w:r>
    <w:r w:rsidR="00792454">
      <w:t>6</w:t>
    </w:r>
  </w:p>
  <w:p w14:paraId="70B52EB0" w14:textId="77777777" w:rsidR="00A467A3" w:rsidRDefault="00A467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0663B3E"/>
    <w:multiLevelType w:val="hybridMultilevel"/>
    <w:tmpl w:val="BB86A612"/>
    <w:lvl w:ilvl="0" w:tplc="B4C453C8">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9E34DF2"/>
    <w:multiLevelType w:val="multilevel"/>
    <w:tmpl w:val="E20EE906"/>
    <w:lvl w:ilvl="0">
      <w:start w:val="5"/>
      <w:numFmt w:val="decimal"/>
      <w:lvlText w:val="%1"/>
      <w:lvlJc w:val="left"/>
      <w:pPr>
        <w:ind w:left="2550" w:hanging="1419"/>
      </w:pPr>
      <w:rPr>
        <w:rFonts w:hint="default"/>
        <w:lang w:val="en-US" w:eastAsia="en-US" w:bidi="en-US"/>
      </w:rPr>
    </w:lvl>
    <w:lvl w:ilvl="1">
      <w:start w:val="4"/>
      <w:numFmt w:val="decimal"/>
      <w:lvlText w:val="%1.%2"/>
      <w:lvlJc w:val="left"/>
      <w:pPr>
        <w:ind w:left="2550" w:hanging="1419"/>
      </w:pPr>
      <w:rPr>
        <w:rFonts w:hint="default"/>
        <w:lang w:val="en-US" w:eastAsia="en-US" w:bidi="en-US"/>
      </w:rPr>
    </w:lvl>
    <w:lvl w:ilvl="2">
      <w:start w:val="1"/>
      <w:numFmt w:val="decimal"/>
      <w:lvlText w:val="%1.%2.%3"/>
      <w:lvlJc w:val="left"/>
      <w:pPr>
        <w:ind w:left="2550" w:hanging="1419"/>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1133" w:hanging="1419"/>
      </w:pPr>
      <w:rPr>
        <w:rFonts w:hint="default"/>
        <w:w w:val="100"/>
        <w:lang w:val="en-US" w:eastAsia="en-US" w:bidi="en-US"/>
      </w:rPr>
    </w:lvl>
    <w:lvl w:ilvl="4">
      <w:start w:val="1"/>
      <w:numFmt w:val="decimal"/>
      <w:lvlText w:val="%1.%2.%3.%4.%5"/>
      <w:lvlJc w:val="left"/>
      <w:pPr>
        <w:ind w:left="3120" w:hanging="1419"/>
      </w:pPr>
      <w:rPr>
        <w:rFonts w:ascii="Times New Roman" w:eastAsia="Times New Roman" w:hAnsi="Times New Roman" w:cs="Times New Roman" w:hint="default"/>
        <w:w w:val="100"/>
        <w:sz w:val="22"/>
        <w:szCs w:val="22"/>
        <w:lang w:val="en-US" w:eastAsia="en-US" w:bidi="en-US"/>
      </w:rPr>
    </w:lvl>
    <w:lvl w:ilvl="5">
      <w:start w:val="1"/>
      <w:numFmt w:val="lowerLetter"/>
      <w:lvlText w:val="(%6)"/>
      <w:lvlJc w:val="left"/>
      <w:pPr>
        <w:ind w:left="3971" w:hanging="1419"/>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7513" w:hanging="1419"/>
      </w:pPr>
      <w:rPr>
        <w:rFonts w:hint="default"/>
        <w:lang w:val="en-US" w:eastAsia="en-US" w:bidi="en-US"/>
      </w:rPr>
    </w:lvl>
    <w:lvl w:ilvl="7">
      <w:numFmt w:val="bullet"/>
      <w:lvlText w:val="•"/>
      <w:lvlJc w:val="left"/>
      <w:pPr>
        <w:ind w:left="8611" w:hanging="1419"/>
      </w:pPr>
      <w:rPr>
        <w:rFonts w:hint="default"/>
        <w:lang w:val="en-US" w:eastAsia="en-US" w:bidi="en-US"/>
      </w:rPr>
    </w:lvl>
    <w:lvl w:ilvl="8">
      <w:numFmt w:val="bullet"/>
      <w:lvlText w:val="•"/>
      <w:lvlJc w:val="left"/>
      <w:pPr>
        <w:ind w:left="9709" w:hanging="1419"/>
      </w:pPr>
      <w:rPr>
        <w:rFonts w:hint="default"/>
        <w:lang w:val="en-US" w:eastAsia="en-US" w:bidi="en-US"/>
      </w:rPr>
    </w:lvl>
  </w:abstractNum>
  <w:abstractNum w:abstractNumId="16" w15:restartNumberingAfterBreak="0">
    <w:nsid w:val="55125014"/>
    <w:multiLevelType w:val="multilevel"/>
    <w:tmpl w:val="E20EE906"/>
    <w:lvl w:ilvl="0">
      <w:start w:val="5"/>
      <w:numFmt w:val="decimal"/>
      <w:lvlText w:val="%1"/>
      <w:lvlJc w:val="left"/>
      <w:pPr>
        <w:ind w:left="2550" w:hanging="1419"/>
      </w:pPr>
      <w:rPr>
        <w:rFonts w:hint="default"/>
        <w:lang w:val="en-US" w:eastAsia="en-US" w:bidi="en-US"/>
      </w:rPr>
    </w:lvl>
    <w:lvl w:ilvl="1">
      <w:start w:val="4"/>
      <w:numFmt w:val="decimal"/>
      <w:lvlText w:val="%1.%2"/>
      <w:lvlJc w:val="left"/>
      <w:pPr>
        <w:ind w:left="2550" w:hanging="1419"/>
      </w:pPr>
      <w:rPr>
        <w:rFonts w:hint="default"/>
        <w:lang w:val="en-US" w:eastAsia="en-US" w:bidi="en-US"/>
      </w:rPr>
    </w:lvl>
    <w:lvl w:ilvl="2">
      <w:start w:val="1"/>
      <w:numFmt w:val="decimal"/>
      <w:lvlText w:val="%1.%2.%3"/>
      <w:lvlJc w:val="left"/>
      <w:pPr>
        <w:ind w:left="2550" w:hanging="1419"/>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1133" w:hanging="1419"/>
      </w:pPr>
      <w:rPr>
        <w:rFonts w:hint="default"/>
        <w:w w:val="100"/>
        <w:lang w:val="en-US" w:eastAsia="en-US" w:bidi="en-US"/>
      </w:rPr>
    </w:lvl>
    <w:lvl w:ilvl="4">
      <w:start w:val="1"/>
      <w:numFmt w:val="decimal"/>
      <w:lvlText w:val="%1.%2.%3.%4.%5"/>
      <w:lvlJc w:val="left"/>
      <w:pPr>
        <w:ind w:left="3120" w:hanging="1419"/>
      </w:pPr>
      <w:rPr>
        <w:rFonts w:ascii="Times New Roman" w:eastAsia="Times New Roman" w:hAnsi="Times New Roman" w:cs="Times New Roman" w:hint="default"/>
        <w:w w:val="100"/>
        <w:sz w:val="22"/>
        <w:szCs w:val="22"/>
        <w:lang w:val="en-US" w:eastAsia="en-US" w:bidi="en-US"/>
      </w:rPr>
    </w:lvl>
    <w:lvl w:ilvl="5">
      <w:start w:val="1"/>
      <w:numFmt w:val="lowerLetter"/>
      <w:lvlText w:val="(%6)"/>
      <w:lvlJc w:val="left"/>
      <w:pPr>
        <w:ind w:left="3117" w:hanging="1419"/>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7513" w:hanging="1419"/>
      </w:pPr>
      <w:rPr>
        <w:rFonts w:hint="default"/>
        <w:lang w:val="en-US" w:eastAsia="en-US" w:bidi="en-US"/>
      </w:rPr>
    </w:lvl>
    <w:lvl w:ilvl="7">
      <w:numFmt w:val="bullet"/>
      <w:lvlText w:val="•"/>
      <w:lvlJc w:val="left"/>
      <w:pPr>
        <w:ind w:left="8611" w:hanging="1419"/>
      </w:pPr>
      <w:rPr>
        <w:rFonts w:hint="default"/>
        <w:lang w:val="en-US" w:eastAsia="en-US" w:bidi="en-US"/>
      </w:rPr>
    </w:lvl>
    <w:lvl w:ilvl="8">
      <w:numFmt w:val="bullet"/>
      <w:lvlText w:val="•"/>
      <w:lvlJc w:val="left"/>
      <w:pPr>
        <w:ind w:left="9709" w:hanging="1419"/>
      </w:pPr>
      <w:rPr>
        <w:rFonts w:hint="default"/>
        <w:lang w:val="en-US" w:eastAsia="en-US" w:bidi="en-US"/>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709FE"/>
    <w:multiLevelType w:val="multilevel"/>
    <w:tmpl w:val="E20EE906"/>
    <w:lvl w:ilvl="0">
      <w:start w:val="5"/>
      <w:numFmt w:val="decimal"/>
      <w:lvlText w:val="%1"/>
      <w:lvlJc w:val="left"/>
      <w:pPr>
        <w:ind w:left="2550" w:hanging="1419"/>
      </w:pPr>
      <w:rPr>
        <w:rFonts w:hint="default"/>
        <w:lang w:val="en-US" w:eastAsia="en-US" w:bidi="en-US"/>
      </w:rPr>
    </w:lvl>
    <w:lvl w:ilvl="1">
      <w:start w:val="4"/>
      <w:numFmt w:val="decimal"/>
      <w:lvlText w:val="%1.%2"/>
      <w:lvlJc w:val="left"/>
      <w:pPr>
        <w:ind w:left="2550" w:hanging="1419"/>
      </w:pPr>
      <w:rPr>
        <w:rFonts w:hint="default"/>
        <w:lang w:val="en-US" w:eastAsia="en-US" w:bidi="en-US"/>
      </w:rPr>
    </w:lvl>
    <w:lvl w:ilvl="2">
      <w:start w:val="1"/>
      <w:numFmt w:val="decimal"/>
      <w:lvlText w:val="%1.%2.%3"/>
      <w:lvlJc w:val="left"/>
      <w:pPr>
        <w:ind w:left="2550" w:hanging="1419"/>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1133" w:hanging="1419"/>
      </w:pPr>
      <w:rPr>
        <w:rFonts w:hint="default"/>
        <w:w w:val="100"/>
        <w:lang w:val="en-US" w:eastAsia="en-US" w:bidi="en-US"/>
      </w:rPr>
    </w:lvl>
    <w:lvl w:ilvl="4">
      <w:start w:val="1"/>
      <w:numFmt w:val="decimal"/>
      <w:lvlText w:val="%1.%2.%3.%4.%5"/>
      <w:lvlJc w:val="left"/>
      <w:pPr>
        <w:ind w:left="3120" w:hanging="1419"/>
      </w:pPr>
      <w:rPr>
        <w:rFonts w:ascii="Times New Roman" w:eastAsia="Times New Roman" w:hAnsi="Times New Roman" w:cs="Times New Roman" w:hint="default"/>
        <w:w w:val="100"/>
        <w:sz w:val="22"/>
        <w:szCs w:val="22"/>
        <w:lang w:val="en-US" w:eastAsia="en-US" w:bidi="en-US"/>
      </w:rPr>
    </w:lvl>
    <w:lvl w:ilvl="5">
      <w:start w:val="1"/>
      <w:numFmt w:val="lowerLetter"/>
      <w:lvlText w:val="(%6)"/>
      <w:lvlJc w:val="left"/>
      <w:pPr>
        <w:ind w:left="3117" w:hanging="1419"/>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7513" w:hanging="1419"/>
      </w:pPr>
      <w:rPr>
        <w:rFonts w:hint="default"/>
        <w:lang w:val="en-US" w:eastAsia="en-US" w:bidi="en-US"/>
      </w:rPr>
    </w:lvl>
    <w:lvl w:ilvl="7">
      <w:numFmt w:val="bullet"/>
      <w:lvlText w:val="•"/>
      <w:lvlJc w:val="left"/>
      <w:pPr>
        <w:ind w:left="8611" w:hanging="1419"/>
      </w:pPr>
      <w:rPr>
        <w:rFonts w:hint="default"/>
        <w:lang w:val="en-US" w:eastAsia="en-US" w:bidi="en-US"/>
      </w:rPr>
    </w:lvl>
    <w:lvl w:ilvl="8">
      <w:numFmt w:val="bullet"/>
      <w:lvlText w:val="•"/>
      <w:lvlJc w:val="left"/>
      <w:pPr>
        <w:ind w:left="9709" w:hanging="1419"/>
      </w:pPr>
      <w:rPr>
        <w:rFonts w:hint="default"/>
        <w:lang w:val="en-US" w:eastAsia="en-US" w:bidi="en-US"/>
      </w:rPr>
    </w:lvl>
  </w:abstractNum>
  <w:abstractNum w:abstractNumId="22"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7A6A0F40"/>
    <w:multiLevelType w:val="multilevel"/>
    <w:tmpl w:val="653414AC"/>
    <w:lvl w:ilvl="0">
      <w:start w:val="5"/>
      <w:numFmt w:val="decimal"/>
      <w:lvlText w:val="%1"/>
      <w:lvlJc w:val="left"/>
      <w:pPr>
        <w:ind w:left="810" w:hanging="810"/>
      </w:pPr>
      <w:rPr>
        <w:rFonts w:hint="default"/>
        <w:sz w:val="22"/>
      </w:rPr>
    </w:lvl>
    <w:lvl w:ilvl="1">
      <w:start w:val="4"/>
      <w:numFmt w:val="decimal"/>
      <w:lvlText w:val="%1.%2"/>
      <w:lvlJc w:val="left"/>
      <w:pPr>
        <w:ind w:left="1128" w:hanging="810"/>
      </w:pPr>
      <w:rPr>
        <w:rFonts w:hint="default"/>
        <w:sz w:val="22"/>
      </w:rPr>
    </w:lvl>
    <w:lvl w:ilvl="2">
      <w:start w:val="1"/>
      <w:numFmt w:val="decimal"/>
      <w:lvlText w:val="%1.%2.%3"/>
      <w:lvlJc w:val="left"/>
      <w:pPr>
        <w:ind w:left="1446" w:hanging="810"/>
      </w:pPr>
      <w:rPr>
        <w:rFonts w:hint="default"/>
        <w:sz w:val="22"/>
      </w:rPr>
    </w:lvl>
    <w:lvl w:ilvl="3">
      <w:start w:val="4"/>
      <w:numFmt w:val="decimal"/>
      <w:lvlText w:val="%1.%2.%3.%4"/>
      <w:lvlJc w:val="left"/>
      <w:pPr>
        <w:ind w:left="1764" w:hanging="810"/>
      </w:pPr>
      <w:rPr>
        <w:rFonts w:hint="default"/>
        <w:sz w:val="22"/>
      </w:rPr>
    </w:lvl>
    <w:lvl w:ilvl="4">
      <w:start w:val="3"/>
      <w:numFmt w:val="decimal"/>
      <w:lvlText w:val="%1.%2.%3.%4.%5"/>
      <w:lvlJc w:val="left"/>
      <w:pPr>
        <w:ind w:left="2082" w:hanging="810"/>
      </w:pPr>
      <w:rPr>
        <w:rFonts w:hint="default"/>
        <w:sz w:val="22"/>
      </w:rPr>
    </w:lvl>
    <w:lvl w:ilvl="5">
      <w:start w:val="1"/>
      <w:numFmt w:val="decimal"/>
      <w:lvlText w:val="%1.%2.%3.%4.%5.%6"/>
      <w:lvlJc w:val="left"/>
      <w:pPr>
        <w:ind w:left="2670" w:hanging="1080"/>
      </w:pPr>
      <w:rPr>
        <w:rFonts w:hint="default"/>
        <w:sz w:val="22"/>
      </w:rPr>
    </w:lvl>
    <w:lvl w:ilvl="6">
      <w:start w:val="1"/>
      <w:numFmt w:val="decimal"/>
      <w:lvlText w:val="%1.%2.%3.%4.%5.%6.%7"/>
      <w:lvlJc w:val="left"/>
      <w:pPr>
        <w:ind w:left="2988" w:hanging="1080"/>
      </w:pPr>
      <w:rPr>
        <w:rFonts w:hint="default"/>
        <w:sz w:val="22"/>
      </w:rPr>
    </w:lvl>
    <w:lvl w:ilvl="7">
      <w:start w:val="1"/>
      <w:numFmt w:val="decimal"/>
      <w:lvlText w:val="%1.%2.%3.%4.%5.%6.%7.%8"/>
      <w:lvlJc w:val="left"/>
      <w:pPr>
        <w:ind w:left="3666" w:hanging="1440"/>
      </w:pPr>
      <w:rPr>
        <w:rFonts w:hint="default"/>
        <w:sz w:val="22"/>
      </w:rPr>
    </w:lvl>
    <w:lvl w:ilvl="8">
      <w:start w:val="1"/>
      <w:numFmt w:val="decimal"/>
      <w:lvlText w:val="%1.%2.%3.%4.%5.%6.%7.%8.%9"/>
      <w:lvlJc w:val="left"/>
      <w:pPr>
        <w:ind w:left="3984" w:hanging="1440"/>
      </w:pPr>
      <w:rPr>
        <w:rFonts w:hint="default"/>
        <w:sz w:val="22"/>
      </w:rPr>
    </w:lvl>
  </w:abstractNum>
  <w:abstractNum w:abstractNumId="24" w15:restartNumberingAfterBreak="0">
    <w:nsid w:val="7E61132E"/>
    <w:multiLevelType w:val="multilevel"/>
    <w:tmpl w:val="E76000A8"/>
    <w:lvl w:ilvl="0">
      <w:start w:val="5"/>
      <w:numFmt w:val="decimal"/>
      <w:lvlText w:val="%1"/>
      <w:lvlJc w:val="left"/>
      <w:pPr>
        <w:ind w:left="810" w:hanging="810"/>
      </w:pPr>
      <w:rPr>
        <w:rFonts w:hint="default"/>
        <w:sz w:val="22"/>
      </w:rPr>
    </w:lvl>
    <w:lvl w:ilvl="1">
      <w:start w:val="4"/>
      <w:numFmt w:val="decimal"/>
      <w:lvlText w:val="%1.%2"/>
      <w:lvlJc w:val="left"/>
      <w:pPr>
        <w:ind w:left="1235" w:hanging="810"/>
      </w:pPr>
      <w:rPr>
        <w:rFonts w:hint="default"/>
        <w:sz w:val="22"/>
      </w:rPr>
    </w:lvl>
    <w:lvl w:ilvl="2">
      <w:start w:val="1"/>
      <w:numFmt w:val="decimal"/>
      <w:lvlText w:val="%1.%2.%3"/>
      <w:lvlJc w:val="left"/>
      <w:pPr>
        <w:ind w:left="1660" w:hanging="810"/>
      </w:pPr>
      <w:rPr>
        <w:rFonts w:hint="default"/>
        <w:sz w:val="22"/>
      </w:rPr>
    </w:lvl>
    <w:lvl w:ilvl="3">
      <w:start w:val="4"/>
      <w:numFmt w:val="decimal"/>
      <w:lvlText w:val="%1.%2.%3.%4"/>
      <w:lvlJc w:val="left"/>
      <w:pPr>
        <w:ind w:left="2085" w:hanging="810"/>
      </w:pPr>
      <w:rPr>
        <w:rFonts w:hint="default"/>
        <w:sz w:val="22"/>
      </w:rPr>
    </w:lvl>
    <w:lvl w:ilvl="4">
      <w:start w:val="3"/>
      <w:numFmt w:val="decimal"/>
      <w:lvlText w:val="%1.%2.%3.%4.%5"/>
      <w:lvlJc w:val="left"/>
      <w:pPr>
        <w:ind w:left="2510" w:hanging="810"/>
      </w:pPr>
      <w:rPr>
        <w:rFonts w:hint="default"/>
        <w:sz w:val="22"/>
      </w:rPr>
    </w:lvl>
    <w:lvl w:ilvl="5">
      <w:start w:val="1"/>
      <w:numFmt w:val="decimal"/>
      <w:lvlText w:val="%1.%2.%3.%4.%5.%6"/>
      <w:lvlJc w:val="left"/>
      <w:pPr>
        <w:ind w:left="3205" w:hanging="1080"/>
      </w:pPr>
      <w:rPr>
        <w:rFonts w:hint="default"/>
        <w:sz w:val="22"/>
      </w:rPr>
    </w:lvl>
    <w:lvl w:ilvl="6">
      <w:start w:val="1"/>
      <w:numFmt w:val="decimal"/>
      <w:lvlText w:val="%1.%2.%3.%4.%5.%6.%7"/>
      <w:lvlJc w:val="left"/>
      <w:pPr>
        <w:ind w:left="3630" w:hanging="1080"/>
      </w:pPr>
      <w:rPr>
        <w:rFonts w:hint="default"/>
        <w:sz w:val="22"/>
      </w:rPr>
    </w:lvl>
    <w:lvl w:ilvl="7">
      <w:start w:val="1"/>
      <w:numFmt w:val="decimal"/>
      <w:lvlText w:val="%1.%2.%3.%4.%5.%6.%7.%8"/>
      <w:lvlJc w:val="left"/>
      <w:pPr>
        <w:ind w:left="4415" w:hanging="1440"/>
      </w:pPr>
      <w:rPr>
        <w:rFonts w:hint="default"/>
        <w:sz w:val="22"/>
      </w:rPr>
    </w:lvl>
    <w:lvl w:ilvl="8">
      <w:start w:val="1"/>
      <w:numFmt w:val="decimal"/>
      <w:lvlText w:val="%1.%2.%3.%4.%5.%6.%7.%8.%9"/>
      <w:lvlJc w:val="left"/>
      <w:pPr>
        <w:ind w:left="4840" w:hanging="1440"/>
      </w:pPr>
      <w:rPr>
        <w:rFonts w:hint="default"/>
        <w:sz w:val="22"/>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1"/>
  </w:num>
  <w:num w:numId="14">
    <w:abstractNumId w:val="18"/>
  </w:num>
  <w:num w:numId="15">
    <w:abstractNumId w:val="20"/>
  </w:num>
  <w:num w:numId="16">
    <w:abstractNumId w:val="14"/>
  </w:num>
  <w:num w:numId="17">
    <w:abstractNumId w:val="10"/>
  </w:num>
  <w:num w:numId="18">
    <w:abstractNumId w:val="22"/>
  </w:num>
  <w:num w:numId="19">
    <w:abstractNumId w:val="19"/>
  </w:num>
  <w:num w:numId="20">
    <w:abstractNumId w:val="12"/>
  </w:num>
  <w:num w:numId="21">
    <w:abstractNumId w:val="16"/>
  </w:num>
  <w:num w:numId="22">
    <w:abstractNumId w:val="24"/>
  </w:num>
  <w:num w:numId="23">
    <w:abstractNumId w:val="23"/>
  </w:num>
  <w:num w:numId="24">
    <w:abstractNumId w:val="21"/>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1046"/>
    <w:rsid w:val="00091419"/>
    <w:rsid w:val="00091CB3"/>
    <w:rsid w:val="000931C0"/>
    <w:rsid w:val="000A2236"/>
    <w:rsid w:val="000A35F2"/>
    <w:rsid w:val="000A3A48"/>
    <w:rsid w:val="000A4C38"/>
    <w:rsid w:val="000A4F3B"/>
    <w:rsid w:val="000B175B"/>
    <w:rsid w:val="000B32C9"/>
    <w:rsid w:val="000B3A0F"/>
    <w:rsid w:val="000B4919"/>
    <w:rsid w:val="000B6AD1"/>
    <w:rsid w:val="000B7AF2"/>
    <w:rsid w:val="000C005F"/>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518B1"/>
    <w:rsid w:val="001633FB"/>
    <w:rsid w:val="00163A1B"/>
    <w:rsid w:val="00165735"/>
    <w:rsid w:val="00167786"/>
    <w:rsid w:val="00180633"/>
    <w:rsid w:val="00181019"/>
    <w:rsid w:val="0018168F"/>
    <w:rsid w:val="001835BF"/>
    <w:rsid w:val="00184B86"/>
    <w:rsid w:val="00195229"/>
    <w:rsid w:val="001973E6"/>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E797C"/>
    <w:rsid w:val="002062DE"/>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00C6"/>
    <w:rsid w:val="00261B71"/>
    <w:rsid w:val="002621F5"/>
    <w:rsid w:val="002622A9"/>
    <w:rsid w:val="002708B5"/>
    <w:rsid w:val="002725CA"/>
    <w:rsid w:val="00273A92"/>
    <w:rsid w:val="00275C41"/>
    <w:rsid w:val="00277896"/>
    <w:rsid w:val="00280EB7"/>
    <w:rsid w:val="002905C1"/>
    <w:rsid w:val="00295C28"/>
    <w:rsid w:val="002976CF"/>
    <w:rsid w:val="002A0BD2"/>
    <w:rsid w:val="002A5B17"/>
    <w:rsid w:val="002B067A"/>
    <w:rsid w:val="002B1514"/>
    <w:rsid w:val="002B1CDA"/>
    <w:rsid w:val="002C11CD"/>
    <w:rsid w:val="002C7F25"/>
    <w:rsid w:val="002D44DB"/>
    <w:rsid w:val="002D5A85"/>
    <w:rsid w:val="002D5C7D"/>
    <w:rsid w:val="002E35BB"/>
    <w:rsid w:val="002F68FD"/>
    <w:rsid w:val="003107FA"/>
    <w:rsid w:val="0031332D"/>
    <w:rsid w:val="00313AC2"/>
    <w:rsid w:val="00315D73"/>
    <w:rsid w:val="00316FF9"/>
    <w:rsid w:val="00321716"/>
    <w:rsid w:val="003229D8"/>
    <w:rsid w:val="003244D9"/>
    <w:rsid w:val="00327D0A"/>
    <w:rsid w:val="00340E2C"/>
    <w:rsid w:val="003517C3"/>
    <w:rsid w:val="00355063"/>
    <w:rsid w:val="00355502"/>
    <w:rsid w:val="00356BC7"/>
    <w:rsid w:val="00357A20"/>
    <w:rsid w:val="00372F06"/>
    <w:rsid w:val="00391647"/>
    <w:rsid w:val="0039260F"/>
    <w:rsid w:val="0039277A"/>
    <w:rsid w:val="00393B99"/>
    <w:rsid w:val="00396F6A"/>
    <w:rsid w:val="003972E0"/>
    <w:rsid w:val="003A1EC2"/>
    <w:rsid w:val="003A52D7"/>
    <w:rsid w:val="003A5A16"/>
    <w:rsid w:val="003B0C98"/>
    <w:rsid w:val="003C0657"/>
    <w:rsid w:val="003C18C9"/>
    <w:rsid w:val="003C2CC4"/>
    <w:rsid w:val="003C655D"/>
    <w:rsid w:val="003D4B23"/>
    <w:rsid w:val="003F23A4"/>
    <w:rsid w:val="003F54D8"/>
    <w:rsid w:val="003F5B52"/>
    <w:rsid w:val="00400408"/>
    <w:rsid w:val="00403EC6"/>
    <w:rsid w:val="00406CD4"/>
    <w:rsid w:val="004108CE"/>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B25F8"/>
    <w:rsid w:val="004B2C9D"/>
    <w:rsid w:val="004B5939"/>
    <w:rsid w:val="004B73D6"/>
    <w:rsid w:val="004C39D0"/>
    <w:rsid w:val="004C4F1A"/>
    <w:rsid w:val="004C6D6D"/>
    <w:rsid w:val="004E0C5D"/>
    <w:rsid w:val="004F4240"/>
    <w:rsid w:val="004F6DF4"/>
    <w:rsid w:val="004F77CD"/>
    <w:rsid w:val="0050042A"/>
    <w:rsid w:val="00504855"/>
    <w:rsid w:val="00507CF1"/>
    <w:rsid w:val="00522177"/>
    <w:rsid w:val="00526AFD"/>
    <w:rsid w:val="00527910"/>
    <w:rsid w:val="005420F2"/>
    <w:rsid w:val="00542505"/>
    <w:rsid w:val="005475D4"/>
    <w:rsid w:val="00552CEE"/>
    <w:rsid w:val="00555CDB"/>
    <w:rsid w:val="00561B6D"/>
    <w:rsid w:val="00562D45"/>
    <w:rsid w:val="0056615B"/>
    <w:rsid w:val="00567DFB"/>
    <w:rsid w:val="00571DAA"/>
    <w:rsid w:val="00572049"/>
    <w:rsid w:val="0058129D"/>
    <w:rsid w:val="00590144"/>
    <w:rsid w:val="0059131E"/>
    <w:rsid w:val="0059682C"/>
    <w:rsid w:val="005A3F48"/>
    <w:rsid w:val="005A64DD"/>
    <w:rsid w:val="005B09F0"/>
    <w:rsid w:val="005B0CED"/>
    <w:rsid w:val="005B3DB3"/>
    <w:rsid w:val="005B528A"/>
    <w:rsid w:val="005B6088"/>
    <w:rsid w:val="005C3490"/>
    <w:rsid w:val="005C4CB5"/>
    <w:rsid w:val="005D0C6C"/>
    <w:rsid w:val="005D1BB4"/>
    <w:rsid w:val="005E010D"/>
    <w:rsid w:val="005E28E0"/>
    <w:rsid w:val="005E3563"/>
    <w:rsid w:val="005E3AAD"/>
    <w:rsid w:val="005E5946"/>
    <w:rsid w:val="005F3A39"/>
    <w:rsid w:val="005F5C2F"/>
    <w:rsid w:val="005F7BB1"/>
    <w:rsid w:val="00602490"/>
    <w:rsid w:val="00603E3C"/>
    <w:rsid w:val="0060673A"/>
    <w:rsid w:val="00607959"/>
    <w:rsid w:val="00611FC4"/>
    <w:rsid w:val="00612812"/>
    <w:rsid w:val="006176FB"/>
    <w:rsid w:val="006216A1"/>
    <w:rsid w:val="0062499D"/>
    <w:rsid w:val="00626B06"/>
    <w:rsid w:val="006279AC"/>
    <w:rsid w:val="00632DF4"/>
    <w:rsid w:val="0063419C"/>
    <w:rsid w:val="00635381"/>
    <w:rsid w:val="00636986"/>
    <w:rsid w:val="00637542"/>
    <w:rsid w:val="00640B26"/>
    <w:rsid w:val="00641194"/>
    <w:rsid w:val="00645A0B"/>
    <w:rsid w:val="006500BA"/>
    <w:rsid w:val="006506DB"/>
    <w:rsid w:val="00662121"/>
    <w:rsid w:val="00662E09"/>
    <w:rsid w:val="00670CF0"/>
    <w:rsid w:val="00675F87"/>
    <w:rsid w:val="006870AE"/>
    <w:rsid w:val="00690CD6"/>
    <w:rsid w:val="006A3932"/>
    <w:rsid w:val="006A53DC"/>
    <w:rsid w:val="006A63E3"/>
    <w:rsid w:val="006A7392"/>
    <w:rsid w:val="006B1148"/>
    <w:rsid w:val="006B1C55"/>
    <w:rsid w:val="006C0D34"/>
    <w:rsid w:val="006C251B"/>
    <w:rsid w:val="006C2F7E"/>
    <w:rsid w:val="006D3560"/>
    <w:rsid w:val="006E3B65"/>
    <w:rsid w:val="006E4E78"/>
    <w:rsid w:val="006E564B"/>
    <w:rsid w:val="006F1888"/>
    <w:rsid w:val="007025C0"/>
    <w:rsid w:val="00707F04"/>
    <w:rsid w:val="00711637"/>
    <w:rsid w:val="0071432E"/>
    <w:rsid w:val="00714F4F"/>
    <w:rsid w:val="0072632A"/>
    <w:rsid w:val="00734F20"/>
    <w:rsid w:val="00736E6A"/>
    <w:rsid w:val="00741F59"/>
    <w:rsid w:val="0074697D"/>
    <w:rsid w:val="007535A2"/>
    <w:rsid w:val="00755EBE"/>
    <w:rsid w:val="00761619"/>
    <w:rsid w:val="0076177C"/>
    <w:rsid w:val="00763C33"/>
    <w:rsid w:val="00766322"/>
    <w:rsid w:val="00770621"/>
    <w:rsid w:val="00770BCD"/>
    <w:rsid w:val="00771904"/>
    <w:rsid w:val="00773353"/>
    <w:rsid w:val="00774129"/>
    <w:rsid w:val="00774E8F"/>
    <w:rsid w:val="00774EAA"/>
    <w:rsid w:val="0077553A"/>
    <w:rsid w:val="0078123B"/>
    <w:rsid w:val="00781B57"/>
    <w:rsid w:val="00786434"/>
    <w:rsid w:val="00790791"/>
    <w:rsid w:val="00792454"/>
    <w:rsid w:val="00796F36"/>
    <w:rsid w:val="007A2CDB"/>
    <w:rsid w:val="007A334C"/>
    <w:rsid w:val="007A62EC"/>
    <w:rsid w:val="007B1A7E"/>
    <w:rsid w:val="007B2BA8"/>
    <w:rsid w:val="007B4133"/>
    <w:rsid w:val="007B6BA5"/>
    <w:rsid w:val="007C2C0D"/>
    <w:rsid w:val="007C3162"/>
    <w:rsid w:val="007C3390"/>
    <w:rsid w:val="007C4F4B"/>
    <w:rsid w:val="007C644D"/>
    <w:rsid w:val="007D1406"/>
    <w:rsid w:val="007D2AC1"/>
    <w:rsid w:val="007D384C"/>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55C"/>
    <w:rsid w:val="0083069A"/>
    <w:rsid w:val="00832A1D"/>
    <w:rsid w:val="00834479"/>
    <w:rsid w:val="00843AB2"/>
    <w:rsid w:val="00846809"/>
    <w:rsid w:val="0085041C"/>
    <w:rsid w:val="00853CE1"/>
    <w:rsid w:val="00857789"/>
    <w:rsid w:val="0086107D"/>
    <w:rsid w:val="00864251"/>
    <w:rsid w:val="00871FD5"/>
    <w:rsid w:val="00881213"/>
    <w:rsid w:val="008830CC"/>
    <w:rsid w:val="008979B1"/>
    <w:rsid w:val="008A0B75"/>
    <w:rsid w:val="008A1542"/>
    <w:rsid w:val="008A490A"/>
    <w:rsid w:val="008A6B25"/>
    <w:rsid w:val="008A6C4F"/>
    <w:rsid w:val="008A7679"/>
    <w:rsid w:val="008A7AB3"/>
    <w:rsid w:val="008A7E0F"/>
    <w:rsid w:val="008B65FB"/>
    <w:rsid w:val="008C3B3C"/>
    <w:rsid w:val="008C4283"/>
    <w:rsid w:val="008C74C3"/>
    <w:rsid w:val="008C7BF7"/>
    <w:rsid w:val="008D134F"/>
    <w:rsid w:val="008D3C75"/>
    <w:rsid w:val="008D6942"/>
    <w:rsid w:val="008E0E46"/>
    <w:rsid w:val="008E1DAE"/>
    <w:rsid w:val="008E295A"/>
    <w:rsid w:val="008F2D9A"/>
    <w:rsid w:val="008F44B8"/>
    <w:rsid w:val="008F504A"/>
    <w:rsid w:val="008F5C0B"/>
    <w:rsid w:val="0090092A"/>
    <w:rsid w:val="009045EE"/>
    <w:rsid w:val="00904EBC"/>
    <w:rsid w:val="00905A44"/>
    <w:rsid w:val="00906C3D"/>
    <w:rsid w:val="00923019"/>
    <w:rsid w:val="00924B63"/>
    <w:rsid w:val="009363B6"/>
    <w:rsid w:val="00940F46"/>
    <w:rsid w:val="00941ECC"/>
    <w:rsid w:val="00945A5D"/>
    <w:rsid w:val="00946A0D"/>
    <w:rsid w:val="00953836"/>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C6394"/>
    <w:rsid w:val="009D0E2A"/>
    <w:rsid w:val="009D0F0E"/>
    <w:rsid w:val="009D1AAE"/>
    <w:rsid w:val="009D634E"/>
    <w:rsid w:val="009E1560"/>
    <w:rsid w:val="009F0F06"/>
    <w:rsid w:val="009F1220"/>
    <w:rsid w:val="009F4FC5"/>
    <w:rsid w:val="00A0152E"/>
    <w:rsid w:val="00A12B58"/>
    <w:rsid w:val="00A1427D"/>
    <w:rsid w:val="00A235F1"/>
    <w:rsid w:val="00A23F62"/>
    <w:rsid w:val="00A34B00"/>
    <w:rsid w:val="00A3777A"/>
    <w:rsid w:val="00A467A3"/>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398E"/>
    <w:rsid w:val="00B45BCD"/>
    <w:rsid w:val="00B52923"/>
    <w:rsid w:val="00B5392B"/>
    <w:rsid w:val="00B666B2"/>
    <w:rsid w:val="00B71E2B"/>
    <w:rsid w:val="00B73DA8"/>
    <w:rsid w:val="00B74F7C"/>
    <w:rsid w:val="00B75E05"/>
    <w:rsid w:val="00B81E12"/>
    <w:rsid w:val="00B84AAC"/>
    <w:rsid w:val="00B854D0"/>
    <w:rsid w:val="00B90F54"/>
    <w:rsid w:val="00B91CC3"/>
    <w:rsid w:val="00B92A0C"/>
    <w:rsid w:val="00B93068"/>
    <w:rsid w:val="00B9443C"/>
    <w:rsid w:val="00BB176D"/>
    <w:rsid w:val="00BB3B28"/>
    <w:rsid w:val="00BC74E9"/>
    <w:rsid w:val="00BD2077"/>
    <w:rsid w:val="00BE1FF8"/>
    <w:rsid w:val="00BE382C"/>
    <w:rsid w:val="00BE50CA"/>
    <w:rsid w:val="00BE618E"/>
    <w:rsid w:val="00C0263F"/>
    <w:rsid w:val="00C03B44"/>
    <w:rsid w:val="00C05987"/>
    <w:rsid w:val="00C13A85"/>
    <w:rsid w:val="00C17563"/>
    <w:rsid w:val="00C218A4"/>
    <w:rsid w:val="00C31519"/>
    <w:rsid w:val="00C36D37"/>
    <w:rsid w:val="00C36DE8"/>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E09DE"/>
    <w:rsid w:val="00CE4083"/>
    <w:rsid w:val="00CE46BA"/>
    <w:rsid w:val="00CE4A8F"/>
    <w:rsid w:val="00CE74ED"/>
    <w:rsid w:val="00CF4FE1"/>
    <w:rsid w:val="00CF6F32"/>
    <w:rsid w:val="00CF778D"/>
    <w:rsid w:val="00D0631B"/>
    <w:rsid w:val="00D06C3A"/>
    <w:rsid w:val="00D164BA"/>
    <w:rsid w:val="00D2031B"/>
    <w:rsid w:val="00D20891"/>
    <w:rsid w:val="00D25E8C"/>
    <w:rsid w:val="00D25FE2"/>
    <w:rsid w:val="00D27E89"/>
    <w:rsid w:val="00D37E80"/>
    <w:rsid w:val="00D43252"/>
    <w:rsid w:val="00D46231"/>
    <w:rsid w:val="00D477C4"/>
    <w:rsid w:val="00D50DF8"/>
    <w:rsid w:val="00D5409C"/>
    <w:rsid w:val="00D57C13"/>
    <w:rsid w:val="00D57FD9"/>
    <w:rsid w:val="00D60743"/>
    <w:rsid w:val="00D610C1"/>
    <w:rsid w:val="00D6123A"/>
    <w:rsid w:val="00D65564"/>
    <w:rsid w:val="00D658FA"/>
    <w:rsid w:val="00D730E3"/>
    <w:rsid w:val="00D73803"/>
    <w:rsid w:val="00D753D8"/>
    <w:rsid w:val="00D80B70"/>
    <w:rsid w:val="00D9274F"/>
    <w:rsid w:val="00D96248"/>
    <w:rsid w:val="00D96CC5"/>
    <w:rsid w:val="00D978C6"/>
    <w:rsid w:val="00D97B77"/>
    <w:rsid w:val="00DA6620"/>
    <w:rsid w:val="00DA67AD"/>
    <w:rsid w:val="00DD42A0"/>
    <w:rsid w:val="00DE236F"/>
    <w:rsid w:val="00DE3ECB"/>
    <w:rsid w:val="00DE4785"/>
    <w:rsid w:val="00DE550B"/>
    <w:rsid w:val="00DE7267"/>
    <w:rsid w:val="00DF0A4D"/>
    <w:rsid w:val="00DF3039"/>
    <w:rsid w:val="00DF3A04"/>
    <w:rsid w:val="00DF4518"/>
    <w:rsid w:val="00DF69A6"/>
    <w:rsid w:val="00DF69F7"/>
    <w:rsid w:val="00E02CF4"/>
    <w:rsid w:val="00E130AB"/>
    <w:rsid w:val="00E161E4"/>
    <w:rsid w:val="00E1679E"/>
    <w:rsid w:val="00E17ED9"/>
    <w:rsid w:val="00E239A0"/>
    <w:rsid w:val="00E242D7"/>
    <w:rsid w:val="00E3141C"/>
    <w:rsid w:val="00E34E58"/>
    <w:rsid w:val="00E36838"/>
    <w:rsid w:val="00E36C10"/>
    <w:rsid w:val="00E40B76"/>
    <w:rsid w:val="00E40D7C"/>
    <w:rsid w:val="00E422B7"/>
    <w:rsid w:val="00E42461"/>
    <w:rsid w:val="00E4443D"/>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4BB3"/>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69C"/>
    <w:rsid w:val="00ED7A2A"/>
    <w:rsid w:val="00EE2966"/>
    <w:rsid w:val="00EE4D59"/>
    <w:rsid w:val="00EE73C3"/>
    <w:rsid w:val="00EF1D7F"/>
    <w:rsid w:val="00EF4AAC"/>
    <w:rsid w:val="00F01C57"/>
    <w:rsid w:val="00F03FA2"/>
    <w:rsid w:val="00F05283"/>
    <w:rsid w:val="00F07537"/>
    <w:rsid w:val="00F07E12"/>
    <w:rsid w:val="00F1200D"/>
    <w:rsid w:val="00F21A22"/>
    <w:rsid w:val="00F22D71"/>
    <w:rsid w:val="00F257D1"/>
    <w:rsid w:val="00F30A8A"/>
    <w:rsid w:val="00F34267"/>
    <w:rsid w:val="00F3574D"/>
    <w:rsid w:val="00F40295"/>
    <w:rsid w:val="00F40E75"/>
    <w:rsid w:val="00F412D3"/>
    <w:rsid w:val="00F444E3"/>
    <w:rsid w:val="00F45459"/>
    <w:rsid w:val="00F5087E"/>
    <w:rsid w:val="00F51BAB"/>
    <w:rsid w:val="00F535BE"/>
    <w:rsid w:val="00F54674"/>
    <w:rsid w:val="00F5743B"/>
    <w:rsid w:val="00F64C95"/>
    <w:rsid w:val="00F75E96"/>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4E4042"/>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1"/>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00C70-769C-4A36-9CBA-FF8A764F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10</TotalTime>
  <Pages>3</Pages>
  <Words>920</Words>
  <Characters>5247</Characters>
  <Application>Microsoft Office Word</Application>
  <DocSecurity>0</DocSecurity>
  <Lines>43</Lines>
  <Paragraphs>12</Paragraphs>
  <ScaleCrop>false</ScaleCrop>
  <HeadingPairs>
    <vt:vector size="6" baseType="variant">
      <vt:variant>
        <vt:lpstr>Título</vt:lpstr>
      </vt:variant>
      <vt:variant>
        <vt:i4>1</vt:i4>
      </vt:variant>
      <vt:variant>
        <vt:lpstr>Title</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RGC</cp:lastModifiedBy>
  <cp:revision>8</cp:revision>
  <cp:lastPrinted>2019-10-15T14:05:00Z</cp:lastPrinted>
  <dcterms:created xsi:type="dcterms:W3CDTF">2019-10-15T14:01:00Z</dcterms:created>
  <dcterms:modified xsi:type="dcterms:W3CDTF">2019-10-15T14:28:00Z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