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DC3ADAE" w14:textId="77777777" w:rsidTr="00F01738">
        <w:trPr>
          <w:trHeight w:hRule="exact" w:val="851"/>
        </w:trPr>
        <w:tc>
          <w:tcPr>
            <w:tcW w:w="1276" w:type="dxa"/>
            <w:tcBorders>
              <w:bottom w:val="single" w:sz="4" w:space="0" w:color="auto"/>
            </w:tcBorders>
          </w:tcPr>
          <w:p w14:paraId="7F7E83C7" w14:textId="77777777" w:rsidR="00132EA9" w:rsidRPr="00DB58B5" w:rsidRDefault="00132EA9" w:rsidP="007D5103">
            <w:bookmarkStart w:id="0" w:name="_GoBack"/>
            <w:bookmarkEnd w:id="0"/>
          </w:p>
        </w:tc>
        <w:tc>
          <w:tcPr>
            <w:tcW w:w="2268" w:type="dxa"/>
            <w:tcBorders>
              <w:bottom w:val="single" w:sz="4" w:space="0" w:color="auto"/>
            </w:tcBorders>
            <w:vAlign w:val="bottom"/>
          </w:tcPr>
          <w:p w14:paraId="33925C3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E935DA" w14:textId="77777777" w:rsidR="00132EA9" w:rsidRPr="00DB58B5" w:rsidRDefault="007D5103" w:rsidP="007D5103">
            <w:pPr>
              <w:jc w:val="right"/>
            </w:pPr>
            <w:r w:rsidRPr="007D5103">
              <w:rPr>
                <w:sz w:val="40"/>
              </w:rPr>
              <w:t>ST</w:t>
            </w:r>
            <w:r>
              <w:t>/SG/AC.10/C.3/2019/5</w:t>
            </w:r>
          </w:p>
        </w:tc>
      </w:tr>
      <w:tr w:rsidR="00132EA9" w:rsidRPr="00DB58B5" w14:paraId="2301FB57" w14:textId="77777777" w:rsidTr="00F01738">
        <w:trPr>
          <w:trHeight w:hRule="exact" w:val="2835"/>
        </w:trPr>
        <w:tc>
          <w:tcPr>
            <w:tcW w:w="1276" w:type="dxa"/>
            <w:tcBorders>
              <w:top w:val="single" w:sz="4" w:space="0" w:color="auto"/>
              <w:bottom w:val="single" w:sz="12" w:space="0" w:color="auto"/>
            </w:tcBorders>
          </w:tcPr>
          <w:p w14:paraId="36EAE2F9" w14:textId="77777777" w:rsidR="00132EA9" w:rsidRPr="00DB58B5" w:rsidRDefault="00132EA9" w:rsidP="00F01738">
            <w:pPr>
              <w:spacing w:before="120"/>
              <w:jc w:val="center"/>
            </w:pPr>
            <w:r>
              <w:rPr>
                <w:noProof/>
                <w:lang w:eastAsia="fr-CH"/>
              </w:rPr>
              <w:drawing>
                <wp:inline distT="0" distB="0" distL="0" distR="0" wp14:anchorId="39EB03DD" wp14:editId="080006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12407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3404FE1" w14:textId="77777777" w:rsidR="00132EA9" w:rsidRDefault="007D5103" w:rsidP="00F01738">
            <w:pPr>
              <w:spacing w:before="240"/>
            </w:pPr>
            <w:r>
              <w:t>Distr. générale</w:t>
            </w:r>
          </w:p>
          <w:p w14:paraId="25453033" w14:textId="77777777" w:rsidR="007D5103" w:rsidRDefault="007D5103" w:rsidP="007D5103">
            <w:pPr>
              <w:spacing w:line="240" w:lineRule="exact"/>
            </w:pPr>
            <w:r>
              <w:t>25 mars 2019</w:t>
            </w:r>
          </w:p>
          <w:p w14:paraId="6A56D69D" w14:textId="77777777" w:rsidR="007D5103" w:rsidRDefault="007D5103" w:rsidP="007D5103">
            <w:pPr>
              <w:spacing w:line="240" w:lineRule="exact"/>
            </w:pPr>
            <w:r>
              <w:t>Français</w:t>
            </w:r>
          </w:p>
          <w:p w14:paraId="207426D2" w14:textId="77777777" w:rsidR="007D5103" w:rsidRPr="00DB58B5" w:rsidRDefault="007D5103" w:rsidP="007D5103">
            <w:pPr>
              <w:spacing w:line="240" w:lineRule="exact"/>
            </w:pPr>
            <w:r>
              <w:t>Original : anglais</w:t>
            </w:r>
          </w:p>
        </w:tc>
      </w:tr>
    </w:tbl>
    <w:p w14:paraId="1E140329" w14:textId="77777777" w:rsidR="007D5103" w:rsidRPr="00CA0680" w:rsidRDefault="007D5103" w:rsidP="000305D3">
      <w:pPr>
        <w:spacing w:before="120"/>
        <w:rPr>
          <w:b/>
          <w:sz w:val="24"/>
          <w:szCs w:val="24"/>
        </w:rPr>
      </w:pPr>
      <w:r w:rsidRPr="00CA0680">
        <w:rPr>
          <w:b/>
          <w:sz w:val="24"/>
          <w:szCs w:val="24"/>
        </w:rPr>
        <w:t>Comité d</w:t>
      </w:r>
      <w:r w:rsidR="001330B6">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1330B6">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0CA0B79" w14:textId="77777777" w:rsidR="007D5103" w:rsidRPr="00CA0680" w:rsidRDefault="007D5103" w:rsidP="000305D3">
      <w:pPr>
        <w:spacing w:before="120"/>
        <w:rPr>
          <w:b/>
        </w:rPr>
      </w:pPr>
      <w:r w:rsidRPr="00CA0680">
        <w:rPr>
          <w:b/>
        </w:rPr>
        <w:t>Sous</w:t>
      </w:r>
      <w:r>
        <w:rPr>
          <w:b/>
        </w:rPr>
        <w:t>-</w:t>
      </w:r>
      <w:r w:rsidRPr="00CA0680">
        <w:rPr>
          <w:b/>
        </w:rPr>
        <w:t>Comité d</w:t>
      </w:r>
      <w:r w:rsidR="001330B6">
        <w:rPr>
          <w:b/>
        </w:rPr>
        <w:t>’</w:t>
      </w:r>
      <w:r w:rsidRPr="00CA0680">
        <w:rPr>
          <w:b/>
        </w:rPr>
        <w:t>experts du transport des marchandises dangereuses</w:t>
      </w:r>
    </w:p>
    <w:p w14:paraId="6226D0AF" w14:textId="77777777" w:rsidR="007D5103" w:rsidRDefault="0070565F" w:rsidP="000305D3">
      <w:pPr>
        <w:spacing w:before="120"/>
        <w:rPr>
          <w:b/>
        </w:rPr>
      </w:pPr>
      <w:r w:rsidRPr="00137FC9">
        <w:rPr>
          <w:b/>
        </w:rPr>
        <w:t>Cinquante-cinquième</w:t>
      </w:r>
      <w:r w:rsidR="007D5103">
        <w:rPr>
          <w:b/>
        </w:rPr>
        <w:t xml:space="preserve"> </w:t>
      </w:r>
      <w:r w:rsidR="007D5103" w:rsidRPr="00CA0680">
        <w:rPr>
          <w:b/>
        </w:rPr>
        <w:t>session</w:t>
      </w:r>
    </w:p>
    <w:p w14:paraId="0620BE78" w14:textId="77777777" w:rsidR="007D5103" w:rsidRDefault="007D5103" w:rsidP="000305D3">
      <w:r>
        <w:t xml:space="preserve">Genève, </w:t>
      </w:r>
      <w:r w:rsidR="0070565F" w:rsidRPr="00137FC9">
        <w:t>1</w:t>
      </w:r>
      <w:r w:rsidR="0070565F" w:rsidRPr="00137FC9">
        <w:rPr>
          <w:vertAlign w:val="superscript"/>
        </w:rPr>
        <w:t>er</w:t>
      </w:r>
      <w:r w:rsidR="0070565F" w:rsidRPr="00137FC9">
        <w:t>-5</w:t>
      </w:r>
      <w:r w:rsidR="00137FC9">
        <w:t> </w:t>
      </w:r>
      <w:r w:rsidR="0070565F" w:rsidRPr="00137FC9">
        <w:t>juillet 2019</w:t>
      </w:r>
    </w:p>
    <w:p w14:paraId="3137A7F5" w14:textId="77777777" w:rsidR="007D5103" w:rsidRDefault="007D5103" w:rsidP="000305D3">
      <w:r>
        <w:t>Point</w:t>
      </w:r>
      <w:r w:rsidR="001330B6">
        <w:t> </w:t>
      </w:r>
      <w:r w:rsidR="0070565F" w:rsidRPr="0033269A">
        <w:rPr>
          <w:lang w:val="fr-FR"/>
        </w:rPr>
        <w:t>6</w:t>
      </w:r>
      <w:r w:rsidR="001330B6">
        <w:rPr>
          <w:lang w:val="fr-FR"/>
        </w:rPr>
        <w:t> </w:t>
      </w:r>
      <w:r w:rsidR="0070565F" w:rsidRPr="0033269A">
        <w:rPr>
          <w:lang w:val="fr-FR"/>
        </w:rPr>
        <w:t>b)</w:t>
      </w:r>
      <w:r>
        <w:t xml:space="preserve"> de l</w:t>
      </w:r>
      <w:r w:rsidR="001330B6">
        <w:t>’</w:t>
      </w:r>
      <w:r>
        <w:t>ordre du jour provisoire</w:t>
      </w:r>
    </w:p>
    <w:p w14:paraId="3F333BD8" w14:textId="77777777" w:rsidR="0070565F" w:rsidRPr="0033269A" w:rsidRDefault="0070565F" w:rsidP="0070565F">
      <w:pPr>
        <w:rPr>
          <w:b/>
          <w:bCs/>
          <w:lang w:val="fr-FR"/>
        </w:rPr>
      </w:pPr>
      <w:r w:rsidRPr="0033269A">
        <w:rPr>
          <w:b/>
          <w:bCs/>
          <w:lang w:val="fr-FR"/>
        </w:rPr>
        <w:t>Propositions diverses d</w:t>
      </w:r>
      <w:r w:rsidR="001330B6">
        <w:rPr>
          <w:b/>
          <w:bCs/>
          <w:lang w:val="fr-FR"/>
        </w:rPr>
        <w:t>’</w:t>
      </w:r>
      <w:r w:rsidRPr="0033269A">
        <w:rPr>
          <w:b/>
          <w:bCs/>
          <w:lang w:val="fr-FR"/>
        </w:rPr>
        <w:t xml:space="preserve">amendements au Règlement type </w:t>
      </w:r>
      <w:r w:rsidRPr="0033269A">
        <w:rPr>
          <w:b/>
          <w:bCs/>
          <w:lang w:val="fr-FR"/>
        </w:rPr>
        <w:br/>
        <w:t xml:space="preserve">pour le transport des marchandises dangereuses : </w:t>
      </w:r>
      <w:r w:rsidRPr="0033269A">
        <w:rPr>
          <w:b/>
          <w:bCs/>
          <w:lang w:val="fr-FR"/>
        </w:rPr>
        <w:br/>
      </w:r>
      <w:r w:rsidR="00137FC9">
        <w:rPr>
          <w:b/>
          <w:bCs/>
          <w:lang w:val="fr-FR"/>
        </w:rPr>
        <w:t>E</w:t>
      </w:r>
      <w:r w:rsidRPr="0033269A">
        <w:rPr>
          <w:b/>
          <w:bCs/>
          <w:lang w:val="fr-FR"/>
        </w:rPr>
        <w:t>mballages</w:t>
      </w:r>
    </w:p>
    <w:p w14:paraId="2B8B9F24" w14:textId="77777777" w:rsidR="0070565F" w:rsidRPr="0033269A" w:rsidRDefault="0070565F" w:rsidP="00137FC9">
      <w:pPr>
        <w:pStyle w:val="HChG"/>
        <w:rPr>
          <w:lang w:val="fr-FR"/>
        </w:rPr>
      </w:pPr>
      <w:r w:rsidRPr="0033269A">
        <w:rPr>
          <w:lang w:val="fr-FR"/>
        </w:rPr>
        <w:tab/>
      </w:r>
      <w:r w:rsidRPr="0033269A">
        <w:rPr>
          <w:lang w:val="fr-FR"/>
        </w:rPr>
        <w:tab/>
        <w:t>Autres équipements de service</w:t>
      </w:r>
      <w:r>
        <w:rPr>
          <w:lang w:val="fr-FR"/>
        </w:rPr>
        <w:t>,</w:t>
      </w:r>
      <w:r w:rsidRPr="0033269A">
        <w:rPr>
          <w:lang w:val="fr-FR"/>
        </w:rPr>
        <w:t xml:space="preserve"> arrangements et méthodes d</w:t>
      </w:r>
      <w:r w:rsidR="001330B6">
        <w:rPr>
          <w:lang w:val="fr-FR"/>
        </w:rPr>
        <w:t>’</w:t>
      </w:r>
      <w:r w:rsidRPr="0033269A">
        <w:rPr>
          <w:lang w:val="fr-FR"/>
        </w:rPr>
        <w:t>inspection et d</w:t>
      </w:r>
      <w:r w:rsidR="001330B6">
        <w:rPr>
          <w:lang w:val="fr-FR"/>
        </w:rPr>
        <w:t>’</w:t>
      </w:r>
      <w:r w:rsidRPr="0033269A">
        <w:rPr>
          <w:lang w:val="fr-FR"/>
        </w:rPr>
        <w:t>épreuve pour les grands récipients pour</w:t>
      </w:r>
      <w:r w:rsidR="001330B6">
        <w:rPr>
          <w:lang w:val="fr-FR"/>
        </w:rPr>
        <w:t> </w:t>
      </w:r>
      <w:r w:rsidRPr="0033269A">
        <w:rPr>
          <w:lang w:val="fr-FR"/>
        </w:rPr>
        <w:t>vrac</w:t>
      </w:r>
    </w:p>
    <w:p w14:paraId="26650178" w14:textId="77777777" w:rsidR="0070565F" w:rsidRPr="0033269A" w:rsidRDefault="0070565F" w:rsidP="00137FC9">
      <w:pPr>
        <w:pStyle w:val="H1G"/>
        <w:rPr>
          <w:lang w:val="fr-FR"/>
        </w:rPr>
      </w:pPr>
      <w:r w:rsidRPr="0033269A">
        <w:rPr>
          <w:lang w:val="fr-FR"/>
        </w:rPr>
        <w:tab/>
      </w:r>
      <w:r w:rsidRPr="0033269A">
        <w:rPr>
          <w:lang w:val="fr-FR"/>
        </w:rPr>
        <w:tab/>
        <w:t>Communication de l</w:t>
      </w:r>
      <w:r w:rsidR="001330B6">
        <w:rPr>
          <w:lang w:val="fr-FR"/>
        </w:rPr>
        <w:t>’</w:t>
      </w:r>
      <w:r w:rsidRPr="0033269A">
        <w:rPr>
          <w:lang w:val="fr-FR"/>
        </w:rPr>
        <w:t>expert de l</w:t>
      </w:r>
      <w:r w:rsidR="001330B6">
        <w:rPr>
          <w:lang w:val="fr-FR"/>
        </w:rPr>
        <w:t>’</w:t>
      </w:r>
      <w:r w:rsidRPr="0033269A">
        <w:rPr>
          <w:lang w:val="fr-FR"/>
        </w:rPr>
        <w:t>Allemagne</w:t>
      </w:r>
      <w:r w:rsidR="001330B6" w:rsidRPr="001330B6">
        <w:rPr>
          <w:rStyle w:val="FootnoteReference"/>
          <w:b w:val="0"/>
          <w:sz w:val="20"/>
          <w:vertAlign w:val="baseline"/>
        </w:rPr>
        <w:footnoteReference w:customMarkFollows="1" w:id="2"/>
        <w:t>*</w:t>
      </w:r>
    </w:p>
    <w:p w14:paraId="0BF626D3" w14:textId="77777777" w:rsidR="0070565F" w:rsidRPr="0033269A" w:rsidRDefault="0070565F" w:rsidP="00137FC9">
      <w:pPr>
        <w:pStyle w:val="HChG"/>
        <w:rPr>
          <w:lang w:val="fr-FR"/>
        </w:rPr>
      </w:pPr>
      <w:r w:rsidRPr="0033269A">
        <w:rPr>
          <w:lang w:val="fr-FR"/>
        </w:rPr>
        <w:tab/>
      </w:r>
      <w:r w:rsidRPr="0033269A">
        <w:rPr>
          <w:lang w:val="fr-FR"/>
        </w:rPr>
        <w:tab/>
        <w:t>Introduction</w:t>
      </w:r>
    </w:p>
    <w:p w14:paraId="7D3C120A" w14:textId="77777777" w:rsidR="0070565F" w:rsidRPr="0033269A" w:rsidRDefault="0070565F" w:rsidP="001330B6">
      <w:pPr>
        <w:pStyle w:val="SingleTxtG"/>
        <w:rPr>
          <w:lang w:val="fr-FR"/>
        </w:rPr>
      </w:pPr>
      <w:r w:rsidRPr="0033269A">
        <w:rPr>
          <w:lang w:val="fr-FR"/>
        </w:rPr>
        <w:t>1.</w:t>
      </w:r>
      <w:r w:rsidRPr="0033269A">
        <w:rPr>
          <w:lang w:val="fr-FR"/>
        </w:rPr>
        <w:tab/>
        <w:t>Les dispositions relatives à l</w:t>
      </w:r>
      <w:r w:rsidR="001330B6">
        <w:rPr>
          <w:lang w:val="fr-FR"/>
        </w:rPr>
        <w:t>’</w:t>
      </w:r>
      <w:r w:rsidRPr="0033269A">
        <w:rPr>
          <w:lang w:val="fr-FR"/>
        </w:rPr>
        <w:t>homologation des emballages portent sur des emballages dont les spécifications diffèrent de celles définies aux chapitres pertinents de la partie</w:t>
      </w:r>
      <w:r w:rsidR="001330B6">
        <w:rPr>
          <w:lang w:val="fr-FR"/>
        </w:rPr>
        <w:t> </w:t>
      </w:r>
      <w:r w:rsidRPr="0033269A">
        <w:rPr>
          <w:lang w:val="fr-FR"/>
        </w:rPr>
        <w:t>6. Il ressort d</w:t>
      </w:r>
      <w:r w:rsidR="001330B6">
        <w:rPr>
          <w:lang w:val="fr-FR"/>
        </w:rPr>
        <w:t>’</w:t>
      </w:r>
      <w:r w:rsidRPr="0033269A">
        <w:rPr>
          <w:lang w:val="fr-FR"/>
        </w:rPr>
        <w:t>une comparaison entre les différents énoncés que le libellé actuel des dispositions relatives aux grands récipients pour vrac (GRV) n</w:t>
      </w:r>
      <w:r w:rsidR="001330B6">
        <w:rPr>
          <w:lang w:val="fr-FR"/>
        </w:rPr>
        <w:t>’</w:t>
      </w:r>
      <w:r w:rsidRPr="0033269A">
        <w:rPr>
          <w:lang w:val="fr-FR"/>
        </w:rPr>
        <w:t xml:space="preserve">a pas été harmonisé avec celui des dispositions relatives aux emballages et aux grands emballages. </w:t>
      </w:r>
    </w:p>
    <w:p w14:paraId="048CFBFA" w14:textId="77777777" w:rsidR="0070565F" w:rsidRPr="0033269A" w:rsidRDefault="0070565F" w:rsidP="001330B6">
      <w:pPr>
        <w:pStyle w:val="SingleTxtG"/>
        <w:rPr>
          <w:lang w:val="fr-FR"/>
        </w:rPr>
      </w:pPr>
      <w:r w:rsidRPr="0033269A">
        <w:rPr>
          <w:lang w:val="fr-FR"/>
        </w:rPr>
        <w:t>2.</w:t>
      </w:r>
      <w:r w:rsidRPr="0033269A">
        <w:rPr>
          <w:lang w:val="fr-FR"/>
        </w:rPr>
        <w:tab/>
        <w:t>Le paragraphe</w:t>
      </w:r>
      <w:r w:rsidR="001330B6">
        <w:rPr>
          <w:lang w:val="fr-FR"/>
        </w:rPr>
        <w:t> </w:t>
      </w:r>
      <w:r w:rsidRPr="0033269A">
        <w:rPr>
          <w:lang w:val="fr-FR"/>
        </w:rPr>
        <w:t>6.5.1.1.2 est actuellement libellé comme suit :</w:t>
      </w:r>
    </w:p>
    <w:p w14:paraId="2FAB607E" w14:textId="77777777" w:rsidR="0070565F" w:rsidRPr="0033269A" w:rsidRDefault="0070565F" w:rsidP="001330B6">
      <w:pPr>
        <w:pStyle w:val="SingleTxtG"/>
        <w:ind w:left="1701"/>
        <w:rPr>
          <w:i/>
          <w:iCs/>
          <w:lang w:val="fr-FR"/>
        </w:rPr>
      </w:pPr>
      <w:r w:rsidRPr="0033269A">
        <w:rPr>
          <w:iCs/>
          <w:lang w:val="fr-FR"/>
        </w:rPr>
        <w:t>« Exceptionnellement, l</w:t>
      </w:r>
      <w:r w:rsidR="001330B6">
        <w:rPr>
          <w:iCs/>
          <w:lang w:val="fr-FR"/>
        </w:rPr>
        <w:t>’</w:t>
      </w:r>
      <w:r w:rsidRPr="0033269A">
        <w:rPr>
          <w:iCs/>
          <w:lang w:val="fr-FR"/>
        </w:rPr>
        <w:t xml:space="preserve">autorité compétente peut </w:t>
      </w:r>
      <w:r w:rsidRPr="001330B6">
        <w:rPr>
          <w:lang w:val="fr-FR"/>
        </w:rPr>
        <w:t>envisager</w:t>
      </w:r>
      <w:r w:rsidRPr="0033269A">
        <w:rPr>
          <w:iCs/>
          <w:lang w:val="fr-FR"/>
        </w:rPr>
        <w:t xml:space="preserve"> d</w:t>
      </w:r>
      <w:r w:rsidR="001330B6">
        <w:rPr>
          <w:iCs/>
          <w:lang w:val="fr-FR"/>
        </w:rPr>
        <w:t>’</w:t>
      </w:r>
      <w:r w:rsidRPr="0033269A">
        <w:rPr>
          <w:iCs/>
          <w:lang w:val="fr-FR"/>
        </w:rPr>
        <w:t xml:space="preserve">agréer des GRV et </w:t>
      </w:r>
      <w:r>
        <w:rPr>
          <w:iCs/>
          <w:lang w:val="fr-FR"/>
        </w:rPr>
        <w:t xml:space="preserve">leurs </w:t>
      </w:r>
      <w:r w:rsidRPr="0033269A">
        <w:rPr>
          <w:iCs/>
          <w:lang w:val="fr-FR"/>
        </w:rPr>
        <w:t>équipements de service qui ne seraient pas rigoureusement conformes aux conditions énoncées ici, mais qui représenteraient des variantes acceptables.</w:t>
      </w:r>
      <w:r>
        <w:rPr>
          <w:iCs/>
          <w:lang w:val="fr-FR"/>
        </w:rPr>
        <w:t xml:space="preserve"> </w:t>
      </w:r>
      <w:r w:rsidRPr="0033269A">
        <w:rPr>
          <w:iCs/>
          <w:lang w:val="fr-FR"/>
        </w:rPr>
        <w:t>De plus, pour tenir compte des progrès de la science et de la technique, l</w:t>
      </w:r>
      <w:r w:rsidR="001330B6">
        <w:rPr>
          <w:iCs/>
          <w:lang w:val="fr-FR"/>
        </w:rPr>
        <w:t>’</w:t>
      </w:r>
      <w:r w:rsidRPr="0033269A">
        <w:rPr>
          <w:iCs/>
          <w:lang w:val="fr-FR"/>
        </w:rPr>
        <w:t>autorité compétente peut envisager l</w:t>
      </w:r>
      <w:r w:rsidR="001330B6">
        <w:rPr>
          <w:iCs/>
          <w:lang w:val="fr-FR"/>
        </w:rPr>
        <w:t>’</w:t>
      </w:r>
      <w:r w:rsidRPr="0033269A">
        <w:rPr>
          <w:iCs/>
          <w:lang w:val="fr-FR"/>
        </w:rPr>
        <w:t>utilisation d</w:t>
      </w:r>
      <w:r w:rsidR="001330B6">
        <w:rPr>
          <w:iCs/>
          <w:lang w:val="fr-FR"/>
        </w:rPr>
        <w:t>’</w:t>
      </w:r>
      <w:r w:rsidRPr="0033269A">
        <w:rPr>
          <w:iCs/>
          <w:lang w:val="fr-FR"/>
        </w:rPr>
        <w:t>autres solutions offrant une sécurité au moins équivalente quant à la compatibilité avec les propriétés des matières transportées et une résistance au moins égale au choc, à la charge et au feu. ».</w:t>
      </w:r>
    </w:p>
    <w:p w14:paraId="5CA17DDD" w14:textId="77777777" w:rsidR="0070565F" w:rsidRPr="0033269A" w:rsidRDefault="0070565F" w:rsidP="001330B6">
      <w:pPr>
        <w:pStyle w:val="SingleTxtG"/>
        <w:rPr>
          <w:lang w:val="fr-FR"/>
        </w:rPr>
      </w:pPr>
      <w:r w:rsidRPr="0033269A">
        <w:rPr>
          <w:lang w:val="fr-FR"/>
        </w:rPr>
        <w:t>3.</w:t>
      </w:r>
      <w:r w:rsidRPr="0033269A">
        <w:rPr>
          <w:lang w:val="fr-FR"/>
        </w:rPr>
        <w:tab/>
        <w:t>Les dispositions correspondantes qui s</w:t>
      </w:r>
      <w:r w:rsidR="001330B6">
        <w:rPr>
          <w:lang w:val="fr-FR"/>
        </w:rPr>
        <w:t>’</w:t>
      </w:r>
      <w:r w:rsidRPr="0033269A">
        <w:rPr>
          <w:lang w:val="fr-FR"/>
        </w:rPr>
        <w:t>appliquent aux autres types d</w:t>
      </w:r>
      <w:r w:rsidR="001330B6">
        <w:rPr>
          <w:lang w:val="fr-FR"/>
        </w:rPr>
        <w:t>’</w:t>
      </w:r>
      <w:r w:rsidRPr="0033269A">
        <w:rPr>
          <w:lang w:val="fr-FR"/>
        </w:rPr>
        <w:t>enveloppe de confinement sont les suivantes :</w:t>
      </w:r>
    </w:p>
    <w:p w14:paraId="3A667B0D" w14:textId="77777777" w:rsidR="0070565F" w:rsidRPr="0033269A" w:rsidRDefault="0070565F" w:rsidP="001330B6">
      <w:pPr>
        <w:pStyle w:val="SingleTxtG"/>
        <w:ind w:left="1701"/>
        <w:rPr>
          <w:lang w:val="fr-FR"/>
        </w:rPr>
      </w:pPr>
      <w:r w:rsidRPr="0033269A">
        <w:rPr>
          <w:lang w:val="fr-FR"/>
        </w:rPr>
        <w:t>6.1.1.2</w:t>
      </w:r>
      <w:r w:rsidR="001330B6">
        <w:rPr>
          <w:lang w:val="fr-FR"/>
        </w:rPr>
        <w:t xml:space="preserve"> </w:t>
      </w:r>
      <w:r w:rsidRPr="0033269A">
        <w:rPr>
          <w:lang w:val="fr-FR"/>
        </w:rPr>
        <w:t>(</w:t>
      </w:r>
      <w:r w:rsidRPr="001330B6">
        <w:rPr>
          <w:iCs/>
          <w:lang w:val="fr-FR"/>
        </w:rPr>
        <w:t>emballages</w:t>
      </w:r>
      <w:r w:rsidRPr="0033269A">
        <w:rPr>
          <w:lang w:val="fr-FR"/>
        </w:rPr>
        <w:t>) :</w:t>
      </w:r>
    </w:p>
    <w:p w14:paraId="088B6D8E" w14:textId="77777777" w:rsidR="0070565F" w:rsidRPr="0033269A" w:rsidRDefault="0070565F" w:rsidP="001330B6">
      <w:pPr>
        <w:pStyle w:val="SingleTxtG"/>
        <w:ind w:left="1701"/>
        <w:rPr>
          <w:lang w:val="fr-FR"/>
        </w:rPr>
      </w:pPr>
      <w:r w:rsidRPr="0033269A">
        <w:rPr>
          <w:lang w:val="fr-FR"/>
        </w:rPr>
        <w:t xml:space="preserve">« Les prescriptions énoncées au 6.1.4 sont basées sur les emballages utilisés actuellement. Pour tenir compte du progrès scientifique et technique, il est </w:t>
      </w:r>
      <w:r w:rsidRPr="0033269A">
        <w:rPr>
          <w:lang w:val="fr-FR"/>
        </w:rPr>
        <w:lastRenderedPageBreak/>
        <w:t xml:space="preserve">parfaitement admis </w:t>
      </w:r>
      <w:r w:rsidRPr="001330B6">
        <w:rPr>
          <w:iCs/>
          <w:lang w:val="fr-FR"/>
        </w:rPr>
        <w:t>que</w:t>
      </w:r>
      <w:r w:rsidRPr="0033269A">
        <w:rPr>
          <w:lang w:val="fr-FR"/>
        </w:rPr>
        <w:t xml:space="preserve"> l</w:t>
      </w:r>
      <w:r w:rsidR="001330B6">
        <w:rPr>
          <w:lang w:val="fr-FR"/>
        </w:rPr>
        <w:t>’</w:t>
      </w:r>
      <w:r w:rsidRPr="0033269A">
        <w:rPr>
          <w:lang w:val="fr-FR"/>
        </w:rPr>
        <w:t>on utilise des emballages dont les spécifications diff</w:t>
      </w:r>
      <w:r>
        <w:rPr>
          <w:lang w:val="fr-FR"/>
        </w:rPr>
        <w:t>è</w:t>
      </w:r>
      <w:r w:rsidRPr="0033269A">
        <w:rPr>
          <w:lang w:val="fr-FR"/>
        </w:rPr>
        <w:t>rent de celles définies au 6.1.4, à condition qu</w:t>
      </w:r>
      <w:r w:rsidR="001330B6">
        <w:rPr>
          <w:lang w:val="fr-FR"/>
        </w:rPr>
        <w:t>’</w:t>
      </w:r>
      <w:r w:rsidRPr="0033269A">
        <w:rPr>
          <w:lang w:val="fr-FR"/>
        </w:rPr>
        <w:t>ils aient une efficacité égale, qu</w:t>
      </w:r>
      <w:r w:rsidR="001330B6">
        <w:rPr>
          <w:lang w:val="fr-FR"/>
        </w:rPr>
        <w:t>’</w:t>
      </w:r>
      <w:r w:rsidRPr="0033269A">
        <w:rPr>
          <w:lang w:val="fr-FR"/>
        </w:rPr>
        <w:t>ils soient acceptables pour l</w:t>
      </w:r>
      <w:r w:rsidR="001330B6">
        <w:rPr>
          <w:lang w:val="fr-FR"/>
        </w:rPr>
        <w:t>’</w:t>
      </w:r>
      <w:r w:rsidRPr="0033269A">
        <w:rPr>
          <w:lang w:val="fr-FR"/>
        </w:rPr>
        <w:t>autorité compétente et qu</w:t>
      </w:r>
      <w:r w:rsidR="001330B6">
        <w:rPr>
          <w:lang w:val="fr-FR"/>
        </w:rPr>
        <w:t>’</w:t>
      </w:r>
      <w:r w:rsidRPr="0033269A">
        <w:rPr>
          <w:lang w:val="fr-FR"/>
        </w:rPr>
        <w:t>ils satisfassent aux épreuves décrites aux 6.1.1.3 et 6.1.5. Des méthodes d</w:t>
      </w:r>
      <w:r w:rsidR="001330B6">
        <w:rPr>
          <w:lang w:val="fr-FR"/>
        </w:rPr>
        <w:t>’</w:t>
      </w:r>
      <w:r w:rsidRPr="0033269A">
        <w:rPr>
          <w:lang w:val="fr-FR"/>
        </w:rPr>
        <w:t>épreuve autres que celles décrites dans le présent Règlement sont admises pour autant qu</w:t>
      </w:r>
      <w:r w:rsidR="001330B6">
        <w:rPr>
          <w:lang w:val="fr-FR"/>
        </w:rPr>
        <w:t>’</w:t>
      </w:r>
      <w:r w:rsidRPr="0033269A">
        <w:rPr>
          <w:lang w:val="fr-FR"/>
        </w:rPr>
        <w:t>elles soient équivalentes. ».</w:t>
      </w:r>
    </w:p>
    <w:p w14:paraId="67F68D2B" w14:textId="77777777" w:rsidR="0070565F" w:rsidRPr="0033269A" w:rsidRDefault="0070565F" w:rsidP="001330B6">
      <w:pPr>
        <w:pStyle w:val="SingleTxtG"/>
        <w:ind w:left="1701"/>
        <w:rPr>
          <w:lang w:val="fr-FR"/>
        </w:rPr>
      </w:pPr>
      <w:r w:rsidRPr="0033269A">
        <w:rPr>
          <w:lang w:val="fr-FR"/>
        </w:rPr>
        <w:t xml:space="preserve">6.3.2.1 (emballages pour les </w:t>
      </w:r>
      <w:r w:rsidRPr="001330B6">
        <w:rPr>
          <w:iCs/>
          <w:lang w:val="fr-FR"/>
        </w:rPr>
        <w:t>matières</w:t>
      </w:r>
      <w:r w:rsidRPr="0033269A">
        <w:rPr>
          <w:lang w:val="fr-FR"/>
        </w:rPr>
        <w:t xml:space="preserve"> de la division</w:t>
      </w:r>
      <w:r w:rsidR="001330B6">
        <w:rPr>
          <w:lang w:val="fr-FR"/>
        </w:rPr>
        <w:t> </w:t>
      </w:r>
      <w:r w:rsidRPr="0033269A">
        <w:rPr>
          <w:lang w:val="fr-FR"/>
        </w:rPr>
        <w:t>6.2)</w:t>
      </w:r>
      <w:r w:rsidR="0092289C">
        <w:rPr>
          <w:lang w:val="fr-FR"/>
        </w:rPr>
        <w:t> </w:t>
      </w:r>
      <w:r w:rsidRPr="0033269A">
        <w:rPr>
          <w:lang w:val="fr-FR"/>
        </w:rPr>
        <w:t>:</w:t>
      </w:r>
    </w:p>
    <w:p w14:paraId="78928761" w14:textId="77777777" w:rsidR="0070565F" w:rsidRPr="0033269A" w:rsidRDefault="00DC2272" w:rsidP="001330B6">
      <w:pPr>
        <w:pStyle w:val="SingleTxtG"/>
        <w:ind w:left="1701"/>
        <w:rPr>
          <w:lang w:val="fr-FR"/>
        </w:rPr>
      </w:pPr>
      <w:r>
        <w:rPr>
          <w:lang w:val="fr-FR"/>
        </w:rPr>
        <w:t>« </w:t>
      </w:r>
      <w:r w:rsidR="0070565F" w:rsidRPr="0033269A">
        <w:rPr>
          <w:lang w:val="fr-FR"/>
        </w:rPr>
        <w:t>Les prescriptions énoncées à la présente section sont basées sur les emballages, tels qu</w:t>
      </w:r>
      <w:r w:rsidR="001330B6">
        <w:rPr>
          <w:lang w:val="fr-FR"/>
        </w:rPr>
        <w:t>’</w:t>
      </w:r>
      <w:r w:rsidR="0070565F" w:rsidRPr="0033269A">
        <w:rPr>
          <w:lang w:val="fr-FR"/>
        </w:rPr>
        <w:t>ils sont définis au 6.1.4, utilisés actuellement. Pour tenir compte du progrès scientifique et technique, il est admis que l</w:t>
      </w:r>
      <w:r w:rsidR="001330B6">
        <w:rPr>
          <w:lang w:val="fr-FR"/>
        </w:rPr>
        <w:t>’</w:t>
      </w:r>
      <w:r w:rsidR="0070565F" w:rsidRPr="0033269A">
        <w:rPr>
          <w:lang w:val="fr-FR"/>
        </w:rPr>
        <w:t>on utilise des emballages dont les spécifications diffèrent de celles définies au présent chapitre, à condition qu</w:t>
      </w:r>
      <w:r w:rsidR="001330B6">
        <w:rPr>
          <w:lang w:val="fr-FR"/>
        </w:rPr>
        <w:t>’</w:t>
      </w:r>
      <w:r w:rsidR="0070565F" w:rsidRPr="0033269A">
        <w:rPr>
          <w:lang w:val="fr-FR"/>
        </w:rPr>
        <w:t>ils aient une efficacité égale, qu</w:t>
      </w:r>
      <w:r w:rsidR="001330B6">
        <w:rPr>
          <w:lang w:val="fr-FR"/>
        </w:rPr>
        <w:t>’</w:t>
      </w:r>
      <w:r w:rsidR="0070565F" w:rsidRPr="0033269A">
        <w:rPr>
          <w:lang w:val="fr-FR"/>
        </w:rPr>
        <w:t>ils soient acceptables pour l</w:t>
      </w:r>
      <w:r w:rsidR="001330B6">
        <w:rPr>
          <w:lang w:val="fr-FR"/>
        </w:rPr>
        <w:t>’</w:t>
      </w:r>
      <w:r w:rsidR="0070565F" w:rsidRPr="0033269A">
        <w:rPr>
          <w:lang w:val="fr-FR"/>
        </w:rPr>
        <w:t>autorité compétente et qu</w:t>
      </w:r>
      <w:r w:rsidR="001330B6">
        <w:rPr>
          <w:lang w:val="fr-FR"/>
        </w:rPr>
        <w:t>’</w:t>
      </w:r>
      <w:r w:rsidR="0070565F" w:rsidRPr="0033269A">
        <w:rPr>
          <w:lang w:val="fr-FR"/>
        </w:rPr>
        <w:t>ils satisfassent aux épreuves décrites au 6.3.5. Des méthodes d</w:t>
      </w:r>
      <w:r w:rsidR="001330B6">
        <w:rPr>
          <w:lang w:val="fr-FR"/>
        </w:rPr>
        <w:t>’</w:t>
      </w:r>
      <w:r w:rsidR="0070565F" w:rsidRPr="0033269A">
        <w:rPr>
          <w:lang w:val="fr-FR"/>
        </w:rPr>
        <w:t>épreuve autres que celles décrites dans le présent Règlement sont admises pour autant qu</w:t>
      </w:r>
      <w:r w:rsidR="001330B6">
        <w:rPr>
          <w:lang w:val="fr-FR"/>
        </w:rPr>
        <w:t>’</w:t>
      </w:r>
      <w:r w:rsidR="0070565F" w:rsidRPr="0033269A">
        <w:rPr>
          <w:lang w:val="fr-FR"/>
        </w:rPr>
        <w:t>elles soient équivalentes. ».</w:t>
      </w:r>
    </w:p>
    <w:p w14:paraId="28608F7F" w14:textId="77777777" w:rsidR="0070565F" w:rsidRPr="0033269A" w:rsidRDefault="0070565F" w:rsidP="001330B6">
      <w:pPr>
        <w:pStyle w:val="SingleTxtG"/>
        <w:ind w:left="1701"/>
        <w:rPr>
          <w:lang w:val="fr-FR"/>
        </w:rPr>
      </w:pPr>
      <w:r w:rsidRPr="0033269A">
        <w:rPr>
          <w:lang w:val="fr-FR"/>
        </w:rPr>
        <w:t xml:space="preserve">6.6.1.3 (grands </w:t>
      </w:r>
      <w:r w:rsidRPr="001330B6">
        <w:rPr>
          <w:iCs/>
          <w:lang w:val="fr-FR"/>
        </w:rPr>
        <w:t>emballages</w:t>
      </w:r>
      <w:r w:rsidRPr="0033269A">
        <w:rPr>
          <w:lang w:val="fr-FR"/>
        </w:rPr>
        <w:t>) :</w:t>
      </w:r>
    </w:p>
    <w:p w14:paraId="1B6DCD56" w14:textId="77777777" w:rsidR="0070565F" w:rsidRPr="0033269A" w:rsidRDefault="0070565F" w:rsidP="001330B6">
      <w:pPr>
        <w:pStyle w:val="SingleTxtG"/>
        <w:ind w:left="1701"/>
        <w:rPr>
          <w:lang w:val="fr-FR"/>
        </w:rPr>
      </w:pPr>
      <w:r w:rsidRPr="0033269A">
        <w:rPr>
          <w:lang w:val="fr-FR"/>
        </w:rPr>
        <w:t>« Les prescriptions particulières applicables aux grands emballages énoncées au 6.6.4 sont basées sur les grands emballages utilisés actuellement. Pour tenir compte du progrès scientifique et technique, il est parfaitement admis que l</w:t>
      </w:r>
      <w:r w:rsidR="001330B6">
        <w:rPr>
          <w:lang w:val="fr-FR"/>
        </w:rPr>
        <w:t>’</w:t>
      </w:r>
      <w:r w:rsidRPr="0033269A">
        <w:rPr>
          <w:lang w:val="fr-FR"/>
        </w:rPr>
        <w:t>on utilise de grands emballages dont les spécifications diffèrent de celles qui sont indiquées au 6.6.4, à condition qu</w:t>
      </w:r>
      <w:r w:rsidR="001330B6">
        <w:rPr>
          <w:lang w:val="fr-FR"/>
        </w:rPr>
        <w:t>’</w:t>
      </w:r>
      <w:r w:rsidRPr="0033269A">
        <w:rPr>
          <w:lang w:val="fr-FR"/>
        </w:rPr>
        <w:t>ils aient une efficacité égale, qu</w:t>
      </w:r>
      <w:r w:rsidR="001330B6">
        <w:rPr>
          <w:lang w:val="fr-FR"/>
        </w:rPr>
        <w:t>’</w:t>
      </w:r>
      <w:r w:rsidRPr="0033269A">
        <w:rPr>
          <w:lang w:val="fr-FR"/>
        </w:rPr>
        <w:t>ils soient acceptables pour l</w:t>
      </w:r>
      <w:r w:rsidR="001330B6">
        <w:rPr>
          <w:lang w:val="fr-FR"/>
        </w:rPr>
        <w:t>’</w:t>
      </w:r>
      <w:r w:rsidRPr="0033269A">
        <w:rPr>
          <w:lang w:val="fr-FR"/>
        </w:rPr>
        <w:t>autorité compétente et qu</w:t>
      </w:r>
      <w:r w:rsidR="001330B6">
        <w:rPr>
          <w:lang w:val="fr-FR"/>
        </w:rPr>
        <w:t>’</w:t>
      </w:r>
      <w:r w:rsidRPr="0033269A">
        <w:rPr>
          <w:lang w:val="fr-FR"/>
        </w:rPr>
        <w:t>ils puissent satisfaire aux épreuves décrites au 6.6.5. Les méthodes d</w:t>
      </w:r>
      <w:r w:rsidR="001330B6">
        <w:rPr>
          <w:lang w:val="fr-FR"/>
        </w:rPr>
        <w:t>’</w:t>
      </w:r>
      <w:r w:rsidRPr="0033269A">
        <w:rPr>
          <w:lang w:val="fr-FR"/>
        </w:rPr>
        <w:t>épreuve autres que celles qui sont décrites dans le présent Règlement sont admises pour autant qu</w:t>
      </w:r>
      <w:r w:rsidR="001330B6">
        <w:rPr>
          <w:lang w:val="fr-FR"/>
        </w:rPr>
        <w:t>’</w:t>
      </w:r>
      <w:r w:rsidRPr="0033269A">
        <w:rPr>
          <w:lang w:val="fr-FR"/>
        </w:rPr>
        <w:t>elles soient équivalentes. »</w:t>
      </w:r>
      <w:r w:rsidR="001330B6">
        <w:rPr>
          <w:lang w:val="fr-FR"/>
        </w:rPr>
        <w:t>.</w:t>
      </w:r>
    </w:p>
    <w:p w14:paraId="5E6B19AF" w14:textId="77777777" w:rsidR="0070565F" w:rsidRPr="0033269A" w:rsidRDefault="0070565F" w:rsidP="001330B6">
      <w:pPr>
        <w:pStyle w:val="SingleTxtG"/>
        <w:ind w:left="1701"/>
        <w:rPr>
          <w:lang w:val="fr-FR"/>
        </w:rPr>
      </w:pPr>
      <w:r w:rsidRPr="0033269A">
        <w:rPr>
          <w:lang w:val="fr-FR"/>
        </w:rPr>
        <w:t>et</w:t>
      </w:r>
    </w:p>
    <w:p w14:paraId="4DC52651" w14:textId="77777777" w:rsidR="0070565F" w:rsidRPr="0033269A" w:rsidRDefault="0070565F" w:rsidP="001330B6">
      <w:pPr>
        <w:pStyle w:val="SingleTxtG"/>
        <w:ind w:left="1701"/>
        <w:rPr>
          <w:lang w:val="fr-FR"/>
        </w:rPr>
      </w:pPr>
      <w:r w:rsidRPr="0033269A">
        <w:rPr>
          <w:lang w:val="fr-FR"/>
        </w:rPr>
        <w:t>6.7.1.</w:t>
      </w:r>
      <w:r>
        <w:rPr>
          <w:lang w:val="fr-FR"/>
        </w:rPr>
        <w:t xml:space="preserve">2 </w:t>
      </w:r>
      <w:r w:rsidRPr="0033269A">
        <w:rPr>
          <w:lang w:val="fr-FR"/>
        </w:rPr>
        <w:t xml:space="preserve">(citernes mobiles et </w:t>
      </w:r>
      <w:r w:rsidRPr="001330B6">
        <w:rPr>
          <w:iCs/>
          <w:lang w:val="fr-FR"/>
        </w:rPr>
        <w:t>conteneurs</w:t>
      </w:r>
      <w:r w:rsidRPr="0033269A">
        <w:rPr>
          <w:lang w:val="fr-FR"/>
        </w:rPr>
        <w:t xml:space="preserve"> à gaz à éléments multiples (CGEM)) :</w:t>
      </w:r>
    </w:p>
    <w:p w14:paraId="1F5BBFCE" w14:textId="77777777" w:rsidR="0070565F" w:rsidRPr="0033269A" w:rsidRDefault="0070565F" w:rsidP="001330B6">
      <w:pPr>
        <w:pStyle w:val="SingleTxtG"/>
        <w:ind w:left="1701"/>
        <w:rPr>
          <w:lang w:val="fr-FR"/>
        </w:rPr>
      </w:pPr>
      <w:r w:rsidRPr="0033269A">
        <w:rPr>
          <w:lang w:val="fr-FR"/>
        </w:rPr>
        <w:t>« Pour tenir compte du progrès scientifique et technique, les prescriptions techniques du présent chapitre pourront être remplacées par d</w:t>
      </w:r>
      <w:r w:rsidR="001330B6">
        <w:rPr>
          <w:lang w:val="fr-FR"/>
        </w:rPr>
        <w:t>’</w:t>
      </w:r>
      <w:r w:rsidRPr="0033269A">
        <w:rPr>
          <w:lang w:val="fr-FR"/>
        </w:rPr>
        <w:t>autres prescriptions (</w:t>
      </w:r>
      <w:r w:rsidR="001330B6" w:rsidRPr="0033269A">
        <w:rPr>
          <w:lang w:val="fr-FR"/>
        </w:rPr>
        <w:t>“</w:t>
      </w:r>
      <w:r w:rsidRPr="0033269A">
        <w:rPr>
          <w:lang w:val="fr-FR"/>
        </w:rPr>
        <w:t>arrangements alternatifs</w:t>
      </w:r>
      <w:r w:rsidR="001330B6" w:rsidRPr="0033269A">
        <w:rPr>
          <w:lang w:val="fr-FR"/>
        </w:rPr>
        <w:t>”</w:t>
      </w:r>
      <w:r w:rsidRPr="0033269A">
        <w:rPr>
          <w:lang w:val="fr-FR"/>
        </w:rPr>
        <w:t xml:space="preserve">) qui devront offrir un niveau de sécurité au moins égal à celui des prescriptions du présent chapitre quant à la compatibilité avec les matières transportées et la capacité de la citerne mobile ou </w:t>
      </w:r>
      <w:r>
        <w:rPr>
          <w:lang w:val="fr-FR"/>
        </w:rPr>
        <w:t xml:space="preserve">du </w:t>
      </w:r>
      <w:r w:rsidRPr="0033269A">
        <w:rPr>
          <w:lang w:val="fr-FR"/>
        </w:rPr>
        <w:t xml:space="preserve">CGEM à résister aux chocs, aux charges et au feu. En cas de transport international, les citernes mobiles ou </w:t>
      </w:r>
      <w:r>
        <w:rPr>
          <w:lang w:val="fr-FR"/>
        </w:rPr>
        <w:t xml:space="preserve">les </w:t>
      </w:r>
      <w:r w:rsidRPr="0033269A">
        <w:rPr>
          <w:lang w:val="fr-FR"/>
        </w:rPr>
        <w:t>CGEM construits selon ces arrangements alternatifs devront être agréés par les autorités compétentes. ».</w:t>
      </w:r>
    </w:p>
    <w:p w14:paraId="1DD9F52A" w14:textId="77777777" w:rsidR="0070565F" w:rsidRPr="0033269A" w:rsidRDefault="0070565F" w:rsidP="001330B6">
      <w:pPr>
        <w:pStyle w:val="SingleTxtG"/>
        <w:rPr>
          <w:lang w:val="fr-FR"/>
        </w:rPr>
      </w:pPr>
      <w:r w:rsidRPr="0033269A">
        <w:rPr>
          <w:lang w:val="fr-FR"/>
        </w:rPr>
        <w:t>4.</w:t>
      </w:r>
      <w:r w:rsidRPr="0033269A">
        <w:rPr>
          <w:lang w:val="fr-FR"/>
        </w:rPr>
        <w:tab/>
        <w:t>Les prescriptions relatives aux GRV qui sont énoncées au 6.5.1.1.2 sont manifestement fondées sur le libellé du 6.7.1.1, qui porte sur les citernes, et diffèrent considérablement des prescriptions énoncées aux 6.1.1.2, 6.3.2.1 et 6.6.1.3, qui portent sur les emballages. Toutefois, pour l</w:t>
      </w:r>
      <w:r w:rsidR="001330B6">
        <w:rPr>
          <w:lang w:val="fr-FR"/>
        </w:rPr>
        <w:t>’</w:t>
      </w:r>
      <w:r w:rsidRPr="0033269A">
        <w:rPr>
          <w:lang w:val="fr-FR"/>
        </w:rPr>
        <w:t>essentiel, les prescriptions relatives aux GRV suivent celles qui s</w:t>
      </w:r>
      <w:r w:rsidR="001330B6">
        <w:rPr>
          <w:lang w:val="fr-FR"/>
        </w:rPr>
        <w:t>’</w:t>
      </w:r>
      <w:r w:rsidRPr="0033269A">
        <w:rPr>
          <w:lang w:val="fr-FR"/>
        </w:rPr>
        <w:t xml:space="preserve">appliquent aux emballages et aux grands emballages. </w:t>
      </w:r>
    </w:p>
    <w:p w14:paraId="4D9F0FFE" w14:textId="77777777" w:rsidR="0070565F" w:rsidRPr="0033269A" w:rsidRDefault="0070565F" w:rsidP="001330B6">
      <w:pPr>
        <w:pStyle w:val="SingleTxtG"/>
        <w:rPr>
          <w:lang w:val="fr-FR"/>
        </w:rPr>
      </w:pPr>
      <w:r w:rsidRPr="0033269A">
        <w:rPr>
          <w:lang w:val="fr-FR"/>
        </w:rPr>
        <w:t>5.</w:t>
      </w:r>
      <w:r w:rsidRPr="0033269A">
        <w:rPr>
          <w:lang w:val="fr-FR"/>
        </w:rPr>
        <w:tab/>
        <w:t xml:space="preserve">La </w:t>
      </w:r>
      <w:r w:rsidR="00DC2272">
        <w:rPr>
          <w:lang w:val="fr-FR"/>
        </w:rPr>
        <w:t>« </w:t>
      </w:r>
      <w:r w:rsidRPr="0033269A">
        <w:rPr>
          <w:lang w:val="fr-FR"/>
        </w:rPr>
        <w:t>résistance au moins égale (...) au feu</w:t>
      </w:r>
      <w:r w:rsidR="00DC2272">
        <w:rPr>
          <w:lang w:val="fr-FR"/>
        </w:rPr>
        <w:t> »</w:t>
      </w:r>
      <w:r w:rsidRPr="0033269A">
        <w:rPr>
          <w:lang w:val="fr-FR"/>
        </w:rPr>
        <w:t xml:space="preserve"> qui est actuellement prescrite au 6.5.1.1.2 semble hors de propos pour les GRV qui ne sont pas en métal. En outre, ce paragraphe ne contient aucune disposition exigeant que les GRV qui présentent des spécifications différentes satisfassent aux épreuves. </w:t>
      </w:r>
    </w:p>
    <w:p w14:paraId="6A3564E7" w14:textId="77777777" w:rsidR="0070565F" w:rsidRPr="0033269A" w:rsidRDefault="0070565F" w:rsidP="001330B6">
      <w:pPr>
        <w:pStyle w:val="SingleTxtG"/>
        <w:rPr>
          <w:lang w:val="fr-FR"/>
        </w:rPr>
      </w:pPr>
      <w:r w:rsidRPr="0033269A">
        <w:rPr>
          <w:lang w:val="fr-FR"/>
        </w:rPr>
        <w:t>6.</w:t>
      </w:r>
      <w:r w:rsidRPr="0033269A">
        <w:rPr>
          <w:lang w:val="fr-FR"/>
        </w:rPr>
        <w:tab/>
        <w:t>Il convient aussi de noter que le Règlement type ne contient aucune prescription relative aux méthodes d</w:t>
      </w:r>
      <w:r w:rsidR="001330B6">
        <w:rPr>
          <w:lang w:val="fr-FR"/>
        </w:rPr>
        <w:t>’</w:t>
      </w:r>
      <w:r w:rsidRPr="0033269A">
        <w:rPr>
          <w:lang w:val="fr-FR"/>
        </w:rPr>
        <w:t>épreuve des GRV autres que celles applicables aux emballages énoncées aux 6.1.1.2 et 6.3.2.1, et celles applicables aux grands emballages énoncées au 6.6.1.3.</w:t>
      </w:r>
      <w:bookmarkStart w:id="1" w:name="_Hlk496559444"/>
    </w:p>
    <w:p w14:paraId="1D6CE5C2" w14:textId="77777777" w:rsidR="0070565F" w:rsidRPr="0033269A" w:rsidRDefault="0070565F" w:rsidP="001330B6">
      <w:pPr>
        <w:pStyle w:val="SingleTxtG"/>
        <w:rPr>
          <w:lang w:val="fr-FR"/>
        </w:rPr>
      </w:pPr>
      <w:r w:rsidRPr="0033269A">
        <w:rPr>
          <w:lang w:val="fr-FR"/>
        </w:rPr>
        <w:t>7.</w:t>
      </w:r>
      <w:r w:rsidRPr="0033269A">
        <w:rPr>
          <w:lang w:val="fr-FR"/>
        </w:rPr>
        <w:tab/>
        <w:t>À la différence des emballages et des grands emballages, les GRV sont soumis non seulement à des épreuves mais aussi à des inspections, ainsi qu</w:t>
      </w:r>
      <w:r w:rsidR="001330B6">
        <w:rPr>
          <w:lang w:val="fr-FR"/>
        </w:rPr>
        <w:t>’</w:t>
      </w:r>
      <w:r w:rsidRPr="0033269A">
        <w:rPr>
          <w:lang w:val="fr-FR"/>
        </w:rPr>
        <w:t>il est prévu aux paragraphes</w:t>
      </w:r>
      <w:r w:rsidR="002C64D4">
        <w:rPr>
          <w:lang w:val="fr-FR"/>
        </w:rPr>
        <w:t> </w:t>
      </w:r>
      <w:r w:rsidRPr="0033269A">
        <w:rPr>
          <w:lang w:val="fr-FR"/>
        </w:rPr>
        <w:t xml:space="preserve">6.5.4.2 et 6.5.4.4. En même temps que de nouvelles dispositions autorisant </w:t>
      </w:r>
      <w:r>
        <w:rPr>
          <w:lang w:val="fr-FR"/>
        </w:rPr>
        <w:t>d</w:t>
      </w:r>
      <w:r w:rsidR="001330B6">
        <w:rPr>
          <w:lang w:val="fr-FR"/>
        </w:rPr>
        <w:t>’</w:t>
      </w:r>
      <w:r>
        <w:rPr>
          <w:lang w:val="fr-FR"/>
        </w:rPr>
        <w:t>autr</w:t>
      </w:r>
      <w:r w:rsidRPr="0033269A">
        <w:rPr>
          <w:lang w:val="fr-FR"/>
        </w:rPr>
        <w:t>es méthodes d</w:t>
      </w:r>
      <w:r w:rsidR="001330B6">
        <w:rPr>
          <w:lang w:val="fr-FR"/>
        </w:rPr>
        <w:t>’</w:t>
      </w:r>
      <w:r w:rsidRPr="0033269A">
        <w:rPr>
          <w:lang w:val="fr-FR"/>
        </w:rPr>
        <w:t>épreuve, il conviendrait donc d</w:t>
      </w:r>
      <w:r w:rsidR="001330B6">
        <w:rPr>
          <w:lang w:val="fr-FR"/>
        </w:rPr>
        <w:t>’</w:t>
      </w:r>
      <w:r w:rsidRPr="0033269A">
        <w:rPr>
          <w:lang w:val="fr-FR"/>
        </w:rPr>
        <w:t>ajouter des dispositions autorisant l</w:t>
      </w:r>
      <w:r w:rsidR="001330B6">
        <w:rPr>
          <w:lang w:val="fr-FR"/>
        </w:rPr>
        <w:t>’</w:t>
      </w:r>
      <w:r w:rsidRPr="0033269A">
        <w:rPr>
          <w:lang w:val="fr-FR"/>
        </w:rPr>
        <w:t>emploi d</w:t>
      </w:r>
      <w:r w:rsidR="001330B6">
        <w:rPr>
          <w:lang w:val="fr-FR"/>
        </w:rPr>
        <w:t>’</w:t>
      </w:r>
      <w:r>
        <w:rPr>
          <w:lang w:val="fr-FR"/>
        </w:rPr>
        <w:t>autres</w:t>
      </w:r>
      <w:r w:rsidRPr="0033269A">
        <w:rPr>
          <w:lang w:val="fr-FR"/>
        </w:rPr>
        <w:t xml:space="preserve"> méthodes d</w:t>
      </w:r>
      <w:r w:rsidR="001330B6">
        <w:rPr>
          <w:lang w:val="fr-FR"/>
        </w:rPr>
        <w:t>’</w:t>
      </w:r>
      <w:r w:rsidRPr="0033269A">
        <w:rPr>
          <w:lang w:val="fr-FR"/>
        </w:rPr>
        <w:t>inspection pour autant qu</w:t>
      </w:r>
      <w:r w:rsidR="001330B6">
        <w:rPr>
          <w:lang w:val="fr-FR"/>
        </w:rPr>
        <w:t>’</w:t>
      </w:r>
      <w:r w:rsidRPr="0033269A">
        <w:rPr>
          <w:lang w:val="fr-FR"/>
        </w:rPr>
        <w:t xml:space="preserve">elles soient équivalentes. </w:t>
      </w:r>
    </w:p>
    <w:bookmarkEnd w:id="1"/>
    <w:p w14:paraId="75B71645" w14:textId="77777777" w:rsidR="0070565F" w:rsidRPr="0033269A" w:rsidRDefault="0070565F" w:rsidP="001330B6">
      <w:pPr>
        <w:pStyle w:val="SingleTxtG"/>
        <w:rPr>
          <w:lang w:val="fr-FR"/>
        </w:rPr>
      </w:pPr>
      <w:r w:rsidRPr="0033269A">
        <w:rPr>
          <w:lang w:val="fr-FR"/>
        </w:rPr>
        <w:lastRenderedPageBreak/>
        <w:t>8.</w:t>
      </w:r>
      <w:r w:rsidRPr="0033269A">
        <w:rPr>
          <w:lang w:val="fr-FR"/>
        </w:rPr>
        <w:tab/>
        <w:t>Compte tenu de ce qui précède, il est proposé de modifier l</w:t>
      </w:r>
      <w:r w:rsidR="001330B6">
        <w:rPr>
          <w:lang w:val="fr-FR"/>
        </w:rPr>
        <w:t>’</w:t>
      </w:r>
      <w:r w:rsidRPr="0033269A">
        <w:rPr>
          <w:lang w:val="fr-FR"/>
        </w:rPr>
        <w:t>énoncé du paragraphe</w:t>
      </w:r>
      <w:r w:rsidR="00DC2272">
        <w:rPr>
          <w:lang w:val="fr-FR"/>
        </w:rPr>
        <w:t> </w:t>
      </w:r>
      <w:r w:rsidRPr="0033269A">
        <w:rPr>
          <w:lang w:val="fr-FR"/>
        </w:rPr>
        <w:t>6.5.1.1.2 de manière à harmoniser les prescriptions s</w:t>
      </w:r>
      <w:r w:rsidR="001330B6">
        <w:rPr>
          <w:lang w:val="fr-FR"/>
        </w:rPr>
        <w:t>’</w:t>
      </w:r>
      <w:r w:rsidRPr="0033269A">
        <w:rPr>
          <w:lang w:val="fr-FR"/>
        </w:rPr>
        <w:t>appliquant aux emballages, aux GRV et aux grands emballages.</w:t>
      </w:r>
    </w:p>
    <w:p w14:paraId="0BDE4A42" w14:textId="77777777" w:rsidR="0070565F" w:rsidRPr="0033269A" w:rsidRDefault="0070565F" w:rsidP="001330B6">
      <w:pPr>
        <w:pStyle w:val="HChG"/>
        <w:rPr>
          <w:lang w:val="fr-FR"/>
        </w:rPr>
      </w:pPr>
      <w:r w:rsidRPr="0033269A">
        <w:rPr>
          <w:lang w:val="fr-FR"/>
        </w:rPr>
        <w:tab/>
      </w:r>
      <w:r w:rsidRPr="0033269A">
        <w:rPr>
          <w:lang w:val="fr-FR"/>
        </w:rPr>
        <w:tab/>
        <w:t>Proposition</w:t>
      </w:r>
    </w:p>
    <w:p w14:paraId="69D37CBF" w14:textId="77777777" w:rsidR="0070565F" w:rsidRPr="0033269A" w:rsidRDefault="0070565F" w:rsidP="001330B6">
      <w:pPr>
        <w:pStyle w:val="SingleTxtG"/>
        <w:rPr>
          <w:lang w:val="fr-FR"/>
        </w:rPr>
      </w:pPr>
      <w:r w:rsidRPr="0033269A">
        <w:rPr>
          <w:lang w:val="fr-FR"/>
        </w:rPr>
        <w:t>9.</w:t>
      </w:r>
      <w:r w:rsidRPr="0033269A">
        <w:rPr>
          <w:lang w:val="fr-FR"/>
        </w:rPr>
        <w:tab/>
        <w:t>Paragraphe</w:t>
      </w:r>
      <w:r w:rsidR="001330B6">
        <w:rPr>
          <w:lang w:val="fr-FR"/>
        </w:rPr>
        <w:t> </w:t>
      </w:r>
      <w:r w:rsidRPr="0033269A">
        <w:rPr>
          <w:lang w:val="fr-FR"/>
        </w:rPr>
        <w:t>6.5.1.1.2, lire :</w:t>
      </w:r>
    </w:p>
    <w:p w14:paraId="7165A31F" w14:textId="77777777" w:rsidR="007D5103" w:rsidRDefault="0070565F" w:rsidP="001330B6">
      <w:pPr>
        <w:pStyle w:val="SingleTxtG"/>
        <w:ind w:left="1701"/>
      </w:pPr>
      <w:r w:rsidRPr="0033269A">
        <w:rPr>
          <w:lang w:val="fr-FR"/>
        </w:rPr>
        <w:t xml:space="preserve">« Les prescriptions énoncées relatives aux grands récipients pour vrac (GRV) énoncées au 6.5.3 sont basées sur les GRV </w:t>
      </w:r>
      <w:r>
        <w:rPr>
          <w:lang w:val="fr-FR"/>
        </w:rPr>
        <w:t xml:space="preserve">qui sont </w:t>
      </w:r>
      <w:r w:rsidRPr="0033269A">
        <w:rPr>
          <w:lang w:val="fr-FR"/>
        </w:rPr>
        <w:t>utilisés actuellement. Pour tenir compte du progrès scientifique et technique, il est admis que l</w:t>
      </w:r>
      <w:r w:rsidR="001330B6">
        <w:rPr>
          <w:lang w:val="fr-FR"/>
        </w:rPr>
        <w:t>’</w:t>
      </w:r>
      <w:r w:rsidRPr="0033269A">
        <w:rPr>
          <w:lang w:val="fr-FR"/>
        </w:rPr>
        <w:t>on utilise des GRV dont les spécifications diff</w:t>
      </w:r>
      <w:r>
        <w:rPr>
          <w:lang w:val="fr-FR"/>
        </w:rPr>
        <w:t>è</w:t>
      </w:r>
      <w:r w:rsidRPr="0033269A">
        <w:rPr>
          <w:lang w:val="fr-FR"/>
        </w:rPr>
        <w:t>rent de celles définies au 6.5.3 et au 6.5.5, à condition qu</w:t>
      </w:r>
      <w:r w:rsidR="001330B6">
        <w:rPr>
          <w:lang w:val="fr-FR"/>
        </w:rPr>
        <w:t>’</w:t>
      </w:r>
      <w:r w:rsidRPr="0033269A">
        <w:rPr>
          <w:lang w:val="fr-FR"/>
        </w:rPr>
        <w:t>ils aient une efficacité égale, qu</w:t>
      </w:r>
      <w:r w:rsidR="001330B6">
        <w:rPr>
          <w:lang w:val="fr-FR"/>
        </w:rPr>
        <w:t>’</w:t>
      </w:r>
      <w:r w:rsidRPr="0033269A">
        <w:rPr>
          <w:lang w:val="fr-FR"/>
        </w:rPr>
        <w:t>ils soient acceptables pour l</w:t>
      </w:r>
      <w:r w:rsidR="001330B6">
        <w:rPr>
          <w:lang w:val="fr-FR"/>
        </w:rPr>
        <w:t>’</w:t>
      </w:r>
      <w:r w:rsidRPr="0033269A">
        <w:rPr>
          <w:lang w:val="fr-FR"/>
        </w:rPr>
        <w:t>autorité compétente et qu</w:t>
      </w:r>
      <w:r w:rsidR="001330B6">
        <w:rPr>
          <w:lang w:val="fr-FR"/>
        </w:rPr>
        <w:t>’</w:t>
      </w:r>
      <w:r w:rsidRPr="0033269A">
        <w:rPr>
          <w:lang w:val="fr-FR"/>
        </w:rPr>
        <w:t>ils satisfassent aux épreuves décrites aux 6.5.4 et 6.5.6. Des méthodes d</w:t>
      </w:r>
      <w:r w:rsidR="001330B6">
        <w:rPr>
          <w:lang w:val="fr-FR"/>
        </w:rPr>
        <w:t>’</w:t>
      </w:r>
      <w:r w:rsidRPr="0033269A">
        <w:rPr>
          <w:lang w:val="fr-FR"/>
        </w:rPr>
        <w:t>inspection et d</w:t>
      </w:r>
      <w:r w:rsidR="001330B6">
        <w:rPr>
          <w:lang w:val="fr-FR"/>
        </w:rPr>
        <w:t>’</w:t>
      </w:r>
      <w:r w:rsidRPr="0033269A">
        <w:rPr>
          <w:lang w:val="fr-FR"/>
        </w:rPr>
        <w:t>épreuve autres que celles décrites dans le présent Règlement sont admises pour autant qu</w:t>
      </w:r>
      <w:r w:rsidR="001330B6">
        <w:rPr>
          <w:lang w:val="fr-FR"/>
        </w:rPr>
        <w:t>’</w:t>
      </w:r>
      <w:r w:rsidRPr="0033269A">
        <w:rPr>
          <w:lang w:val="fr-FR"/>
        </w:rPr>
        <w:t>elles soient équivalentes. ».</w:t>
      </w:r>
    </w:p>
    <w:p w14:paraId="632FC024" w14:textId="77777777" w:rsidR="00446FE5" w:rsidRPr="001330B6" w:rsidRDefault="001330B6" w:rsidP="001330B6">
      <w:pPr>
        <w:pStyle w:val="SingleTxtG"/>
        <w:spacing w:before="240" w:after="0"/>
        <w:jc w:val="center"/>
        <w:rPr>
          <w:u w:val="single"/>
        </w:rPr>
      </w:pPr>
      <w:r>
        <w:rPr>
          <w:u w:val="single"/>
        </w:rPr>
        <w:tab/>
      </w:r>
      <w:r>
        <w:rPr>
          <w:u w:val="single"/>
        </w:rPr>
        <w:tab/>
      </w:r>
      <w:r>
        <w:rPr>
          <w:u w:val="single"/>
        </w:rPr>
        <w:tab/>
      </w:r>
    </w:p>
    <w:sectPr w:rsidR="00446FE5" w:rsidRPr="001330B6" w:rsidSect="007D51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0E38" w14:textId="77777777" w:rsidR="00B86EA5" w:rsidRDefault="00B86EA5" w:rsidP="00F95C08">
      <w:pPr>
        <w:spacing w:line="240" w:lineRule="auto"/>
      </w:pPr>
    </w:p>
  </w:endnote>
  <w:endnote w:type="continuationSeparator" w:id="0">
    <w:p w14:paraId="6AAFEB8D" w14:textId="77777777" w:rsidR="00B86EA5" w:rsidRPr="00AC3823" w:rsidRDefault="00B86EA5" w:rsidP="00AC3823">
      <w:pPr>
        <w:pStyle w:val="Footer"/>
      </w:pPr>
    </w:p>
  </w:endnote>
  <w:endnote w:type="continuationNotice" w:id="1">
    <w:p w14:paraId="7E69E566" w14:textId="77777777" w:rsidR="00B86EA5" w:rsidRDefault="00B86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10B0" w14:textId="77777777" w:rsidR="007D5103" w:rsidRPr="007D5103" w:rsidRDefault="007D5103" w:rsidP="007D5103">
    <w:pPr>
      <w:pStyle w:val="Footer"/>
      <w:tabs>
        <w:tab w:val="right" w:pos="9638"/>
      </w:tabs>
    </w:pPr>
    <w:r w:rsidRPr="007D5103">
      <w:rPr>
        <w:b/>
        <w:sz w:val="18"/>
      </w:rPr>
      <w:fldChar w:fldCharType="begin"/>
    </w:r>
    <w:r w:rsidRPr="007D5103">
      <w:rPr>
        <w:b/>
        <w:sz w:val="18"/>
      </w:rPr>
      <w:instrText xml:space="preserve"> PAGE  \* MERGEFORMAT </w:instrText>
    </w:r>
    <w:r w:rsidRPr="007D5103">
      <w:rPr>
        <w:b/>
        <w:sz w:val="18"/>
      </w:rPr>
      <w:fldChar w:fldCharType="separate"/>
    </w:r>
    <w:r w:rsidRPr="007D5103">
      <w:rPr>
        <w:b/>
        <w:noProof/>
        <w:sz w:val="18"/>
      </w:rPr>
      <w:t>2</w:t>
    </w:r>
    <w:r w:rsidRPr="007D5103">
      <w:rPr>
        <w:b/>
        <w:sz w:val="18"/>
      </w:rPr>
      <w:fldChar w:fldCharType="end"/>
    </w:r>
    <w:r>
      <w:rPr>
        <w:b/>
        <w:sz w:val="18"/>
      </w:rPr>
      <w:tab/>
    </w:r>
    <w:r>
      <w:t>GE.19-04926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E823" w14:textId="77777777" w:rsidR="007D5103" w:rsidRPr="007D5103" w:rsidRDefault="007D5103" w:rsidP="007D5103">
    <w:pPr>
      <w:pStyle w:val="Footer"/>
      <w:tabs>
        <w:tab w:val="right" w:pos="9638"/>
      </w:tabs>
      <w:rPr>
        <w:b/>
        <w:sz w:val="18"/>
      </w:rPr>
    </w:pPr>
    <w:r>
      <w:t>GE.19-04926</w:t>
    </w:r>
    <w:r>
      <w:tab/>
    </w:r>
    <w:r w:rsidRPr="007D5103">
      <w:rPr>
        <w:b/>
        <w:sz w:val="18"/>
      </w:rPr>
      <w:fldChar w:fldCharType="begin"/>
    </w:r>
    <w:r w:rsidRPr="007D5103">
      <w:rPr>
        <w:b/>
        <w:sz w:val="18"/>
      </w:rPr>
      <w:instrText xml:space="preserve"> PAGE  \* MERGEFORMAT </w:instrText>
    </w:r>
    <w:r w:rsidRPr="007D5103">
      <w:rPr>
        <w:b/>
        <w:sz w:val="18"/>
      </w:rPr>
      <w:fldChar w:fldCharType="separate"/>
    </w:r>
    <w:r w:rsidRPr="007D5103">
      <w:rPr>
        <w:b/>
        <w:noProof/>
        <w:sz w:val="18"/>
      </w:rPr>
      <w:t>3</w:t>
    </w:r>
    <w:r w:rsidRPr="007D51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9BF9" w14:textId="77777777" w:rsidR="0068456F" w:rsidRPr="007D5103" w:rsidRDefault="007D5103" w:rsidP="007D510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E646F94" wp14:editId="1E196CE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19-04926  (F)</w:t>
    </w:r>
    <w:r w:rsidR="001330B6">
      <w:rPr>
        <w:sz w:val="20"/>
      </w:rPr>
      <w:t xml:space="preserve">    010519    100519</w:t>
    </w:r>
    <w:r>
      <w:rPr>
        <w:sz w:val="20"/>
      </w:rPr>
      <w:br/>
    </w:r>
    <w:r w:rsidRPr="007D5103">
      <w:rPr>
        <w:rFonts w:ascii="C39T30Lfz" w:hAnsi="C39T30Lfz"/>
        <w:sz w:val="56"/>
      </w:rPr>
      <w:t></w:t>
    </w:r>
    <w:r w:rsidRPr="007D5103">
      <w:rPr>
        <w:rFonts w:ascii="C39T30Lfz" w:hAnsi="C39T30Lfz"/>
        <w:sz w:val="56"/>
      </w:rPr>
      <w:t></w:t>
    </w:r>
    <w:r w:rsidRPr="007D5103">
      <w:rPr>
        <w:rFonts w:ascii="C39T30Lfz" w:hAnsi="C39T30Lfz"/>
        <w:sz w:val="56"/>
      </w:rPr>
      <w:t></w:t>
    </w:r>
    <w:r w:rsidRPr="007D5103">
      <w:rPr>
        <w:rFonts w:ascii="C39T30Lfz" w:hAnsi="C39T30Lfz"/>
        <w:sz w:val="56"/>
      </w:rPr>
      <w:t></w:t>
    </w:r>
    <w:r w:rsidRPr="007D5103">
      <w:rPr>
        <w:rFonts w:ascii="C39T30Lfz" w:hAnsi="C39T30Lfz"/>
        <w:sz w:val="56"/>
      </w:rPr>
      <w:t></w:t>
    </w:r>
    <w:r w:rsidRPr="007D5103">
      <w:rPr>
        <w:rFonts w:ascii="C39T30Lfz" w:hAnsi="C39T30Lfz"/>
        <w:sz w:val="56"/>
      </w:rPr>
      <w:t></w:t>
    </w:r>
    <w:r w:rsidRPr="007D5103">
      <w:rPr>
        <w:rFonts w:ascii="C39T30Lfz" w:hAnsi="C39T30Lfz"/>
        <w:sz w:val="56"/>
      </w:rPr>
      <w:t></w:t>
    </w:r>
    <w:r w:rsidRPr="007D5103">
      <w:rPr>
        <w:rFonts w:ascii="C39T30Lfz" w:hAnsi="C39T30Lfz"/>
        <w:sz w:val="56"/>
      </w:rPr>
      <w:t></w:t>
    </w:r>
    <w:r w:rsidRPr="007D5103">
      <w:rPr>
        <w:rFonts w:ascii="C39T30Lfz" w:hAnsi="C39T30Lfz"/>
        <w:sz w:val="56"/>
      </w:rPr>
      <w:t></w:t>
    </w:r>
    <w:r>
      <w:rPr>
        <w:noProof/>
        <w:sz w:val="20"/>
      </w:rPr>
      <w:drawing>
        <wp:anchor distT="0" distB="0" distL="114300" distR="114300" simplePos="0" relativeHeight="251658240" behindDoc="0" locked="0" layoutInCell="1" allowOverlap="1" wp14:anchorId="0916548C" wp14:editId="38B6366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E734" w14:textId="77777777" w:rsidR="00B86EA5" w:rsidRPr="00AC3823" w:rsidRDefault="00B86EA5" w:rsidP="00AC3823">
      <w:pPr>
        <w:pStyle w:val="Footer"/>
        <w:tabs>
          <w:tab w:val="right" w:pos="2155"/>
        </w:tabs>
        <w:spacing w:after="80" w:line="240" w:lineRule="atLeast"/>
        <w:ind w:left="680"/>
        <w:rPr>
          <w:u w:val="single"/>
        </w:rPr>
      </w:pPr>
      <w:r>
        <w:rPr>
          <w:u w:val="single"/>
        </w:rPr>
        <w:tab/>
      </w:r>
    </w:p>
  </w:footnote>
  <w:footnote w:type="continuationSeparator" w:id="0">
    <w:p w14:paraId="21EEAA6C" w14:textId="77777777" w:rsidR="00B86EA5" w:rsidRPr="00AC3823" w:rsidRDefault="00B86EA5" w:rsidP="00AC3823">
      <w:pPr>
        <w:pStyle w:val="Footer"/>
        <w:tabs>
          <w:tab w:val="right" w:pos="2155"/>
        </w:tabs>
        <w:spacing w:after="80" w:line="240" w:lineRule="atLeast"/>
        <w:ind w:left="680"/>
        <w:rPr>
          <w:u w:val="single"/>
        </w:rPr>
      </w:pPr>
      <w:r>
        <w:rPr>
          <w:u w:val="single"/>
        </w:rPr>
        <w:tab/>
      </w:r>
    </w:p>
  </w:footnote>
  <w:footnote w:type="continuationNotice" w:id="1">
    <w:p w14:paraId="6E79105F" w14:textId="77777777" w:rsidR="00B86EA5" w:rsidRPr="00AC3823" w:rsidRDefault="00B86EA5">
      <w:pPr>
        <w:spacing w:line="240" w:lineRule="auto"/>
        <w:rPr>
          <w:sz w:val="2"/>
          <w:szCs w:val="2"/>
        </w:rPr>
      </w:pPr>
    </w:p>
  </w:footnote>
  <w:footnote w:id="2">
    <w:p w14:paraId="415117EE" w14:textId="77777777" w:rsidR="001330B6" w:rsidRPr="001330B6" w:rsidRDefault="001330B6">
      <w:pPr>
        <w:pStyle w:val="FootnoteText"/>
      </w:pPr>
      <w:r>
        <w:rPr>
          <w:rStyle w:val="FootnoteReference"/>
        </w:rPr>
        <w:tab/>
      </w:r>
      <w:r w:rsidRPr="001330B6">
        <w:rPr>
          <w:rStyle w:val="FootnoteReference"/>
          <w:sz w:val="20"/>
          <w:vertAlign w:val="baseline"/>
        </w:rPr>
        <w:t>*</w:t>
      </w:r>
      <w:r>
        <w:rPr>
          <w:rStyle w:val="FootnoteReference"/>
          <w:sz w:val="20"/>
          <w:vertAlign w:val="baseline"/>
        </w:rPr>
        <w:tab/>
      </w:r>
      <w:r w:rsidRPr="002F59D2">
        <w:rPr>
          <w:lang w:val="fr-FR" w:eastAsia="en-GB"/>
        </w:rPr>
        <w:t>Conformément au programme de travail du Sous-Comité pour la période 2019-2020, approuvé par le Comité à sa neuvième session (voir ST/SG/AC.10/C.3/108, par.</w:t>
      </w:r>
      <w:r>
        <w:rPr>
          <w:lang w:val="fr-FR" w:eastAsia="en-GB"/>
        </w:rPr>
        <w:t> </w:t>
      </w:r>
      <w:r w:rsidRPr="002F59D2">
        <w:rPr>
          <w:lang w:val="fr-FR" w:eastAsia="en-GB"/>
        </w:rPr>
        <w:t>141, et ST/SG/AC.10/46, par.</w:t>
      </w:r>
      <w:r>
        <w:rPr>
          <w:lang w:val="fr-FR" w:eastAsia="en-GB"/>
        </w:rPr>
        <w:t> </w:t>
      </w:r>
      <w:r w:rsidRPr="002F59D2">
        <w:rPr>
          <w:lang w:val="fr-FR" w:eastAsia="en-GB"/>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C66D" w14:textId="1FF312D6" w:rsidR="007D5103" w:rsidRPr="007D5103" w:rsidRDefault="00720D84">
    <w:pPr>
      <w:pStyle w:val="Header"/>
    </w:pPr>
    <w:r>
      <w:fldChar w:fldCharType="begin"/>
    </w:r>
    <w:r>
      <w:instrText xml:space="preserve"> TITLE  \* MERGEFORMAT </w:instrText>
    </w:r>
    <w:r>
      <w:fldChar w:fldCharType="separate"/>
    </w:r>
    <w:r>
      <w:t>ST/SG/AC.10/C.3/2019/5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BACE" w14:textId="1C5473FF" w:rsidR="007D5103" w:rsidRPr="007D5103" w:rsidRDefault="00720D84" w:rsidP="007D5103">
    <w:pPr>
      <w:pStyle w:val="Header"/>
      <w:jc w:val="right"/>
    </w:pPr>
    <w:r>
      <w:fldChar w:fldCharType="begin"/>
    </w:r>
    <w:r>
      <w:instrText xml:space="preserve"> TITLE  \* MERGEFORMAT </w:instrText>
    </w:r>
    <w:r>
      <w:fldChar w:fldCharType="separate"/>
    </w:r>
    <w:r>
      <w:t>ST/SG/AC.10/C.3/2019/5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A5"/>
    <w:rsid w:val="00017F94"/>
    <w:rsid w:val="00023842"/>
    <w:rsid w:val="000305D3"/>
    <w:rsid w:val="000334F9"/>
    <w:rsid w:val="0007796D"/>
    <w:rsid w:val="000B7790"/>
    <w:rsid w:val="00111F2F"/>
    <w:rsid w:val="00132EA9"/>
    <w:rsid w:val="001330B6"/>
    <w:rsid w:val="00137FC9"/>
    <w:rsid w:val="0014365E"/>
    <w:rsid w:val="00176178"/>
    <w:rsid w:val="001F525A"/>
    <w:rsid w:val="00223272"/>
    <w:rsid w:val="0024779E"/>
    <w:rsid w:val="00283190"/>
    <w:rsid w:val="002832AC"/>
    <w:rsid w:val="002C64D4"/>
    <w:rsid w:val="002D7C93"/>
    <w:rsid w:val="003529B8"/>
    <w:rsid w:val="00441C3B"/>
    <w:rsid w:val="00446FE5"/>
    <w:rsid w:val="00452396"/>
    <w:rsid w:val="004E468C"/>
    <w:rsid w:val="005505B7"/>
    <w:rsid w:val="00573BE5"/>
    <w:rsid w:val="00584DC4"/>
    <w:rsid w:val="00586ED3"/>
    <w:rsid w:val="00596AA9"/>
    <w:rsid w:val="00623B72"/>
    <w:rsid w:val="0068456F"/>
    <w:rsid w:val="0070565F"/>
    <w:rsid w:val="0071601D"/>
    <w:rsid w:val="00720D84"/>
    <w:rsid w:val="007A62E6"/>
    <w:rsid w:val="007C6C6A"/>
    <w:rsid w:val="007D5103"/>
    <w:rsid w:val="0080684C"/>
    <w:rsid w:val="00871C75"/>
    <w:rsid w:val="008776DC"/>
    <w:rsid w:val="008B40CD"/>
    <w:rsid w:val="0092289C"/>
    <w:rsid w:val="00961DFE"/>
    <w:rsid w:val="009705C8"/>
    <w:rsid w:val="009C1CF4"/>
    <w:rsid w:val="00A30353"/>
    <w:rsid w:val="00AC3823"/>
    <w:rsid w:val="00AE323C"/>
    <w:rsid w:val="00B00181"/>
    <w:rsid w:val="00B00B0D"/>
    <w:rsid w:val="00B765F7"/>
    <w:rsid w:val="00B86EA5"/>
    <w:rsid w:val="00BA0CA9"/>
    <w:rsid w:val="00C02897"/>
    <w:rsid w:val="00D3439C"/>
    <w:rsid w:val="00DB1831"/>
    <w:rsid w:val="00DC2272"/>
    <w:rsid w:val="00DD3BFD"/>
    <w:rsid w:val="00DF6678"/>
    <w:rsid w:val="00E82C55"/>
    <w:rsid w:val="00EF2E22"/>
    <w:rsid w:val="00F01738"/>
    <w:rsid w:val="00F35C6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6A710"/>
  <w15:docId w15:val="{044F2B1A-60A7-4279-8DA1-53115CC8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vt:lpstr>
      <vt:lpstr>ST/SG/AC.10/C.3/2019/5</vt:lpstr>
    </vt:vector>
  </TitlesOfParts>
  <Company>DCM</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dc:title>
  <dc:subject/>
  <dc:creator>Julien OKRZESIK</dc:creator>
  <cp:keywords/>
  <cp:lastModifiedBy>Laurence Berthet</cp:lastModifiedBy>
  <cp:revision>3</cp:revision>
  <cp:lastPrinted>2019-05-10T12:03:00Z</cp:lastPrinted>
  <dcterms:created xsi:type="dcterms:W3CDTF">2019-05-10T12:03:00Z</dcterms:created>
  <dcterms:modified xsi:type="dcterms:W3CDTF">2019-05-10T12:03:00Z</dcterms:modified>
</cp:coreProperties>
</file>