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15EF14B1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1E4442D" w14:textId="77777777" w:rsidR="00132EA9" w:rsidRPr="00DB58B5" w:rsidRDefault="00132EA9" w:rsidP="00F753F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D181C3B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0FFF1E1" w14:textId="77777777" w:rsidR="00132EA9" w:rsidRPr="00DB58B5" w:rsidRDefault="00F753F7" w:rsidP="00F753F7">
            <w:pPr>
              <w:jc w:val="right"/>
            </w:pPr>
            <w:r w:rsidRPr="00F753F7">
              <w:rPr>
                <w:sz w:val="40"/>
              </w:rPr>
              <w:t>ST</w:t>
            </w:r>
            <w:r>
              <w:t>/SG/AC.10/C.3/2019/53</w:t>
            </w:r>
          </w:p>
        </w:tc>
      </w:tr>
      <w:tr w:rsidR="00132EA9" w:rsidRPr="00DB58B5" w14:paraId="3AE831B3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FF97683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E08FEC7" wp14:editId="1A23033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443982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45F19BB" w14:textId="77777777" w:rsidR="00132EA9" w:rsidRDefault="00F753F7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4F6AC4D1" w14:textId="77777777" w:rsidR="00F753F7" w:rsidRDefault="00F753F7" w:rsidP="00F753F7">
            <w:pPr>
              <w:spacing w:line="240" w:lineRule="exact"/>
            </w:pPr>
            <w:r>
              <w:t>10 septembre 2019</w:t>
            </w:r>
          </w:p>
          <w:p w14:paraId="4E0D745F" w14:textId="77777777" w:rsidR="00F753F7" w:rsidRDefault="00F753F7" w:rsidP="00F753F7">
            <w:pPr>
              <w:spacing w:line="240" w:lineRule="exact"/>
            </w:pPr>
            <w:r>
              <w:t>Français</w:t>
            </w:r>
          </w:p>
          <w:p w14:paraId="7536304F" w14:textId="77777777" w:rsidR="00F753F7" w:rsidRPr="00DB58B5" w:rsidRDefault="00F753F7" w:rsidP="00F753F7">
            <w:pPr>
              <w:spacing w:line="240" w:lineRule="exact"/>
            </w:pPr>
            <w:r>
              <w:t>Original : anglais</w:t>
            </w:r>
          </w:p>
        </w:tc>
      </w:tr>
    </w:tbl>
    <w:p w14:paraId="78C76230" w14:textId="77777777" w:rsidR="00F753F7" w:rsidRPr="00CA0680" w:rsidRDefault="00F753F7" w:rsidP="00F753F7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140EB431" w14:textId="77777777" w:rsidR="00F753F7" w:rsidRPr="00CA0680" w:rsidRDefault="00F753F7" w:rsidP="00F753F7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d’experts du transport des marchandises dangereuses</w:t>
      </w:r>
    </w:p>
    <w:p w14:paraId="13236CE2" w14:textId="77777777" w:rsidR="00F753F7" w:rsidRPr="000909DC" w:rsidRDefault="00F753F7" w:rsidP="00F753F7">
      <w:pPr>
        <w:spacing w:before="120"/>
        <w:rPr>
          <w:b/>
          <w:lang w:val="fr-FR"/>
        </w:rPr>
      </w:pPr>
      <w:r>
        <w:rPr>
          <w:b/>
          <w:bCs/>
          <w:lang w:val="fr-FR"/>
        </w:rPr>
        <w:t>Cinquante-sixième session</w:t>
      </w:r>
    </w:p>
    <w:p w14:paraId="5114CC9A" w14:textId="77777777" w:rsidR="00F753F7" w:rsidRPr="000909DC" w:rsidRDefault="00F753F7" w:rsidP="00F753F7">
      <w:pPr>
        <w:rPr>
          <w:lang w:val="fr-FR"/>
        </w:rPr>
      </w:pPr>
      <w:r>
        <w:rPr>
          <w:lang w:val="fr-FR"/>
        </w:rPr>
        <w:t>Genève, 2-11 décembre 2019</w:t>
      </w:r>
    </w:p>
    <w:p w14:paraId="25FA1A1F" w14:textId="77777777" w:rsidR="00F753F7" w:rsidRPr="000909DC" w:rsidRDefault="00F753F7" w:rsidP="00F753F7">
      <w:pPr>
        <w:rPr>
          <w:lang w:val="fr-FR"/>
        </w:rPr>
      </w:pPr>
      <w:r>
        <w:rPr>
          <w:lang w:val="fr-FR"/>
        </w:rPr>
        <w:t xml:space="preserve">Point </w:t>
      </w:r>
      <w:r w:rsidR="00CE35E5">
        <w:rPr>
          <w:lang w:val="fr-FR"/>
        </w:rPr>
        <w:t>10 c)</w:t>
      </w:r>
      <w:r>
        <w:rPr>
          <w:lang w:val="fr-FR"/>
        </w:rPr>
        <w:t xml:space="preserve"> de l’ordre du jour provisoire</w:t>
      </w:r>
    </w:p>
    <w:p w14:paraId="06C8D981" w14:textId="77777777" w:rsidR="00CE35E5" w:rsidRPr="009D576F" w:rsidRDefault="00CE35E5" w:rsidP="00CE35E5">
      <w:pPr>
        <w:spacing w:line="240" w:lineRule="auto"/>
        <w:rPr>
          <w:b/>
          <w:bCs/>
        </w:rPr>
      </w:pPr>
      <w:r>
        <w:rPr>
          <w:b/>
          <w:bCs/>
          <w:lang w:val="fr-FR"/>
        </w:rPr>
        <w:t xml:space="preserve">Questions relatives au Système général harmonisé de classification </w:t>
      </w:r>
      <w:r w:rsidR="00277FE0">
        <w:rPr>
          <w:b/>
          <w:bCs/>
          <w:lang w:val="fr-FR"/>
        </w:rPr>
        <w:br/>
      </w:r>
      <w:r>
        <w:rPr>
          <w:b/>
          <w:bCs/>
          <w:lang w:val="fr-FR"/>
        </w:rPr>
        <w:t>et d’étiquetage des produits chimiques (SGH)</w:t>
      </w:r>
      <w:r w:rsidR="00277FE0"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  <w:r w:rsidR="00277FE0">
        <w:rPr>
          <w:b/>
          <w:bCs/>
          <w:lang w:val="fr-FR"/>
        </w:rPr>
        <w:br/>
      </w:r>
      <w:r>
        <w:rPr>
          <w:b/>
          <w:bCs/>
          <w:lang w:val="fr-FR"/>
        </w:rPr>
        <w:t>Mise à jour des références aux directives de l’OCDE</w:t>
      </w:r>
    </w:p>
    <w:p w14:paraId="624CCCDA" w14:textId="77777777" w:rsidR="00CE35E5" w:rsidRDefault="00CE35E5" w:rsidP="00077350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Révision mineure du paragraphe 2.8.3.2</w:t>
      </w:r>
    </w:p>
    <w:p w14:paraId="375BC0BB" w14:textId="77777777" w:rsidR="00CE35E5" w:rsidRDefault="00CE35E5" w:rsidP="00077350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Communication de l’Union européenne et des Pays-Bas</w:t>
      </w:r>
      <w:r w:rsidRPr="00077350">
        <w:rPr>
          <w:rStyle w:val="FootnoteReference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55FD913C" w14:textId="77777777" w:rsidR="00CE35E5" w:rsidRDefault="00CE35E5" w:rsidP="00077350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7BB999B0" w14:textId="77777777" w:rsidR="00CE35E5" w:rsidRPr="00FD4249" w:rsidRDefault="00CE35E5" w:rsidP="00077350">
      <w:pPr>
        <w:pStyle w:val="SingleTxtG"/>
      </w:pPr>
      <w:r w:rsidRPr="00FD4249">
        <w:t>1.</w:t>
      </w:r>
      <w:r w:rsidRPr="00FD4249">
        <w:tab/>
      </w:r>
      <w:r>
        <w:rPr>
          <w:lang w:val="fr-FR"/>
        </w:rPr>
        <w:t>La Commission européenne souhaite remercier tous les représentants qui ont contribué à l’établissement de la version finale du paragraphe 2.8.3.2 ainsi qu’à son adoption, sur la base de la proposition figurant dans le document ST/SG/AC.10/C.3/2019/1, examiné à la cinquante-cinquième session.</w:t>
      </w:r>
    </w:p>
    <w:p w14:paraId="1A49EE8C" w14:textId="77777777" w:rsidR="00CE35E5" w:rsidRPr="009D43AB" w:rsidRDefault="00CE35E5" w:rsidP="00077350">
      <w:pPr>
        <w:pStyle w:val="SingleTxtG"/>
        <w:rPr>
          <w:b/>
          <w:bCs/>
        </w:rPr>
      </w:pPr>
      <w:r w:rsidRPr="009D43AB">
        <w:rPr>
          <w:bCs/>
        </w:rPr>
        <w:t>2.</w:t>
      </w:r>
      <w:r w:rsidRPr="009D43AB">
        <w:rPr>
          <w:bCs/>
        </w:rPr>
        <w:tab/>
      </w:r>
      <w:r>
        <w:rPr>
          <w:lang w:val="fr-FR"/>
        </w:rPr>
        <w:t>En son annexe I, le rapport du Sous-Comité d’experts du transport des marchandises dangereuses sur sa cinquante-cinquième session (ST/SG/AC.10/C.3/110) comprend les propositions d’amendement suivantes au paragraphe 2.8.3.2 de la vingt et unième édition révisée des Recommandations relatives au transport des marchandises dangereuses, Règlement type (ST/SG/AC.10/1/Rev.21)</w:t>
      </w:r>
      <w:r w:rsidR="00264F2E">
        <w:rPr>
          <w:lang w:val="fr-FR"/>
        </w:rPr>
        <w:t> </w:t>
      </w:r>
      <w:r>
        <w:rPr>
          <w:lang w:val="fr-FR"/>
        </w:rPr>
        <w:t>:</w:t>
      </w:r>
    </w:p>
    <w:p w14:paraId="21514335" w14:textId="77777777" w:rsidR="00CE35E5" w:rsidRDefault="00CE35E5" w:rsidP="00077350">
      <w:pPr>
        <w:pStyle w:val="SingleTxtG"/>
        <w:ind w:left="1701"/>
      </w:pPr>
      <w:r>
        <w:rPr>
          <w:lang w:val="fr-FR"/>
        </w:rPr>
        <w:t>«</w:t>
      </w:r>
      <w:r w:rsidR="00077350">
        <w:rPr>
          <w:lang w:val="fr-FR"/>
        </w:rPr>
        <w:t> </w:t>
      </w:r>
      <w:r>
        <w:rPr>
          <w:lang w:val="fr-FR"/>
        </w:rPr>
        <w:t>2.8.3.2</w:t>
      </w:r>
      <w:r>
        <w:rPr>
          <w:lang w:val="fr-FR"/>
        </w:rPr>
        <w:tab/>
        <w:t xml:space="preserve">Dans la deuxième phrase, remplacer </w:t>
      </w:r>
      <w:r w:rsidR="00077350">
        <w:rPr>
          <w:lang w:val="fr-FR"/>
        </w:rPr>
        <w:t>“</w:t>
      </w:r>
      <w:r>
        <w:rPr>
          <w:lang w:val="fr-FR"/>
        </w:rPr>
        <w:t>Lignes directrices de l’OCDE</w:t>
      </w:r>
      <w:r w:rsidRPr="00973A99">
        <w:rPr>
          <w:vertAlign w:val="superscript"/>
          <w:lang w:val="fr-FR"/>
        </w:rPr>
        <w:t>1,2,3,4</w:t>
      </w:r>
      <w:r w:rsidR="00077350">
        <w:rPr>
          <w:lang w:val="fr-FR"/>
        </w:rPr>
        <w:t>”</w:t>
      </w:r>
      <w:r>
        <w:rPr>
          <w:lang w:val="fr-FR"/>
        </w:rPr>
        <w:t xml:space="preserve"> par </w:t>
      </w:r>
      <w:r w:rsidR="00264F2E">
        <w:rPr>
          <w:lang w:val="fr-FR"/>
        </w:rPr>
        <w:t>“</w:t>
      </w:r>
      <w:r>
        <w:rPr>
          <w:lang w:val="fr-FR"/>
        </w:rPr>
        <w:t xml:space="preserve">Lignes directrices de l’OCDE </w:t>
      </w:r>
      <w:r w:rsidR="00077350" w:rsidRPr="00077350">
        <w:rPr>
          <w:rFonts w:eastAsia="MS Mincho"/>
          <w:lang w:val="fr-FR"/>
        </w:rPr>
        <w:t>n</w:t>
      </w:r>
      <w:r w:rsidR="00077350" w:rsidRPr="00077350">
        <w:rPr>
          <w:rFonts w:eastAsia="MS Mincho"/>
          <w:vertAlign w:val="superscript"/>
          <w:lang w:val="fr-FR"/>
        </w:rPr>
        <w:t>o</w:t>
      </w:r>
      <w:r w:rsidR="00077350">
        <w:rPr>
          <w:rFonts w:eastAsia="MS Mincho"/>
          <w:vertAlign w:val="superscript"/>
          <w:lang w:val="fr-FR"/>
        </w:rPr>
        <w:t>s</w:t>
      </w:r>
      <w:r w:rsidR="00077350">
        <w:rPr>
          <w:lang w:val="fr-FR"/>
        </w:rPr>
        <w:t> </w:t>
      </w:r>
      <w:r>
        <w:rPr>
          <w:lang w:val="fr-FR"/>
        </w:rPr>
        <w:t>404</w:t>
      </w:r>
      <w:r w:rsidRPr="00264F2E">
        <w:rPr>
          <w:sz w:val="18"/>
          <w:szCs w:val="18"/>
          <w:vertAlign w:val="superscript"/>
          <w:lang w:val="fr-FR"/>
        </w:rPr>
        <w:t>1</w:t>
      </w:r>
      <w:r>
        <w:rPr>
          <w:lang w:val="fr-FR"/>
        </w:rPr>
        <w:t>, 435</w:t>
      </w:r>
      <w:r w:rsidRPr="00264F2E">
        <w:rPr>
          <w:sz w:val="18"/>
          <w:szCs w:val="18"/>
          <w:vertAlign w:val="superscript"/>
          <w:lang w:val="fr-FR"/>
        </w:rPr>
        <w:t>2</w:t>
      </w:r>
      <w:r>
        <w:rPr>
          <w:lang w:val="fr-FR"/>
        </w:rPr>
        <w:t>, 431</w:t>
      </w:r>
      <w:r w:rsidRPr="00264F2E">
        <w:rPr>
          <w:sz w:val="18"/>
          <w:szCs w:val="18"/>
          <w:vertAlign w:val="superscript"/>
          <w:lang w:val="fr-FR"/>
        </w:rPr>
        <w:t>3</w:t>
      </w:r>
      <w:r>
        <w:rPr>
          <w:lang w:val="fr-FR"/>
        </w:rPr>
        <w:t xml:space="preserve"> ou 430</w:t>
      </w:r>
      <w:r w:rsidRPr="00264F2E">
        <w:rPr>
          <w:sz w:val="18"/>
          <w:szCs w:val="18"/>
          <w:vertAlign w:val="superscript"/>
          <w:lang w:val="fr-FR"/>
        </w:rPr>
        <w:t>4</w:t>
      </w:r>
      <w:r w:rsidR="00264F2E">
        <w:rPr>
          <w:lang w:val="fr-FR"/>
        </w:rPr>
        <w:t>”</w:t>
      </w:r>
      <w:r>
        <w:rPr>
          <w:lang w:val="fr-FR"/>
        </w:rPr>
        <w:t xml:space="preserve">. Dans la troisième phrase, remplacer </w:t>
      </w:r>
      <w:r w:rsidR="0047604B">
        <w:rPr>
          <w:lang w:val="fr-FR"/>
        </w:rPr>
        <w:t>“</w:t>
      </w:r>
      <w:r>
        <w:rPr>
          <w:lang w:val="fr-FR"/>
        </w:rPr>
        <w:t>aux Lignes directrices de l’OCDE</w:t>
      </w:r>
      <w:r w:rsidRPr="00973A99">
        <w:rPr>
          <w:vertAlign w:val="superscript"/>
          <w:lang w:val="fr-FR"/>
        </w:rPr>
        <w:t>1,2,3,4</w:t>
      </w:r>
      <w:r w:rsidR="0047604B">
        <w:rPr>
          <w:lang w:val="fr-FR"/>
        </w:rPr>
        <w:t>”</w:t>
      </w:r>
      <w:r>
        <w:rPr>
          <w:lang w:val="fr-FR"/>
        </w:rPr>
        <w:t xml:space="preserve"> par </w:t>
      </w:r>
      <w:r w:rsidR="0047604B">
        <w:rPr>
          <w:lang w:val="fr-FR"/>
        </w:rPr>
        <w:t>“</w:t>
      </w:r>
      <w:r>
        <w:rPr>
          <w:lang w:val="fr-FR"/>
        </w:rPr>
        <w:t xml:space="preserve">à l’une de ces lignes directrices ou qui n’est pas classée conformément à la ligne directrice </w:t>
      </w:r>
      <w:r w:rsidR="0047604B" w:rsidRPr="0047604B">
        <w:rPr>
          <w:rFonts w:eastAsia="MS Mincho"/>
          <w:lang w:val="fr-FR"/>
        </w:rPr>
        <w:t>n</w:t>
      </w:r>
      <w:r w:rsidR="0047604B" w:rsidRPr="0047604B">
        <w:rPr>
          <w:rFonts w:eastAsia="MS Mincho"/>
          <w:vertAlign w:val="superscript"/>
          <w:lang w:val="fr-FR"/>
        </w:rPr>
        <w:t>o</w:t>
      </w:r>
      <w:r w:rsidR="0047604B">
        <w:rPr>
          <w:lang w:val="fr-FR"/>
        </w:rPr>
        <w:t> </w:t>
      </w:r>
      <w:r>
        <w:rPr>
          <w:lang w:val="fr-FR"/>
        </w:rPr>
        <w:t>439</w:t>
      </w:r>
      <w:r w:rsidRPr="00264F2E">
        <w:rPr>
          <w:sz w:val="18"/>
          <w:szCs w:val="18"/>
          <w:vertAlign w:val="superscript"/>
          <w:lang w:val="fr-FR"/>
        </w:rPr>
        <w:t>5</w:t>
      </w:r>
      <w:r>
        <w:rPr>
          <w:lang w:val="fr-FR"/>
        </w:rPr>
        <w:t xml:space="preserve"> peut être</w:t>
      </w:r>
      <w:r w:rsidR="0047604B">
        <w:rPr>
          <w:lang w:val="fr-FR"/>
        </w:rPr>
        <w:t>”</w:t>
      </w:r>
      <w:r>
        <w:rPr>
          <w:lang w:val="fr-FR"/>
        </w:rPr>
        <w:t xml:space="preserve">. Dans la quatrième phrase, remplacer de </w:t>
      </w:r>
      <w:r w:rsidR="0047604B">
        <w:rPr>
          <w:lang w:val="fr-FR"/>
        </w:rPr>
        <w:t>“</w:t>
      </w:r>
      <w:r>
        <w:rPr>
          <w:lang w:val="fr-FR"/>
        </w:rPr>
        <w:t xml:space="preserve">l’essai </w:t>
      </w:r>
      <w:r>
        <w:rPr>
          <w:i/>
          <w:iCs/>
          <w:lang w:val="fr-FR"/>
        </w:rPr>
        <w:t>in vitro</w:t>
      </w:r>
      <w:r w:rsidR="0047604B">
        <w:rPr>
          <w:lang w:val="fr-FR"/>
        </w:rPr>
        <w:t>”</w:t>
      </w:r>
      <w:r>
        <w:rPr>
          <w:lang w:val="fr-FR"/>
        </w:rPr>
        <w:t xml:space="preserve"> par </w:t>
      </w:r>
      <w:r w:rsidR="0047604B">
        <w:rPr>
          <w:lang w:val="fr-FR"/>
        </w:rPr>
        <w:t>“</w:t>
      </w:r>
      <w:r>
        <w:rPr>
          <w:lang w:val="fr-FR"/>
        </w:rPr>
        <w:t>d’épreuve</w:t>
      </w:r>
      <w:r w:rsidR="0047604B">
        <w:rPr>
          <w:lang w:val="fr-FR"/>
        </w:rPr>
        <w:t>”</w:t>
      </w:r>
      <w:r>
        <w:rPr>
          <w:lang w:val="fr-FR"/>
        </w:rPr>
        <w:t>. À la fin, ajouter la nouvelle phrase suivante</w:t>
      </w:r>
      <w:r w:rsidR="0047604B">
        <w:rPr>
          <w:lang w:val="fr-FR"/>
        </w:rPr>
        <w:t> </w:t>
      </w:r>
      <w:r>
        <w:rPr>
          <w:lang w:val="fr-FR"/>
        </w:rPr>
        <w:t xml:space="preserve">: </w:t>
      </w:r>
      <w:r w:rsidR="0047604B">
        <w:rPr>
          <w:lang w:val="fr-FR"/>
        </w:rPr>
        <w:t>“</w:t>
      </w:r>
      <w:r>
        <w:rPr>
          <w:lang w:val="fr-FR"/>
        </w:rPr>
        <w:t>Si les résultats d’épreuve indiquent que la matière est corrosive mais que la méthode d’épreuve ne permet pas la discrimination entre les groupes d’emballage, elle doit être affectée au groupe d’emballage I si aucune des autres épreuves réalisées ne donne un résultat différent.</w:t>
      </w:r>
      <w:r w:rsidR="0047604B">
        <w:rPr>
          <w:lang w:val="fr-FR"/>
        </w:rPr>
        <w:t>”</w:t>
      </w:r>
      <w:r w:rsidR="007946F1">
        <w:rPr>
          <w:lang w:val="fr-FR"/>
        </w:rPr>
        <w:t> </w:t>
      </w:r>
      <w:r>
        <w:rPr>
          <w:lang w:val="fr-FR"/>
        </w:rPr>
        <w:t>».</w:t>
      </w:r>
    </w:p>
    <w:p w14:paraId="458C13A2" w14:textId="77777777" w:rsidR="00CE35E5" w:rsidRDefault="00CE35E5" w:rsidP="00CE35E5">
      <w:pPr>
        <w:pStyle w:val="SingleTxtG"/>
        <w:spacing w:line="240" w:lineRule="auto"/>
        <w:ind w:left="1701"/>
      </w:pPr>
      <w:r>
        <w:rPr>
          <w:lang w:val="fr-FR"/>
        </w:rPr>
        <w:lastRenderedPageBreak/>
        <w:t>Ajouter une note de bas de page 5 pour lire comme suit</w:t>
      </w:r>
      <w:r w:rsidR="0041671B">
        <w:rPr>
          <w:lang w:val="fr-FR"/>
        </w:rPr>
        <w:t> </w:t>
      </w:r>
      <w:r>
        <w:rPr>
          <w:lang w:val="fr-FR"/>
        </w:rPr>
        <w:t>: «</w:t>
      </w:r>
      <w:r w:rsidRPr="00A36064">
        <w:rPr>
          <w:vertAlign w:val="superscript"/>
          <w:lang w:val="fr-FR"/>
        </w:rPr>
        <w:t>5</w:t>
      </w:r>
      <w:r>
        <w:rPr>
          <w:vertAlign w:val="superscript"/>
          <w:lang w:val="fr-FR"/>
        </w:rPr>
        <w:t xml:space="preserve"> </w:t>
      </w:r>
      <w:r>
        <w:rPr>
          <w:i/>
          <w:iCs/>
          <w:lang w:val="fr-FR"/>
        </w:rPr>
        <w:t xml:space="preserve">Ligne directrice de l’OCDE pour les essais de produits chimiques </w:t>
      </w:r>
      <w:r w:rsidR="00264F2E" w:rsidRPr="00264F2E">
        <w:rPr>
          <w:rFonts w:eastAsia="MS Mincho"/>
          <w:i/>
          <w:iCs/>
          <w:lang w:val="fr-FR"/>
        </w:rPr>
        <w:t>n</w:t>
      </w:r>
      <w:r w:rsidR="00264F2E" w:rsidRPr="00264F2E">
        <w:rPr>
          <w:rFonts w:eastAsia="MS Mincho"/>
          <w:i/>
          <w:iCs/>
          <w:vertAlign w:val="superscript"/>
          <w:lang w:val="fr-FR"/>
        </w:rPr>
        <w:t>o</w:t>
      </w:r>
      <w:r w:rsidR="00264F2E">
        <w:rPr>
          <w:i/>
          <w:iCs/>
          <w:lang w:val="fr-FR"/>
        </w:rPr>
        <w:t> </w:t>
      </w:r>
      <w:r>
        <w:rPr>
          <w:i/>
          <w:iCs/>
          <w:lang w:val="fr-FR"/>
        </w:rPr>
        <w:t xml:space="preserve">439 “Irritation cutanée </w:t>
      </w:r>
      <w:r w:rsidRPr="00264F2E">
        <w:rPr>
          <w:lang w:val="fr-FR"/>
        </w:rPr>
        <w:t>in vitro</w:t>
      </w:r>
      <w:r w:rsidR="0041671B">
        <w:rPr>
          <w:i/>
          <w:iCs/>
          <w:lang w:val="fr-FR"/>
        </w:rPr>
        <w:t> </w:t>
      </w:r>
      <w:r>
        <w:rPr>
          <w:i/>
          <w:iCs/>
          <w:lang w:val="fr-FR"/>
        </w:rPr>
        <w:t>: essai sur épiderme humain reconstitué”, 2015</w:t>
      </w:r>
      <w:r>
        <w:rPr>
          <w:lang w:val="fr-FR"/>
        </w:rPr>
        <w:t>.</w:t>
      </w:r>
      <w:r w:rsidR="0041671B">
        <w:rPr>
          <w:lang w:val="fr-FR"/>
        </w:rPr>
        <w:t> </w:t>
      </w:r>
      <w:r>
        <w:rPr>
          <w:lang w:val="fr-FR"/>
        </w:rPr>
        <w:t>».</w:t>
      </w:r>
    </w:p>
    <w:p w14:paraId="29D9FD5A" w14:textId="77777777" w:rsidR="00CE35E5" w:rsidRDefault="00CE35E5" w:rsidP="0041671B">
      <w:pPr>
        <w:pStyle w:val="SingleTxtG"/>
      </w:pPr>
      <w:r>
        <w:t>3.</w:t>
      </w:r>
      <w:r>
        <w:tab/>
      </w:r>
      <w:r>
        <w:rPr>
          <w:lang w:val="fr-FR"/>
        </w:rPr>
        <w:t>Après une discussion intersessions entre la Commission européenne, les Pays-Bas et les États-Unis d’Amérique concernant le texte anglais de la dernière phrase du projet d’amendements au paragraphe 2.8.3.2 figurant dans le rapport, il a été reconnu que, dans ce contexte, l’expression «</w:t>
      </w:r>
      <w:r w:rsidR="0041671B">
        <w:rPr>
          <w:lang w:val="fr-FR"/>
        </w:rPr>
        <w:t> </w:t>
      </w:r>
      <w:proofErr w:type="spellStart"/>
      <w:r w:rsidRPr="0041671B">
        <w:rPr>
          <w:iCs/>
          <w:lang w:val="fr-FR"/>
        </w:rPr>
        <w:t>further</w:t>
      </w:r>
      <w:proofErr w:type="spellEnd"/>
      <w:r w:rsidRPr="0041671B">
        <w:rPr>
          <w:iCs/>
          <w:lang w:val="fr-FR"/>
        </w:rPr>
        <w:t xml:space="preserve"> tests</w:t>
      </w:r>
      <w:r w:rsidR="0041671B">
        <w:rPr>
          <w:i/>
          <w:lang w:val="fr-FR"/>
        </w:rPr>
        <w:t> </w:t>
      </w:r>
      <w:r>
        <w:rPr>
          <w:lang w:val="fr-FR"/>
        </w:rPr>
        <w:t>» (« autres épreuves réalisées » dans la version française) pourrait être interprétée comme signifiant qu’il pourrait être nécessaire de procéder à des essais supplémentaires. Or, cette formulation n’a pas pour but d’encourager la poursuite des essais.</w:t>
      </w:r>
    </w:p>
    <w:p w14:paraId="2AD934D2" w14:textId="77777777" w:rsidR="00CE35E5" w:rsidRPr="008850C9" w:rsidRDefault="00CE35E5" w:rsidP="0041671B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</w:t>
      </w:r>
    </w:p>
    <w:p w14:paraId="69CC2EEF" w14:textId="77777777" w:rsidR="00CE35E5" w:rsidRDefault="00CE35E5" w:rsidP="0041671B">
      <w:pPr>
        <w:pStyle w:val="SingleTxtG"/>
      </w:pPr>
      <w:r>
        <w:t>4.</w:t>
      </w:r>
      <w:r>
        <w:tab/>
      </w:r>
      <w:r>
        <w:rPr>
          <w:lang w:val="fr-FR"/>
        </w:rPr>
        <w:t>L’Union européenne et les Pays-Bas suggèrent donc de modifier comme suit la phrase nouvellement ajoutée à la fin du paragraphe 2.8.3.2, étant entendu que dans le libellé anglais, « </w:t>
      </w:r>
      <w:proofErr w:type="spellStart"/>
      <w:r w:rsidRPr="0041671B">
        <w:rPr>
          <w:iCs/>
          <w:lang w:val="fr-FR"/>
        </w:rPr>
        <w:t>further</w:t>
      </w:r>
      <w:proofErr w:type="spellEnd"/>
      <w:r w:rsidRPr="0041671B">
        <w:rPr>
          <w:iCs/>
          <w:lang w:val="fr-FR"/>
        </w:rPr>
        <w:t xml:space="preserve"> tests</w:t>
      </w:r>
      <w:r>
        <w:rPr>
          <w:lang w:val="fr-FR"/>
        </w:rPr>
        <w:t> » serait remplacé par « </w:t>
      </w:r>
      <w:proofErr w:type="spellStart"/>
      <w:r w:rsidRPr="0041671B">
        <w:rPr>
          <w:iCs/>
          <w:lang w:val="fr-FR"/>
        </w:rPr>
        <w:t>other</w:t>
      </w:r>
      <w:proofErr w:type="spellEnd"/>
      <w:r w:rsidRPr="0041671B">
        <w:rPr>
          <w:iCs/>
          <w:lang w:val="fr-FR"/>
        </w:rPr>
        <w:t xml:space="preserve"> tests </w:t>
      </w:r>
      <w:proofErr w:type="spellStart"/>
      <w:r w:rsidRPr="0041671B">
        <w:rPr>
          <w:iCs/>
          <w:lang w:val="fr-FR"/>
        </w:rPr>
        <w:t>results</w:t>
      </w:r>
      <w:proofErr w:type="spellEnd"/>
      <w:r>
        <w:rPr>
          <w:lang w:val="fr-FR"/>
        </w:rPr>
        <w:t xml:space="preserve"> ») (le texte supprimé est </w:t>
      </w:r>
      <w:r w:rsidRPr="00962690">
        <w:rPr>
          <w:strike/>
          <w:lang w:val="fr-FR"/>
        </w:rPr>
        <w:t>biffé</w:t>
      </w:r>
      <w:r>
        <w:rPr>
          <w:lang w:val="fr-FR"/>
        </w:rPr>
        <w:t xml:space="preserve">, le texte ajouté figure en </w:t>
      </w:r>
      <w:r w:rsidRPr="00962690">
        <w:rPr>
          <w:b/>
          <w:lang w:val="fr-FR"/>
        </w:rPr>
        <w:t>gras</w:t>
      </w:r>
      <w:r>
        <w:rPr>
          <w:lang w:val="fr-FR"/>
        </w:rPr>
        <w:t>)</w:t>
      </w:r>
      <w:r w:rsidR="0041671B">
        <w:rPr>
          <w:lang w:val="fr-FR"/>
        </w:rPr>
        <w:t> </w:t>
      </w:r>
      <w:r>
        <w:rPr>
          <w:lang w:val="fr-FR"/>
        </w:rPr>
        <w:t>:</w:t>
      </w:r>
    </w:p>
    <w:p w14:paraId="59316E13" w14:textId="77777777" w:rsidR="00446FE5" w:rsidRDefault="00CE35E5" w:rsidP="00005A41">
      <w:pPr>
        <w:pStyle w:val="SingleTxtG"/>
        <w:ind w:left="1701"/>
        <w:rPr>
          <w:lang w:val="fr-FR"/>
        </w:rPr>
      </w:pPr>
      <w:r>
        <w:rPr>
          <w:lang w:val="fr-FR"/>
        </w:rPr>
        <w:t>«</w:t>
      </w:r>
      <w:r w:rsidR="00005A41">
        <w:rPr>
          <w:lang w:val="fr-FR"/>
        </w:rPr>
        <w:t> </w:t>
      </w:r>
      <w:r>
        <w:rPr>
          <w:lang w:val="fr-FR"/>
        </w:rPr>
        <w:t xml:space="preserve">Si les résultats d’épreuve indiquent que la matière est corrosive mais que la méthode d’épreuve ne permet pas la discrimination entre les groupes d’emballage, elle doit être affectée au groupe d’emballage I si aucune des autres épreuves réalisées </w:t>
      </w:r>
      <w:r>
        <w:rPr>
          <w:strike/>
          <w:lang w:val="fr-FR"/>
        </w:rPr>
        <w:t>ne donne un résultat</w:t>
      </w:r>
      <w:r>
        <w:rPr>
          <w:lang w:val="fr-FR"/>
        </w:rPr>
        <w:t xml:space="preserve"> </w:t>
      </w:r>
      <w:r w:rsidRPr="00302015">
        <w:rPr>
          <w:b/>
          <w:lang w:val="fr-FR"/>
        </w:rPr>
        <w:t>n</w:t>
      </w:r>
      <w:r>
        <w:rPr>
          <w:b/>
          <w:lang w:val="fr-FR"/>
        </w:rPr>
        <w:t>’</w:t>
      </w:r>
      <w:r w:rsidRPr="00302015">
        <w:rPr>
          <w:b/>
          <w:lang w:val="fr-FR"/>
        </w:rPr>
        <w:t>indique un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groupe d’emballage</w:t>
      </w:r>
      <w:r>
        <w:rPr>
          <w:lang w:val="fr-FR"/>
        </w:rPr>
        <w:t xml:space="preserve"> différent.</w:t>
      </w:r>
      <w:r w:rsidR="00005A41">
        <w:rPr>
          <w:lang w:val="fr-FR"/>
        </w:rPr>
        <w:t> </w:t>
      </w:r>
      <w:r>
        <w:rPr>
          <w:lang w:val="fr-FR"/>
        </w:rPr>
        <w:t>».</w:t>
      </w:r>
    </w:p>
    <w:p w14:paraId="5858B447" w14:textId="77777777" w:rsidR="00CE35E5" w:rsidRPr="00CE35E5" w:rsidRDefault="00CE35E5" w:rsidP="00CE35E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E35E5" w:rsidRPr="00CE35E5" w:rsidSect="00F753F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24A68" w14:textId="77777777" w:rsidR="0040451B" w:rsidRDefault="0040451B" w:rsidP="00F95C08">
      <w:pPr>
        <w:spacing w:line="240" w:lineRule="auto"/>
      </w:pPr>
    </w:p>
  </w:endnote>
  <w:endnote w:type="continuationSeparator" w:id="0">
    <w:p w14:paraId="3A437C14" w14:textId="77777777" w:rsidR="0040451B" w:rsidRPr="00AC3823" w:rsidRDefault="0040451B" w:rsidP="00AC3823">
      <w:pPr>
        <w:pStyle w:val="Footer"/>
      </w:pPr>
    </w:p>
  </w:endnote>
  <w:endnote w:type="continuationNotice" w:id="1">
    <w:p w14:paraId="5D242A6A" w14:textId="77777777" w:rsidR="0040451B" w:rsidRDefault="004045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371B2" w14:textId="77777777" w:rsidR="00F753F7" w:rsidRPr="00F753F7" w:rsidRDefault="00F753F7" w:rsidP="00F753F7">
    <w:pPr>
      <w:pStyle w:val="Footer"/>
      <w:tabs>
        <w:tab w:val="right" w:pos="9638"/>
      </w:tabs>
    </w:pPr>
    <w:r w:rsidRPr="00F753F7">
      <w:rPr>
        <w:b/>
        <w:sz w:val="18"/>
      </w:rPr>
      <w:fldChar w:fldCharType="begin"/>
    </w:r>
    <w:r w:rsidRPr="00F753F7">
      <w:rPr>
        <w:b/>
        <w:sz w:val="18"/>
      </w:rPr>
      <w:instrText xml:space="preserve"> PAGE  \* MERGEFORMAT </w:instrText>
    </w:r>
    <w:r w:rsidRPr="00F753F7">
      <w:rPr>
        <w:b/>
        <w:sz w:val="18"/>
      </w:rPr>
      <w:fldChar w:fldCharType="separate"/>
    </w:r>
    <w:r w:rsidRPr="00F753F7">
      <w:rPr>
        <w:b/>
        <w:noProof/>
        <w:sz w:val="18"/>
      </w:rPr>
      <w:t>2</w:t>
    </w:r>
    <w:r w:rsidRPr="00F753F7">
      <w:rPr>
        <w:b/>
        <w:sz w:val="18"/>
      </w:rPr>
      <w:fldChar w:fldCharType="end"/>
    </w:r>
    <w:r>
      <w:rPr>
        <w:b/>
        <w:sz w:val="18"/>
      </w:rPr>
      <w:tab/>
    </w:r>
    <w:r>
      <w:t>GE.19-15417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EFD71" w14:textId="77777777" w:rsidR="00F753F7" w:rsidRPr="00F753F7" w:rsidRDefault="00F753F7" w:rsidP="00F753F7">
    <w:pPr>
      <w:pStyle w:val="Footer"/>
      <w:tabs>
        <w:tab w:val="right" w:pos="9638"/>
      </w:tabs>
      <w:rPr>
        <w:b/>
        <w:sz w:val="18"/>
      </w:rPr>
    </w:pPr>
    <w:r>
      <w:t>GE.19-15417</w:t>
    </w:r>
    <w:r>
      <w:tab/>
    </w:r>
    <w:r w:rsidRPr="00F753F7">
      <w:rPr>
        <w:b/>
        <w:sz w:val="18"/>
      </w:rPr>
      <w:fldChar w:fldCharType="begin"/>
    </w:r>
    <w:r w:rsidRPr="00F753F7">
      <w:rPr>
        <w:b/>
        <w:sz w:val="18"/>
      </w:rPr>
      <w:instrText xml:space="preserve"> PAGE  \* MERGEFORMAT </w:instrText>
    </w:r>
    <w:r w:rsidRPr="00F753F7">
      <w:rPr>
        <w:b/>
        <w:sz w:val="18"/>
      </w:rPr>
      <w:fldChar w:fldCharType="separate"/>
    </w:r>
    <w:r w:rsidRPr="00F753F7">
      <w:rPr>
        <w:b/>
        <w:noProof/>
        <w:sz w:val="18"/>
      </w:rPr>
      <w:t>3</w:t>
    </w:r>
    <w:r w:rsidRPr="00F753F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65C2E" w14:textId="77777777" w:rsidR="0068456F" w:rsidRPr="00F753F7" w:rsidRDefault="00F753F7" w:rsidP="00F753F7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FFBECD9" wp14:editId="1EBA007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19-15417  (F)</w:t>
    </w:r>
    <w:r w:rsidR="007946F1">
      <w:rPr>
        <w:sz w:val="20"/>
      </w:rPr>
      <w:t xml:space="preserve">    141019    151019</w:t>
    </w:r>
    <w:r>
      <w:rPr>
        <w:sz w:val="20"/>
      </w:rPr>
      <w:br/>
    </w:r>
    <w:r w:rsidRPr="00F753F7">
      <w:rPr>
        <w:rFonts w:ascii="C39T30Lfz" w:hAnsi="C39T30Lfz"/>
        <w:sz w:val="56"/>
      </w:rPr>
      <w:t></w:t>
    </w:r>
    <w:r w:rsidRPr="00F753F7">
      <w:rPr>
        <w:rFonts w:ascii="C39T30Lfz" w:hAnsi="C39T30Lfz"/>
        <w:sz w:val="56"/>
      </w:rPr>
      <w:t></w:t>
    </w:r>
    <w:r w:rsidRPr="00F753F7">
      <w:rPr>
        <w:rFonts w:ascii="C39T30Lfz" w:hAnsi="C39T30Lfz"/>
        <w:sz w:val="56"/>
      </w:rPr>
      <w:t></w:t>
    </w:r>
    <w:r w:rsidRPr="00F753F7">
      <w:rPr>
        <w:rFonts w:ascii="C39T30Lfz" w:hAnsi="C39T30Lfz"/>
        <w:sz w:val="56"/>
      </w:rPr>
      <w:t></w:t>
    </w:r>
    <w:r w:rsidRPr="00F753F7">
      <w:rPr>
        <w:rFonts w:ascii="C39T30Lfz" w:hAnsi="C39T30Lfz"/>
        <w:sz w:val="56"/>
      </w:rPr>
      <w:t></w:t>
    </w:r>
    <w:r w:rsidRPr="00F753F7">
      <w:rPr>
        <w:rFonts w:ascii="C39T30Lfz" w:hAnsi="C39T30Lfz"/>
        <w:sz w:val="56"/>
      </w:rPr>
      <w:t></w:t>
    </w:r>
    <w:r w:rsidRPr="00F753F7">
      <w:rPr>
        <w:rFonts w:ascii="C39T30Lfz" w:hAnsi="C39T30Lfz"/>
        <w:sz w:val="56"/>
      </w:rPr>
      <w:t></w:t>
    </w:r>
    <w:r w:rsidRPr="00F753F7">
      <w:rPr>
        <w:rFonts w:ascii="C39T30Lfz" w:hAnsi="C39T30Lfz"/>
        <w:sz w:val="56"/>
      </w:rPr>
      <w:t></w:t>
    </w:r>
    <w:r w:rsidRPr="00F753F7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0AFF76B" wp14:editId="59B3B43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9/5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9/5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F3689" w14:textId="77777777" w:rsidR="0040451B" w:rsidRPr="00AC3823" w:rsidRDefault="0040451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003F47F" w14:textId="77777777" w:rsidR="0040451B" w:rsidRPr="00AC3823" w:rsidRDefault="0040451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9B6AD26" w14:textId="77777777" w:rsidR="0040451B" w:rsidRPr="00AC3823" w:rsidRDefault="0040451B">
      <w:pPr>
        <w:spacing w:line="240" w:lineRule="auto"/>
        <w:rPr>
          <w:sz w:val="2"/>
          <w:szCs w:val="2"/>
        </w:rPr>
      </w:pPr>
    </w:p>
  </w:footnote>
  <w:footnote w:id="2">
    <w:p w14:paraId="5E1479FD" w14:textId="77777777" w:rsidR="00CE35E5" w:rsidRPr="00FD4249" w:rsidRDefault="007946F1" w:rsidP="00CE35E5">
      <w:pPr>
        <w:pStyle w:val="FootnoteText"/>
      </w:pPr>
      <w:r>
        <w:rPr>
          <w:vertAlign w:val="superscript"/>
          <w:lang w:val="fr-FR"/>
        </w:rPr>
        <w:tab/>
      </w:r>
      <w:r w:rsidR="00CE35E5" w:rsidRPr="007946F1">
        <w:rPr>
          <w:sz w:val="20"/>
          <w:lang w:val="fr-FR"/>
        </w:rPr>
        <w:t>*</w:t>
      </w:r>
      <w:r w:rsidR="00CE35E5">
        <w:rPr>
          <w:lang w:val="fr-FR"/>
        </w:rPr>
        <w:t xml:space="preserve"> </w:t>
      </w:r>
      <w:r w:rsidR="00CE35E5">
        <w:rPr>
          <w:lang w:val="fr-FR"/>
        </w:rPr>
        <w:tab/>
        <w:t>Conformément au programme de travail du Sous-Comité pour la période 2019-2020, approuvé par le Comité à sa neuvième session (voir ST/SG/AC.10/C.3/108, par. 141, et ST/SG/AC.10/46, par. 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32154" w14:textId="50F3FF8F" w:rsidR="00F753F7" w:rsidRPr="00F753F7" w:rsidRDefault="00B5503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ST/SG/AC.10/C.3/2019/53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06F35" w14:textId="040FD5C1" w:rsidR="00F753F7" w:rsidRPr="00F753F7" w:rsidRDefault="00B55035" w:rsidP="00F753F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ST/SG/AC.10/C.3/2019/53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1B"/>
    <w:rsid w:val="00005A41"/>
    <w:rsid w:val="00017F94"/>
    <w:rsid w:val="00023842"/>
    <w:rsid w:val="000305D3"/>
    <w:rsid w:val="000334F9"/>
    <w:rsid w:val="00077350"/>
    <w:rsid w:val="0007796D"/>
    <w:rsid w:val="000B7790"/>
    <w:rsid w:val="00111F2F"/>
    <w:rsid w:val="00132EA9"/>
    <w:rsid w:val="0014365E"/>
    <w:rsid w:val="00176178"/>
    <w:rsid w:val="001F525A"/>
    <w:rsid w:val="00223272"/>
    <w:rsid w:val="0024779E"/>
    <w:rsid w:val="00264F2E"/>
    <w:rsid w:val="00277FE0"/>
    <w:rsid w:val="00283190"/>
    <w:rsid w:val="002832AC"/>
    <w:rsid w:val="002D7C93"/>
    <w:rsid w:val="0040451B"/>
    <w:rsid w:val="0041671B"/>
    <w:rsid w:val="00441C3B"/>
    <w:rsid w:val="00446FE5"/>
    <w:rsid w:val="00452396"/>
    <w:rsid w:val="0047604B"/>
    <w:rsid w:val="004E468C"/>
    <w:rsid w:val="005505B7"/>
    <w:rsid w:val="00573BE5"/>
    <w:rsid w:val="00584DC4"/>
    <w:rsid w:val="00586ED3"/>
    <w:rsid w:val="00596AA9"/>
    <w:rsid w:val="0068456F"/>
    <w:rsid w:val="0071601D"/>
    <w:rsid w:val="007946F1"/>
    <w:rsid w:val="007A62E6"/>
    <w:rsid w:val="0080684C"/>
    <w:rsid w:val="00871C75"/>
    <w:rsid w:val="008776DC"/>
    <w:rsid w:val="008B40CD"/>
    <w:rsid w:val="009705C8"/>
    <w:rsid w:val="009C1CF4"/>
    <w:rsid w:val="00A30353"/>
    <w:rsid w:val="00A342DA"/>
    <w:rsid w:val="00A53C93"/>
    <w:rsid w:val="00AC3823"/>
    <w:rsid w:val="00AE323C"/>
    <w:rsid w:val="00B00181"/>
    <w:rsid w:val="00B00B0D"/>
    <w:rsid w:val="00B55035"/>
    <w:rsid w:val="00B765F7"/>
    <w:rsid w:val="00BA0CA9"/>
    <w:rsid w:val="00C02897"/>
    <w:rsid w:val="00CE35E5"/>
    <w:rsid w:val="00D3439C"/>
    <w:rsid w:val="00DB1831"/>
    <w:rsid w:val="00DD3BFD"/>
    <w:rsid w:val="00DF6678"/>
    <w:rsid w:val="00E93781"/>
    <w:rsid w:val="00EF2E22"/>
    <w:rsid w:val="00F01738"/>
    <w:rsid w:val="00F660DF"/>
    <w:rsid w:val="00F730C8"/>
    <w:rsid w:val="00F753F7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A8ACFC"/>
  <w15:docId w15:val="{66D54A84-CBDE-4609-9E19-9DC8AD6B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F753F7"/>
    <w:pPr>
      <w:kinsoku/>
      <w:overflowPunct/>
      <w:autoSpaceDE/>
      <w:autoSpaceDN/>
      <w:adjustRightInd/>
      <w:snapToGrid/>
    </w:pPr>
    <w:rPr>
      <w:rFonts w:eastAsia="Times New Roman"/>
      <w:szCs w:val="24"/>
      <w:lang w:val="en-GB"/>
    </w:rPr>
  </w:style>
  <w:style w:type="character" w:customStyle="1" w:styleId="HChGChar">
    <w:name w:val="_ H _Ch_G Char"/>
    <w:link w:val="HChG"/>
    <w:locked/>
    <w:rsid w:val="00CE35E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locked/>
    <w:rsid w:val="00CE35E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locked/>
    <w:rsid w:val="00CE35E5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ST/SG/AC.10/C.3/2019/53</vt:lpstr>
      <vt:lpstr>ST/SG/AC.10/C.3/2019/53</vt:lpstr>
    </vt:vector>
  </TitlesOfParts>
  <Company>DCM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ST/SG/AC.10/C.3/2019/53</dc:title>
  <dc:subject/>
  <dc:creator>Nathalie VITTOZ</dc:creator>
  <cp:keywords/>
  <cp:lastModifiedBy>Laurence Berthet</cp:lastModifiedBy>
  <cp:revision>3</cp:revision>
  <cp:lastPrinted>2019-10-15T14:21:00Z</cp:lastPrinted>
  <dcterms:created xsi:type="dcterms:W3CDTF">2019-10-15T14:21:00Z</dcterms:created>
  <dcterms:modified xsi:type="dcterms:W3CDTF">2019-10-15T14:21:00Z</dcterms:modified>
</cp:coreProperties>
</file>