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DD6D33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ABDD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26E4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C521D" w14:textId="3154F60B" w:rsidR="00E52109" w:rsidRDefault="00A851B9" w:rsidP="00A851B9">
            <w:pPr>
              <w:suppressAutoHyphens w:val="0"/>
              <w:jc w:val="right"/>
            </w:pPr>
            <w:r w:rsidRPr="00A851B9">
              <w:rPr>
                <w:sz w:val="40"/>
              </w:rPr>
              <w:t>ST</w:t>
            </w:r>
            <w:r>
              <w:t>/SG/AC.10/C.3/2019/</w:t>
            </w:r>
            <w:r w:rsidR="00190592">
              <w:t>4</w:t>
            </w:r>
            <w:r w:rsidR="0064742D">
              <w:t>1</w:t>
            </w:r>
          </w:p>
        </w:tc>
      </w:tr>
      <w:tr w:rsidR="00E52109" w14:paraId="38637E4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72A78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A2CA26" wp14:editId="7B31D88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927E46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032A27" w14:textId="77777777" w:rsidR="00D94B05" w:rsidRDefault="00A851B9" w:rsidP="00A851B9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1751B7F" w14:textId="666B883C" w:rsidR="00A851B9" w:rsidRDefault="00A91630" w:rsidP="00A851B9">
            <w:pPr>
              <w:suppressAutoHyphens w:val="0"/>
              <w:spacing w:line="240" w:lineRule="exact"/>
            </w:pPr>
            <w:r>
              <w:t xml:space="preserve">9 September </w:t>
            </w:r>
            <w:bookmarkStart w:id="0" w:name="_GoBack"/>
            <w:bookmarkEnd w:id="0"/>
            <w:r w:rsidR="00A851B9">
              <w:t>2019</w:t>
            </w:r>
          </w:p>
          <w:p w14:paraId="33DF8D07" w14:textId="77777777" w:rsidR="00126860" w:rsidRDefault="00126860" w:rsidP="00A851B9">
            <w:pPr>
              <w:suppressAutoHyphens w:val="0"/>
              <w:spacing w:line="240" w:lineRule="exact"/>
            </w:pPr>
          </w:p>
          <w:p w14:paraId="0D455892" w14:textId="22C336A4" w:rsidR="00A851B9" w:rsidRDefault="00A851B9" w:rsidP="00A851B9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BF04E32" w14:textId="77777777" w:rsidR="00054870" w:rsidRDefault="00054870" w:rsidP="000548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54870" w14:paraId="440E93A7" w14:textId="77777777" w:rsidTr="00C27765">
        <w:tc>
          <w:tcPr>
            <w:tcW w:w="9639" w:type="dxa"/>
            <w:shd w:val="clear" w:color="auto" w:fill="auto"/>
          </w:tcPr>
          <w:p w14:paraId="2CF4BD4A" w14:textId="6C576149" w:rsidR="00054870" w:rsidRPr="006D12B1" w:rsidRDefault="00054870" w:rsidP="00C27765">
            <w:pPr>
              <w:spacing w:before="120" w:after="120"/>
              <w:ind w:right="57"/>
              <w:rPr>
                <w:b/>
              </w:rPr>
            </w:pPr>
            <w:r>
              <w:rPr>
                <w:b/>
              </w:rPr>
              <w:t xml:space="preserve">Sub-Committee of Experts on the Transport of Dangerous Goods </w:t>
            </w:r>
          </w:p>
        </w:tc>
      </w:tr>
      <w:tr w:rsidR="00054870" w:rsidRPr="00CE57DA" w14:paraId="62D518EB" w14:textId="77777777" w:rsidTr="00C27765">
        <w:tc>
          <w:tcPr>
            <w:tcW w:w="9639" w:type="dxa"/>
            <w:shd w:val="clear" w:color="auto" w:fill="auto"/>
          </w:tcPr>
          <w:p w14:paraId="7E434A5A" w14:textId="1B014601" w:rsidR="00054870" w:rsidRPr="006133E8" w:rsidRDefault="00054870" w:rsidP="00C27765">
            <w:pPr>
              <w:spacing w:before="100"/>
              <w:rPr>
                <w:b/>
              </w:rPr>
            </w:pPr>
            <w:r>
              <w:rPr>
                <w:b/>
              </w:rPr>
              <w:t>Fifty-</w:t>
            </w:r>
            <w:r w:rsidR="00126860">
              <w:rPr>
                <w:b/>
              </w:rPr>
              <w:t>sixth</w:t>
            </w:r>
            <w:r>
              <w:rPr>
                <w:b/>
              </w:rPr>
              <w:t xml:space="preserve"> session</w:t>
            </w:r>
          </w:p>
          <w:p w14:paraId="768852FB" w14:textId="7BCBF3FD" w:rsidR="00054870" w:rsidRPr="001F66AB" w:rsidRDefault="00054870" w:rsidP="00C27765">
            <w:pPr>
              <w:rPr>
                <w:b/>
              </w:rPr>
            </w:pPr>
            <w:r>
              <w:t xml:space="preserve">Geneva, </w:t>
            </w:r>
            <w:r w:rsidR="00126860">
              <w:t>2</w:t>
            </w:r>
            <w:r w:rsidR="0017459F">
              <w:t>-</w:t>
            </w:r>
            <w:r w:rsidR="00126860">
              <w:t>11 December 2019</w:t>
            </w:r>
            <w:r>
              <w:br/>
              <w:t xml:space="preserve">Item </w:t>
            </w:r>
            <w:r w:rsidR="00126860">
              <w:t>6 (e)</w:t>
            </w:r>
            <w:r>
              <w:t xml:space="preserve"> of the provisional agenda</w:t>
            </w:r>
          </w:p>
          <w:p w14:paraId="66E463CA" w14:textId="55D76C8D" w:rsidR="00054870" w:rsidRPr="00126860" w:rsidRDefault="00126860" w:rsidP="00C27765">
            <w:pPr>
              <w:spacing w:after="120"/>
              <w:ind w:right="199"/>
              <w:rPr>
                <w:b/>
                <w:bCs/>
              </w:rPr>
            </w:pPr>
            <w:r w:rsidRPr="00126860">
              <w:rPr>
                <w:b/>
                <w:bCs/>
              </w:rPr>
              <w:t xml:space="preserve">Miscellaneous proposals for amendments to the Model Regulations </w:t>
            </w:r>
            <w:r w:rsidRPr="00126860">
              <w:rPr>
                <w:b/>
                <w:bCs/>
              </w:rPr>
              <w:br/>
              <w:t>on the Transport of Dangerous Goods:</w:t>
            </w:r>
            <w:r w:rsidRPr="00126860">
              <w:rPr>
                <w:b/>
                <w:bCs/>
              </w:rPr>
              <w:br/>
              <w:t>other miscellaneous proposals</w:t>
            </w:r>
          </w:p>
        </w:tc>
      </w:tr>
    </w:tbl>
    <w:p w14:paraId="456A136C" w14:textId="77777777" w:rsidR="00784F87" w:rsidRPr="00E756A0" w:rsidRDefault="00784F87" w:rsidP="00784F87">
      <w:pPr>
        <w:pStyle w:val="HChG"/>
      </w:pPr>
      <w:r>
        <w:tab/>
      </w:r>
      <w:r>
        <w:tab/>
        <w:t xml:space="preserve">Information on salvage in the transport document when using </w:t>
      </w:r>
      <w:proofErr w:type="spellStart"/>
      <w:r>
        <w:t>packagings</w:t>
      </w:r>
      <w:proofErr w:type="spellEnd"/>
      <w:r>
        <w:t xml:space="preserve"> not approved as salvage </w:t>
      </w:r>
      <w:proofErr w:type="spellStart"/>
      <w:r>
        <w:t>packagings</w:t>
      </w:r>
      <w:proofErr w:type="spellEnd"/>
    </w:p>
    <w:p w14:paraId="1177E357" w14:textId="631794BF" w:rsidR="00784F87" w:rsidRPr="003F006C" w:rsidRDefault="00784F87" w:rsidP="00784F87">
      <w:pPr>
        <w:pStyle w:val="H1G"/>
      </w:pPr>
      <w:r>
        <w:tab/>
      </w:r>
      <w:r>
        <w:tab/>
        <w:t>Transmitted by the expert from Germany</w:t>
      </w:r>
      <w:r w:rsidR="00AC5004">
        <w:rPr>
          <w:rStyle w:val="FootnoteReference"/>
        </w:rPr>
        <w:footnoteReference w:id="2"/>
      </w:r>
    </w:p>
    <w:p w14:paraId="3F59308F" w14:textId="77777777" w:rsidR="00784F87" w:rsidRPr="00AA5E6C" w:rsidRDefault="00784F87" w:rsidP="00784F87">
      <w:pPr>
        <w:pStyle w:val="HChG"/>
      </w:pPr>
      <w:r>
        <w:tab/>
      </w:r>
      <w:r>
        <w:tab/>
        <w:t>Introduction</w:t>
      </w:r>
    </w:p>
    <w:p w14:paraId="5BA8C161" w14:textId="77777777" w:rsidR="00784F87" w:rsidRPr="00CC61CD" w:rsidRDefault="00784F87" w:rsidP="00784F87">
      <w:pPr>
        <w:pStyle w:val="SingleTxtG"/>
        <w:numPr>
          <w:ilvl w:val="0"/>
          <w:numId w:val="15"/>
        </w:numPr>
        <w:tabs>
          <w:tab w:val="left" w:pos="1701"/>
        </w:tabs>
        <w:kinsoku/>
        <w:overflowPunct/>
        <w:autoSpaceDE/>
        <w:autoSpaceDN/>
        <w:adjustRightInd/>
        <w:snapToGrid/>
        <w:ind w:left="1134" w:firstLine="0"/>
      </w:pPr>
      <w:r>
        <w:t xml:space="preserve">If dangerous goods are transported in salvage </w:t>
      </w:r>
      <w:proofErr w:type="spellStart"/>
      <w:r>
        <w:t>packagings</w:t>
      </w:r>
      <w:proofErr w:type="spellEnd"/>
      <w:r>
        <w:t xml:space="preserve">, large salvage </w:t>
      </w:r>
      <w:proofErr w:type="spellStart"/>
      <w:r>
        <w:t>packagings</w:t>
      </w:r>
      <w:proofErr w:type="spellEnd"/>
      <w:r>
        <w:t xml:space="preserve"> or salvage pressure receptacles, this </w:t>
      </w:r>
      <w:proofErr w:type="gramStart"/>
      <w:r>
        <w:t>has to</w:t>
      </w:r>
      <w:proofErr w:type="gramEnd"/>
      <w:r>
        <w:t xml:space="preserve"> be indicated in the transport document, see 5.4.1.5.3. In the provisions on the use of salvage </w:t>
      </w:r>
      <w:proofErr w:type="spellStart"/>
      <w:r>
        <w:t>packagings</w:t>
      </w:r>
      <w:proofErr w:type="spellEnd"/>
      <w:r>
        <w:t xml:space="preserve">, however, it is stipulated that not only salvage </w:t>
      </w:r>
      <w:proofErr w:type="spellStart"/>
      <w:r>
        <w:t>packagings</w:t>
      </w:r>
      <w:proofErr w:type="spellEnd"/>
      <w:r>
        <w:t xml:space="preserve"> that are type-approved and marked with the letter “T” but also other appropriate </w:t>
      </w:r>
      <w:proofErr w:type="spellStart"/>
      <w:r>
        <w:t>packagings</w:t>
      </w:r>
      <w:proofErr w:type="spellEnd"/>
      <w:r>
        <w:t xml:space="preserve"> or large </w:t>
      </w:r>
      <w:proofErr w:type="spellStart"/>
      <w:r>
        <w:t>packagings</w:t>
      </w:r>
      <w:proofErr w:type="spellEnd"/>
      <w:r>
        <w:t xml:space="preserve"> may be used for salvage transport operations. </w:t>
      </w:r>
    </w:p>
    <w:p w14:paraId="740F8180" w14:textId="77777777" w:rsidR="00784F87" w:rsidRPr="009A6BFF" w:rsidRDefault="00784F87" w:rsidP="00784F87">
      <w:pPr>
        <w:pStyle w:val="SingleTxtG"/>
        <w:numPr>
          <w:ilvl w:val="0"/>
          <w:numId w:val="15"/>
        </w:numPr>
        <w:tabs>
          <w:tab w:val="left" w:pos="1701"/>
        </w:tabs>
        <w:kinsoku/>
        <w:overflowPunct/>
        <w:autoSpaceDE/>
        <w:autoSpaceDN/>
        <w:adjustRightInd/>
        <w:snapToGrid/>
        <w:ind w:left="1134" w:firstLine="0"/>
      </w:pPr>
      <w:r>
        <w:t xml:space="preserve">The other </w:t>
      </w:r>
      <w:proofErr w:type="spellStart"/>
      <w:r>
        <w:t>packagings</w:t>
      </w:r>
      <w:proofErr w:type="spellEnd"/>
      <w:r>
        <w:t xml:space="preserve">, however, are not mentioned in 5.4.1.5.3. Thus, the question arises of whether it needs to be indicated in the transport document also for these </w:t>
      </w:r>
      <w:proofErr w:type="spellStart"/>
      <w:r>
        <w:t>packagings</w:t>
      </w:r>
      <w:proofErr w:type="spellEnd"/>
      <w:r>
        <w:t xml:space="preserve"> that they are used for a salvage transport operation. </w:t>
      </w:r>
    </w:p>
    <w:p w14:paraId="11E7EE7C" w14:textId="77777777" w:rsidR="00784F87" w:rsidRPr="009A6BFF" w:rsidRDefault="00784F87" w:rsidP="00784F87">
      <w:pPr>
        <w:pStyle w:val="SingleTxtG"/>
        <w:numPr>
          <w:ilvl w:val="0"/>
          <w:numId w:val="15"/>
        </w:numPr>
        <w:tabs>
          <w:tab w:val="left" w:pos="1701"/>
        </w:tabs>
        <w:kinsoku/>
        <w:overflowPunct/>
        <w:autoSpaceDE/>
        <w:autoSpaceDN/>
        <w:adjustRightInd/>
        <w:snapToGrid/>
        <w:ind w:left="1134" w:firstLine="0"/>
      </w:pPr>
      <w:r>
        <w:t xml:space="preserve">Germany believes that it is illogical to restrict the indication in accordance with 5.4.1.5.3 to cases where special salvage </w:t>
      </w:r>
      <w:proofErr w:type="spellStart"/>
      <w:r>
        <w:t>packagings</w:t>
      </w:r>
      <w:proofErr w:type="spellEnd"/>
      <w:r>
        <w:t xml:space="preserve"> are used. </w:t>
      </w:r>
      <w:proofErr w:type="gramStart"/>
      <w:r>
        <w:t>In particular when</w:t>
      </w:r>
      <w:proofErr w:type="gramEnd"/>
      <w:r>
        <w:t xml:space="preserve"> a packaging is used that is not marked with the letter T, it would make sense to have the information available during transport that it is used for a salvage transport operation. When selecting an appropriate packaging, the actual salvage situation also </w:t>
      </w:r>
      <w:proofErr w:type="gramStart"/>
      <w:r>
        <w:t>has to</w:t>
      </w:r>
      <w:proofErr w:type="gramEnd"/>
      <w:r>
        <w:t xml:space="preserve"> be considered, i.e. whether a substance is filled into another packaging or whether a package is packed.</w:t>
      </w:r>
    </w:p>
    <w:p w14:paraId="09B4BC94" w14:textId="77777777" w:rsidR="00784F87" w:rsidRPr="00E756A0" w:rsidRDefault="00784F87" w:rsidP="00784F87">
      <w:pPr>
        <w:pStyle w:val="SingleTxtG"/>
        <w:numPr>
          <w:ilvl w:val="0"/>
          <w:numId w:val="15"/>
        </w:numPr>
        <w:tabs>
          <w:tab w:val="left" w:pos="1701"/>
        </w:tabs>
        <w:kinsoku/>
        <w:overflowPunct/>
        <w:autoSpaceDE/>
        <w:autoSpaceDN/>
        <w:adjustRightInd/>
        <w:snapToGrid/>
        <w:ind w:left="1134" w:firstLine="0"/>
      </w:pPr>
      <w:r>
        <w:lastRenderedPageBreak/>
        <w:t>In order to make the provisions clear, 5.4.1.5.3 should be amended accordingly.</w:t>
      </w:r>
    </w:p>
    <w:p w14:paraId="763A50ED" w14:textId="77777777" w:rsidR="00784F87" w:rsidRDefault="00784F87" w:rsidP="00784F87">
      <w:pPr>
        <w:pStyle w:val="HChG"/>
      </w:pPr>
      <w:r>
        <w:tab/>
      </w:r>
      <w:r>
        <w:tab/>
        <w:t>Proposal</w:t>
      </w:r>
    </w:p>
    <w:p w14:paraId="363F7F05" w14:textId="77777777" w:rsidR="00784F87" w:rsidRPr="00E756A0" w:rsidRDefault="00784F87" w:rsidP="00784F87">
      <w:pPr>
        <w:pStyle w:val="SingleTxtG"/>
      </w:pPr>
      <w:r>
        <w:t>5.</w:t>
      </w:r>
      <w:r>
        <w:tab/>
        <w:t xml:space="preserve">Add the following sentence at the end of 5.4.1.5.3: </w:t>
      </w:r>
    </w:p>
    <w:p w14:paraId="3CF8C473" w14:textId="1FE0D6A3" w:rsidR="00784F87" w:rsidRPr="00E756A0" w:rsidRDefault="00784F87" w:rsidP="00784F87">
      <w:pPr>
        <w:pStyle w:val="SingleTxtG"/>
        <w:ind w:left="1701"/>
      </w:pPr>
      <w:r>
        <w:t>“This shall also apply where a larger size packaging or large packaging of appropriate type and performance level is used for the transport operation.”</w:t>
      </w:r>
    </w:p>
    <w:p w14:paraId="0FE4BFF9" w14:textId="77777777" w:rsidR="00784F87" w:rsidRPr="00E756A0" w:rsidRDefault="00784F87" w:rsidP="00784F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A56A3B" w14:textId="77777777" w:rsidR="00784F87" w:rsidRPr="003570EE" w:rsidRDefault="00784F87" w:rsidP="00784F87">
      <w:pPr>
        <w:spacing w:before="240"/>
        <w:rPr>
          <w:lang w:val="en-US"/>
        </w:rPr>
      </w:pPr>
    </w:p>
    <w:p w14:paraId="45E92ACE" w14:textId="77777777" w:rsidR="00784F87" w:rsidRPr="003570EE" w:rsidRDefault="00784F87" w:rsidP="00784F87">
      <w:pPr>
        <w:rPr>
          <w:lang w:val="en-US"/>
        </w:rPr>
      </w:pPr>
    </w:p>
    <w:p w14:paraId="1D1C04B8" w14:textId="77777777" w:rsidR="00784F87" w:rsidRPr="003570EE" w:rsidRDefault="00784F87" w:rsidP="00784F87">
      <w:pPr>
        <w:spacing w:before="240"/>
        <w:rPr>
          <w:u w:val="single"/>
          <w:lang w:val="en-US"/>
        </w:rPr>
      </w:pPr>
    </w:p>
    <w:p w14:paraId="4A942BE9" w14:textId="77777777" w:rsidR="00784F87" w:rsidRPr="00784F87" w:rsidRDefault="00784F87" w:rsidP="00784F87">
      <w:pPr>
        <w:rPr>
          <w:lang w:val="en-US"/>
        </w:rPr>
      </w:pPr>
    </w:p>
    <w:sectPr w:rsidR="00784F87" w:rsidRPr="00784F87" w:rsidSect="00305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114D" w14:textId="77777777" w:rsidR="00A851B9" w:rsidRPr="00C47B2E" w:rsidRDefault="00A851B9" w:rsidP="00C47B2E">
      <w:pPr>
        <w:pStyle w:val="Footer"/>
      </w:pPr>
    </w:p>
  </w:endnote>
  <w:endnote w:type="continuationSeparator" w:id="0">
    <w:p w14:paraId="40705574" w14:textId="77777777" w:rsidR="00A851B9" w:rsidRPr="00C47B2E" w:rsidRDefault="00A851B9" w:rsidP="00C47B2E">
      <w:pPr>
        <w:pStyle w:val="Footer"/>
      </w:pPr>
    </w:p>
  </w:endnote>
  <w:endnote w:type="continuationNotice" w:id="1">
    <w:p w14:paraId="662B209A" w14:textId="77777777" w:rsidR="00A851B9" w:rsidRPr="00C47B2E" w:rsidRDefault="00A851B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2262" w14:textId="77777777" w:rsidR="00D94B05" w:rsidRPr="00A851B9" w:rsidRDefault="00A851B9" w:rsidP="00A851B9">
    <w:pPr>
      <w:pStyle w:val="Footer"/>
      <w:tabs>
        <w:tab w:val="right" w:pos="9598"/>
        <w:tab w:val="right" w:pos="9638"/>
      </w:tabs>
      <w:rPr>
        <w:sz w:val="18"/>
      </w:rPr>
    </w:pPr>
    <w:r w:rsidRPr="00A851B9">
      <w:rPr>
        <w:b/>
        <w:sz w:val="18"/>
      </w:rPr>
      <w:fldChar w:fldCharType="begin"/>
    </w:r>
    <w:r w:rsidRPr="00A851B9">
      <w:rPr>
        <w:b/>
        <w:sz w:val="18"/>
      </w:rPr>
      <w:instrText xml:space="preserve"> PAGE  \* MERGEFORMAT </w:instrText>
    </w:r>
    <w:r w:rsidRPr="00A851B9">
      <w:rPr>
        <w:b/>
        <w:sz w:val="18"/>
      </w:rPr>
      <w:fldChar w:fldCharType="separate"/>
    </w:r>
    <w:r w:rsidRPr="00A851B9">
      <w:rPr>
        <w:b/>
        <w:noProof/>
        <w:sz w:val="18"/>
      </w:rPr>
      <w:t>2</w:t>
    </w:r>
    <w:r w:rsidRPr="00A851B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A7E4" w14:textId="77777777" w:rsidR="00D94B05" w:rsidRPr="00911FA5" w:rsidRDefault="00A851B9" w:rsidP="00911FA5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 w:rsidRPr="00911FA5">
      <w:rPr>
        <w:b/>
        <w:bCs/>
        <w:sz w:val="18"/>
      </w:rPr>
      <w:tab/>
    </w:r>
    <w:r w:rsidRPr="00911FA5">
      <w:rPr>
        <w:b/>
        <w:bCs/>
        <w:sz w:val="18"/>
      </w:rPr>
      <w:fldChar w:fldCharType="begin"/>
    </w:r>
    <w:r w:rsidRPr="00911FA5">
      <w:rPr>
        <w:b/>
        <w:bCs/>
        <w:sz w:val="18"/>
      </w:rPr>
      <w:instrText xml:space="preserve"> PAGE  \* MERGEFORMAT </w:instrText>
    </w:r>
    <w:r w:rsidRPr="00911FA5">
      <w:rPr>
        <w:b/>
        <w:bCs/>
        <w:sz w:val="18"/>
      </w:rPr>
      <w:fldChar w:fldCharType="separate"/>
    </w:r>
    <w:r w:rsidRPr="00911FA5">
      <w:rPr>
        <w:b/>
        <w:bCs/>
        <w:noProof/>
        <w:sz w:val="18"/>
      </w:rPr>
      <w:t>3</w:t>
    </w:r>
    <w:r w:rsidRPr="00911FA5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F98B" w14:textId="77777777" w:rsidR="00A851B9" w:rsidRPr="00C47B2E" w:rsidRDefault="00A851B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9AB287E" w14:textId="77777777" w:rsidR="00A851B9" w:rsidRPr="00C47B2E" w:rsidRDefault="00A851B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B87DF78" w14:textId="77777777" w:rsidR="00A851B9" w:rsidRPr="00C47B2E" w:rsidRDefault="00A851B9" w:rsidP="00C47B2E">
      <w:pPr>
        <w:pStyle w:val="Footer"/>
      </w:pPr>
    </w:p>
  </w:footnote>
  <w:footnote w:id="2">
    <w:p w14:paraId="1AB250A3" w14:textId="584F02BF" w:rsidR="00AC5004" w:rsidRPr="00AC5004" w:rsidRDefault="00AC5004" w:rsidP="00AC5004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>
        <w:t>the programme</w:t>
      </w:r>
      <w:r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7DAA" w14:textId="11BCDE97" w:rsidR="00A851B9" w:rsidRPr="00126860" w:rsidRDefault="00126860">
    <w:pPr>
      <w:pStyle w:val="Header"/>
      <w:rPr>
        <w:lang w:val="fr-CH"/>
      </w:rPr>
    </w:pPr>
    <w:r>
      <w:rPr>
        <w:lang w:val="fr-CH"/>
      </w:rPr>
      <w:t>ST/SG/AC.10/C.3/2019/</w:t>
    </w:r>
    <w:r w:rsidR="00AF54E2">
      <w:rPr>
        <w:lang w:val="fr-CH"/>
      </w:rPr>
      <w:t>4</w:t>
    </w:r>
    <w:r w:rsidR="00784F87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2B62" w14:textId="0947424C" w:rsidR="00D94B05" w:rsidRPr="00126860" w:rsidRDefault="00126860" w:rsidP="00A851B9">
    <w:pPr>
      <w:pStyle w:val="Header"/>
      <w:jc w:val="right"/>
      <w:rPr>
        <w:lang w:val="fr-CH"/>
      </w:rPr>
    </w:pPr>
    <w:r>
      <w:rPr>
        <w:lang w:val="fr-CH"/>
      </w:rPr>
      <w:t>ST/SG/AC.10/C.3/2019/</w:t>
    </w:r>
    <w:r w:rsidR="00AF54E2">
      <w:rPr>
        <w:lang w:val="fr-CH"/>
      </w:rPr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69F4" w14:textId="77777777" w:rsidR="003054EE" w:rsidRDefault="003054EE" w:rsidP="003054E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5D6FEB"/>
    <w:multiLevelType w:val="hybridMultilevel"/>
    <w:tmpl w:val="F6D8623A"/>
    <w:lvl w:ilvl="0" w:tplc="9D7294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B9"/>
    <w:rsid w:val="00046E92"/>
    <w:rsid w:val="00054870"/>
    <w:rsid w:val="00063C90"/>
    <w:rsid w:val="00101B98"/>
    <w:rsid w:val="00126860"/>
    <w:rsid w:val="001514D1"/>
    <w:rsid w:val="00157DFA"/>
    <w:rsid w:val="0017459F"/>
    <w:rsid w:val="001776D6"/>
    <w:rsid w:val="00190592"/>
    <w:rsid w:val="00247E2C"/>
    <w:rsid w:val="002A32CB"/>
    <w:rsid w:val="002B7B5A"/>
    <w:rsid w:val="002D5B2C"/>
    <w:rsid w:val="002D6C53"/>
    <w:rsid w:val="002F5595"/>
    <w:rsid w:val="003054EE"/>
    <w:rsid w:val="00334F6A"/>
    <w:rsid w:val="003356C3"/>
    <w:rsid w:val="00342AC8"/>
    <w:rsid w:val="00343302"/>
    <w:rsid w:val="003979DE"/>
    <w:rsid w:val="003A24B0"/>
    <w:rsid w:val="003B2B65"/>
    <w:rsid w:val="003B4550"/>
    <w:rsid w:val="003B5894"/>
    <w:rsid w:val="003D2A18"/>
    <w:rsid w:val="00413386"/>
    <w:rsid w:val="00461253"/>
    <w:rsid w:val="004858F5"/>
    <w:rsid w:val="004A2814"/>
    <w:rsid w:val="004C0622"/>
    <w:rsid w:val="005042C2"/>
    <w:rsid w:val="0051738C"/>
    <w:rsid w:val="005E716E"/>
    <w:rsid w:val="00626926"/>
    <w:rsid w:val="0064742D"/>
    <w:rsid w:val="006476E1"/>
    <w:rsid w:val="006604DF"/>
    <w:rsid w:val="00671529"/>
    <w:rsid w:val="0070489D"/>
    <w:rsid w:val="00725B77"/>
    <w:rsid w:val="007268F9"/>
    <w:rsid w:val="00750282"/>
    <w:rsid w:val="00764440"/>
    <w:rsid w:val="0077101B"/>
    <w:rsid w:val="00784F87"/>
    <w:rsid w:val="007C52B0"/>
    <w:rsid w:val="007C6033"/>
    <w:rsid w:val="008147C8"/>
    <w:rsid w:val="0081753A"/>
    <w:rsid w:val="00857D23"/>
    <w:rsid w:val="00911FA5"/>
    <w:rsid w:val="009411B4"/>
    <w:rsid w:val="00946F1D"/>
    <w:rsid w:val="009840D5"/>
    <w:rsid w:val="009D0139"/>
    <w:rsid w:val="009D717D"/>
    <w:rsid w:val="009F5CDC"/>
    <w:rsid w:val="00A072D7"/>
    <w:rsid w:val="00A21E8C"/>
    <w:rsid w:val="00A775CF"/>
    <w:rsid w:val="00A851B9"/>
    <w:rsid w:val="00A91630"/>
    <w:rsid w:val="00AC5004"/>
    <w:rsid w:val="00AD1A9C"/>
    <w:rsid w:val="00AF54E2"/>
    <w:rsid w:val="00AF5DE1"/>
    <w:rsid w:val="00B06045"/>
    <w:rsid w:val="00B206DD"/>
    <w:rsid w:val="00B52EF4"/>
    <w:rsid w:val="00B777AD"/>
    <w:rsid w:val="00B814D0"/>
    <w:rsid w:val="00C03015"/>
    <w:rsid w:val="00C0358D"/>
    <w:rsid w:val="00C35A27"/>
    <w:rsid w:val="00C47B2E"/>
    <w:rsid w:val="00D2173B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54542"/>
    <w:rsid w:val="00F65F5D"/>
    <w:rsid w:val="00F86A3A"/>
    <w:rsid w:val="00FA605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119746"/>
  <w15:docId w15:val="{CFAE16FA-6F71-4AEA-BD92-9A1DA95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054870"/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126860"/>
  </w:style>
  <w:style w:type="character" w:customStyle="1" w:styleId="H1GChar">
    <w:name w:val="_ H_1_G Char"/>
    <w:link w:val="H1G"/>
    <w:rsid w:val="00126860"/>
    <w:rPr>
      <w:b/>
      <w:sz w:val="24"/>
    </w:rPr>
  </w:style>
  <w:style w:type="character" w:styleId="CommentReference">
    <w:name w:val="annotation reference"/>
    <w:uiPriority w:val="99"/>
    <w:semiHidden/>
    <w:unhideWhenUsed/>
    <w:rsid w:val="00190592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190592"/>
    <w:pPr>
      <w:spacing w:after="0" w:line="240" w:lineRule="auto"/>
    </w:pPr>
    <w:rPr>
      <w:rFonts w:eastAsia="Times New Roman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92"/>
    <w:rPr>
      <w:rFonts w:eastAsia="Times New Roman"/>
      <w:lang w:eastAsia="fr-FR"/>
    </w:rPr>
  </w:style>
  <w:style w:type="paragraph" w:styleId="ListNumber">
    <w:name w:val="List Number"/>
    <w:basedOn w:val="Normal"/>
    <w:semiHidden/>
    <w:rsid w:val="00190592"/>
    <w:pPr>
      <w:numPr>
        <w:numId w:val="14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26"/>
    <w:pPr>
      <w:suppressAutoHyphens/>
      <w:kinsoku w:val="0"/>
      <w:overflowPunct w:val="0"/>
      <w:autoSpaceDE w:val="0"/>
      <w:autoSpaceDN w:val="0"/>
      <w:adjustRightInd w:val="0"/>
      <w:snapToGrid w:val="0"/>
    </w:pPr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26"/>
    <w:rPr>
      <w:rFonts w:eastAsia="Times New Roman"/>
      <w:b/>
      <w:bCs/>
      <w:lang w:eastAsia="fr-FR"/>
    </w:rPr>
  </w:style>
  <w:style w:type="paragraph" w:styleId="Revision">
    <w:name w:val="Revision"/>
    <w:hidden/>
    <w:uiPriority w:val="99"/>
    <w:semiHidden/>
    <w:rsid w:val="0062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3082-4941-434A-BF6C-2337B26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26</TotalTime>
  <Pages>2</Pages>
  <Words>337</Words>
  <Characters>1880</Characters>
  <Application>Microsoft Office Word</Application>
  <DocSecurity>0</DocSecurity>
  <Lines>48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ST/SG/AC.10/C.3/2019/38</vt:lpstr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ST/SG/AC.10/C.3/2019/38</dc:title>
  <dc:subject/>
  <dc:creator>Rosa Garcia-Couto</dc:creator>
  <cp:lastModifiedBy>Laurence Berthet</cp:lastModifiedBy>
  <cp:revision>5</cp:revision>
  <cp:lastPrinted>2019-09-07T17:14:00Z</cp:lastPrinted>
  <dcterms:created xsi:type="dcterms:W3CDTF">2019-09-02T08:22:00Z</dcterms:created>
  <dcterms:modified xsi:type="dcterms:W3CDTF">2019-09-07T17:15:00Z</dcterms:modified>
</cp:coreProperties>
</file>