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132EA9" w:rsidRPr="00DB58B5" w14:paraId="0026F891" w14:textId="77777777" w:rsidTr="00F01738">
        <w:trPr>
          <w:trHeight w:hRule="exact" w:val="851"/>
        </w:trPr>
        <w:tc>
          <w:tcPr>
            <w:tcW w:w="1276" w:type="dxa"/>
            <w:tcBorders>
              <w:bottom w:val="single" w:sz="4" w:space="0" w:color="auto"/>
            </w:tcBorders>
          </w:tcPr>
          <w:p w14:paraId="0EF6A104" w14:textId="77777777" w:rsidR="00132EA9" w:rsidRPr="00DB58B5" w:rsidRDefault="00132EA9" w:rsidP="00F01738">
            <w:bookmarkStart w:id="0" w:name="_GoBack"/>
            <w:bookmarkEnd w:id="0"/>
          </w:p>
        </w:tc>
        <w:tc>
          <w:tcPr>
            <w:tcW w:w="2268" w:type="dxa"/>
            <w:tcBorders>
              <w:bottom w:val="single" w:sz="4" w:space="0" w:color="auto"/>
            </w:tcBorders>
            <w:vAlign w:val="bottom"/>
          </w:tcPr>
          <w:p w14:paraId="268BDE9C" w14:textId="77777777" w:rsidR="00132EA9" w:rsidRPr="00DB58B5" w:rsidRDefault="00132EA9" w:rsidP="00F01738">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14:paraId="5EE7DD70" w14:textId="77777777" w:rsidR="00132EA9" w:rsidRPr="00DB58B5" w:rsidRDefault="008975C5" w:rsidP="008975C5">
            <w:pPr>
              <w:jc w:val="right"/>
            </w:pPr>
            <w:r w:rsidRPr="008975C5">
              <w:rPr>
                <w:sz w:val="40"/>
              </w:rPr>
              <w:t>ST</w:t>
            </w:r>
            <w:r>
              <w:t>/SG/AC.10/C.3/2019/38</w:t>
            </w:r>
          </w:p>
        </w:tc>
      </w:tr>
      <w:tr w:rsidR="00132EA9" w:rsidRPr="00DB58B5" w14:paraId="1C95C27B" w14:textId="77777777" w:rsidTr="00F01738">
        <w:trPr>
          <w:trHeight w:hRule="exact" w:val="2835"/>
        </w:trPr>
        <w:tc>
          <w:tcPr>
            <w:tcW w:w="1276" w:type="dxa"/>
            <w:tcBorders>
              <w:top w:val="single" w:sz="4" w:space="0" w:color="auto"/>
              <w:bottom w:val="single" w:sz="12" w:space="0" w:color="auto"/>
            </w:tcBorders>
          </w:tcPr>
          <w:p w14:paraId="721A9536" w14:textId="77777777" w:rsidR="00132EA9" w:rsidRPr="00DB58B5" w:rsidRDefault="00132EA9" w:rsidP="00F01738">
            <w:pPr>
              <w:spacing w:before="120"/>
              <w:jc w:val="center"/>
            </w:pPr>
            <w:r>
              <w:rPr>
                <w:noProof/>
                <w:lang w:eastAsia="fr-CH"/>
              </w:rPr>
              <w:drawing>
                <wp:inline distT="0" distB="0" distL="0" distR="0" wp14:anchorId="5B410E7B" wp14:editId="69D57081">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00DB1DDA" w14:textId="77777777" w:rsidR="00132EA9" w:rsidRPr="00740562" w:rsidRDefault="00132EA9" w:rsidP="00F01738">
            <w:pPr>
              <w:spacing w:before="120" w:line="420" w:lineRule="exact"/>
              <w:rPr>
                <w:b/>
                <w:sz w:val="40"/>
                <w:szCs w:val="40"/>
              </w:rPr>
            </w:pPr>
            <w:r w:rsidRPr="00A55C22">
              <w:rPr>
                <w:b/>
                <w:sz w:val="40"/>
                <w:szCs w:val="40"/>
              </w:rPr>
              <w:t>Secrétariat</w:t>
            </w:r>
          </w:p>
        </w:tc>
        <w:tc>
          <w:tcPr>
            <w:tcW w:w="2835" w:type="dxa"/>
            <w:tcBorders>
              <w:top w:val="single" w:sz="4" w:space="0" w:color="auto"/>
              <w:bottom w:val="single" w:sz="12" w:space="0" w:color="auto"/>
            </w:tcBorders>
          </w:tcPr>
          <w:p w14:paraId="7114DEFA" w14:textId="77777777" w:rsidR="00132EA9" w:rsidRDefault="008975C5" w:rsidP="008975C5">
            <w:pPr>
              <w:spacing w:before="240" w:line="240" w:lineRule="exact"/>
            </w:pPr>
            <w:proofErr w:type="spellStart"/>
            <w:r>
              <w:t>Distr</w:t>
            </w:r>
            <w:proofErr w:type="spellEnd"/>
            <w:r>
              <w:t xml:space="preserve">. </w:t>
            </w:r>
            <w:proofErr w:type="gramStart"/>
            <w:r>
              <w:t>générale</w:t>
            </w:r>
            <w:proofErr w:type="gramEnd"/>
          </w:p>
          <w:p w14:paraId="48BB1229" w14:textId="77777777" w:rsidR="008975C5" w:rsidRDefault="008975C5" w:rsidP="008975C5">
            <w:pPr>
              <w:spacing w:line="240" w:lineRule="exact"/>
            </w:pPr>
            <w:r>
              <w:t>27 mai 2019</w:t>
            </w:r>
          </w:p>
          <w:p w14:paraId="4BB47F24" w14:textId="77777777" w:rsidR="008975C5" w:rsidRDefault="008975C5" w:rsidP="008975C5">
            <w:pPr>
              <w:spacing w:line="240" w:lineRule="exact"/>
            </w:pPr>
            <w:r>
              <w:t>Français</w:t>
            </w:r>
          </w:p>
          <w:p w14:paraId="667E7685" w14:textId="77777777" w:rsidR="008975C5" w:rsidRPr="00DB58B5" w:rsidRDefault="008975C5" w:rsidP="008975C5">
            <w:pPr>
              <w:spacing w:line="240" w:lineRule="exact"/>
            </w:pPr>
            <w:r>
              <w:t>Original : anglais</w:t>
            </w:r>
            <w:r w:rsidR="00317D4A">
              <w:t xml:space="preserve"> et français</w:t>
            </w:r>
          </w:p>
        </w:tc>
      </w:tr>
    </w:tbl>
    <w:p w14:paraId="3852AD52" w14:textId="77777777" w:rsidR="00A34E90" w:rsidRPr="00CA0680" w:rsidRDefault="00A34E90" w:rsidP="00A34E90">
      <w:pPr>
        <w:spacing w:before="120"/>
        <w:rPr>
          <w:b/>
          <w:sz w:val="24"/>
          <w:szCs w:val="24"/>
        </w:rPr>
      </w:pPr>
      <w:r w:rsidRPr="00CA0680">
        <w:rPr>
          <w:b/>
          <w:sz w:val="24"/>
          <w:szCs w:val="24"/>
        </w:rPr>
        <w:t>Comité d’experts du transport</w:t>
      </w:r>
      <w:r>
        <w:rPr>
          <w:b/>
          <w:sz w:val="24"/>
          <w:szCs w:val="24"/>
        </w:rPr>
        <w:t xml:space="preserve"> </w:t>
      </w:r>
      <w:r w:rsidRPr="00CA0680">
        <w:rPr>
          <w:b/>
          <w:sz w:val="24"/>
          <w:szCs w:val="24"/>
        </w:rPr>
        <w:t>des marchandises dangereuses</w:t>
      </w:r>
      <w:r>
        <w:rPr>
          <w:b/>
          <w:sz w:val="24"/>
          <w:szCs w:val="24"/>
        </w:rPr>
        <w:br/>
      </w:r>
      <w:r w:rsidRPr="00CA0680">
        <w:rPr>
          <w:b/>
          <w:sz w:val="24"/>
          <w:szCs w:val="24"/>
        </w:rPr>
        <w:t>et</w:t>
      </w:r>
      <w:r>
        <w:rPr>
          <w:b/>
          <w:sz w:val="24"/>
          <w:szCs w:val="24"/>
        </w:rPr>
        <w:t xml:space="preserve"> </w:t>
      </w:r>
      <w:r w:rsidRPr="00CA0680">
        <w:rPr>
          <w:b/>
          <w:sz w:val="24"/>
          <w:szCs w:val="24"/>
        </w:rPr>
        <w:t xml:space="preserve">du </w:t>
      </w:r>
      <w:r>
        <w:rPr>
          <w:b/>
          <w:sz w:val="24"/>
          <w:szCs w:val="24"/>
        </w:rPr>
        <w:t>S</w:t>
      </w:r>
      <w:r w:rsidRPr="00CA0680">
        <w:rPr>
          <w:b/>
          <w:sz w:val="24"/>
          <w:szCs w:val="24"/>
        </w:rPr>
        <w:t>ystème général harmonisé</w:t>
      </w:r>
      <w:r>
        <w:rPr>
          <w:b/>
          <w:sz w:val="24"/>
          <w:szCs w:val="24"/>
        </w:rPr>
        <w:t xml:space="preserve"> </w:t>
      </w:r>
      <w:r w:rsidRPr="00CA0680">
        <w:rPr>
          <w:b/>
          <w:sz w:val="24"/>
          <w:szCs w:val="24"/>
        </w:rPr>
        <w:t>de classification</w:t>
      </w:r>
      <w:r>
        <w:rPr>
          <w:b/>
          <w:sz w:val="24"/>
          <w:szCs w:val="24"/>
        </w:rPr>
        <w:br/>
      </w:r>
      <w:r w:rsidRPr="00CA0680">
        <w:rPr>
          <w:b/>
          <w:sz w:val="24"/>
          <w:szCs w:val="24"/>
        </w:rPr>
        <w:t>et d’étiquetage</w:t>
      </w:r>
      <w:r>
        <w:rPr>
          <w:b/>
          <w:sz w:val="24"/>
          <w:szCs w:val="24"/>
        </w:rPr>
        <w:t xml:space="preserve"> </w:t>
      </w:r>
      <w:r w:rsidRPr="00CA0680">
        <w:rPr>
          <w:b/>
          <w:sz w:val="24"/>
          <w:szCs w:val="24"/>
        </w:rPr>
        <w:t>des produits chimiques</w:t>
      </w:r>
    </w:p>
    <w:p w14:paraId="56CFE4F3" w14:textId="77777777" w:rsidR="00A34E90" w:rsidRPr="00CA0680" w:rsidRDefault="00A34E90" w:rsidP="00A34E90">
      <w:pPr>
        <w:spacing w:before="120"/>
        <w:rPr>
          <w:b/>
        </w:rPr>
      </w:pPr>
      <w:r w:rsidRPr="00CA0680">
        <w:rPr>
          <w:b/>
        </w:rPr>
        <w:t>Sous</w:t>
      </w:r>
      <w:r>
        <w:rPr>
          <w:b/>
        </w:rPr>
        <w:t>-</w:t>
      </w:r>
      <w:r w:rsidRPr="00CA0680">
        <w:rPr>
          <w:b/>
        </w:rPr>
        <w:t>Comité d’experts du transport des marchandises dangereuses</w:t>
      </w:r>
    </w:p>
    <w:p w14:paraId="008F2708" w14:textId="77777777" w:rsidR="00A34E90" w:rsidRDefault="00A34E90" w:rsidP="00A34E90">
      <w:pPr>
        <w:spacing w:before="120"/>
        <w:rPr>
          <w:b/>
        </w:rPr>
      </w:pPr>
      <w:r w:rsidRPr="001D72D4">
        <w:rPr>
          <w:b/>
          <w:lang w:val="fr-FR"/>
        </w:rPr>
        <w:t>Cinquante-cinquième</w:t>
      </w:r>
      <w:r>
        <w:rPr>
          <w:b/>
        </w:rPr>
        <w:t xml:space="preserve"> </w:t>
      </w:r>
      <w:r w:rsidRPr="00CA0680">
        <w:rPr>
          <w:b/>
        </w:rPr>
        <w:t>session</w:t>
      </w:r>
    </w:p>
    <w:p w14:paraId="0ED90ED6" w14:textId="77777777" w:rsidR="00A34E90" w:rsidRDefault="00A34E90" w:rsidP="00A34E90">
      <w:r>
        <w:t xml:space="preserve">Genève, </w:t>
      </w:r>
      <w:r w:rsidRPr="00F306A1">
        <w:rPr>
          <w:lang w:val="fr-FR"/>
        </w:rPr>
        <w:t>1</w:t>
      </w:r>
      <w:r w:rsidRPr="00F306A1">
        <w:rPr>
          <w:vertAlign w:val="superscript"/>
          <w:lang w:val="fr-FR"/>
        </w:rPr>
        <w:t>er</w:t>
      </w:r>
      <w:r w:rsidRPr="00F306A1">
        <w:rPr>
          <w:lang w:val="fr-FR"/>
        </w:rPr>
        <w:t>-5</w:t>
      </w:r>
      <w:r>
        <w:rPr>
          <w:lang w:val="fr-FR"/>
        </w:rPr>
        <w:t> </w:t>
      </w:r>
      <w:r w:rsidRPr="00F306A1">
        <w:rPr>
          <w:lang w:val="fr-FR"/>
        </w:rPr>
        <w:t>juillet 2019</w:t>
      </w:r>
    </w:p>
    <w:p w14:paraId="381AF2AC" w14:textId="77777777" w:rsidR="00A34E90" w:rsidRDefault="00A34E90" w:rsidP="00A34E90">
      <w:r>
        <w:t>Point 3 de l’ordre du jour provisoire</w:t>
      </w:r>
    </w:p>
    <w:p w14:paraId="7CDC8809" w14:textId="77777777" w:rsidR="00A34E90" w:rsidRPr="004029BF" w:rsidRDefault="00A34E90" w:rsidP="00A34E90">
      <w:pPr>
        <w:rPr>
          <w:b/>
          <w:lang w:val="fr-FR"/>
        </w:rPr>
      </w:pPr>
      <w:r w:rsidRPr="004029BF">
        <w:rPr>
          <w:b/>
          <w:lang w:val="fr-FR"/>
        </w:rPr>
        <w:t>Inscription, classement et emballage</w:t>
      </w:r>
    </w:p>
    <w:p w14:paraId="335BB7CF" w14:textId="77777777" w:rsidR="00A34E90" w:rsidRDefault="00A34E90" w:rsidP="00A34E90">
      <w:pPr>
        <w:pStyle w:val="HChG"/>
        <w:rPr>
          <w:lang w:val="fr-FR"/>
        </w:rPr>
      </w:pPr>
      <w:r>
        <w:rPr>
          <w:lang w:val="fr-FR"/>
        </w:rPr>
        <w:tab/>
      </w:r>
      <w:r>
        <w:rPr>
          <w:lang w:val="fr-FR"/>
        </w:rPr>
        <w:tab/>
      </w:r>
      <w:r w:rsidRPr="00A34E90">
        <w:rPr>
          <w:lang w:val="fr-FR"/>
        </w:rPr>
        <w:t>Transport de transformateurs avec des bouteilles de gaz</w:t>
      </w:r>
    </w:p>
    <w:p w14:paraId="60A74176" w14:textId="77777777" w:rsidR="00A34E90" w:rsidRDefault="00A34E90" w:rsidP="00A34E90">
      <w:pPr>
        <w:pStyle w:val="H1G"/>
      </w:pPr>
      <w:r>
        <w:rPr>
          <w:lang w:val="fr-FR"/>
        </w:rPr>
        <w:tab/>
      </w:r>
      <w:r>
        <w:rPr>
          <w:lang w:val="fr-FR"/>
        </w:rPr>
        <w:tab/>
        <w:t>Transmis par l'expert de l'Allemagne</w:t>
      </w:r>
      <w:r>
        <w:rPr>
          <w:rStyle w:val="FootnoteReference"/>
        </w:rPr>
        <w:footnoteReference w:customMarkFollows="1" w:id="2"/>
        <w:t>*</w:t>
      </w:r>
    </w:p>
    <w:p w14:paraId="0B872DBA" w14:textId="77777777" w:rsidR="00A34E90" w:rsidRDefault="00A34E90" w:rsidP="00A34E90">
      <w:pPr>
        <w:pStyle w:val="HChG"/>
        <w:rPr>
          <w:lang w:val="fr-FR"/>
        </w:rPr>
      </w:pPr>
      <w:r>
        <w:rPr>
          <w:lang w:val="fr-FR"/>
        </w:rPr>
        <w:tab/>
      </w:r>
      <w:r>
        <w:rPr>
          <w:lang w:val="fr-FR"/>
        </w:rPr>
        <w:tab/>
        <w:t>Introduction</w:t>
      </w:r>
    </w:p>
    <w:p w14:paraId="5BF1F496" w14:textId="77777777" w:rsidR="00A34E90" w:rsidRDefault="00A34E90" w:rsidP="00A34E90">
      <w:pPr>
        <w:pStyle w:val="SingleTxtG"/>
        <w:rPr>
          <w:lang w:val="fr-FR"/>
        </w:rPr>
      </w:pPr>
      <w:r>
        <w:rPr>
          <w:lang w:val="fr-FR"/>
        </w:rPr>
        <w:t xml:space="preserve">1. </w:t>
      </w:r>
      <w:r>
        <w:rPr>
          <w:lang w:val="fr-FR"/>
        </w:rPr>
        <w:tab/>
        <w:t xml:space="preserve">Pour des raisons opérationnelles, les transformateurs sont mis sous pression à l'azote ou à l'air synthétique ou séché ou également à l'aide d'un mélange de ces gaz. Cependant, comme les transformateurs ne sont pas étanches au gaz, de petites quantités de gaz sont alimentées en permanence via un régulateur de pression à partir d'une bouteille de gaz connectée au transformateur. Jusqu'à présent, les transformateurs ont été transportés par voie maritime conformément au numéro ONU 3363, classe 9. En raison du dépassement de la limite de quantité de marchandises dangereuses </w:t>
      </w:r>
      <w:r w:rsidR="00EB14CA">
        <w:rPr>
          <w:lang w:val="fr-FR"/>
        </w:rPr>
        <w:t xml:space="preserve">contenues </w:t>
      </w:r>
      <w:r>
        <w:rPr>
          <w:lang w:val="fr-FR"/>
        </w:rPr>
        <w:t xml:space="preserve">dans des machines ou appareils, un agrément conformément à la disposition spéciale 301 a été délivré par l'autorité compétente. Pour </w:t>
      </w:r>
      <w:r w:rsidR="00EB14CA">
        <w:rPr>
          <w:lang w:val="fr-FR"/>
        </w:rPr>
        <w:t>cet agrément</w:t>
      </w:r>
      <w:r>
        <w:rPr>
          <w:lang w:val="fr-FR"/>
        </w:rPr>
        <w:t xml:space="preserve">, il a été implicitement pris en compte que le transformateur n'est pas étanche aux gaz et la condition a été stipulée que le transformateur doit être transporté sur le pont ou dans une </w:t>
      </w:r>
      <w:proofErr w:type="spellStart"/>
      <w:r>
        <w:rPr>
          <w:lang w:val="fr-FR"/>
        </w:rPr>
        <w:t>soute</w:t>
      </w:r>
      <w:proofErr w:type="spellEnd"/>
      <w:r>
        <w:rPr>
          <w:lang w:val="fr-FR"/>
        </w:rPr>
        <w:t xml:space="preserve"> bien ventilée.</w:t>
      </w:r>
    </w:p>
    <w:p w14:paraId="6C410B49" w14:textId="77777777" w:rsidR="00A34E90" w:rsidRDefault="00A34E90" w:rsidP="00A34E90">
      <w:pPr>
        <w:pStyle w:val="SingleTxtG"/>
        <w:rPr>
          <w:lang w:val="fr-FR"/>
        </w:rPr>
      </w:pPr>
      <w:r>
        <w:rPr>
          <w:lang w:val="fr-FR"/>
        </w:rPr>
        <w:t xml:space="preserve">2. </w:t>
      </w:r>
      <w:r>
        <w:rPr>
          <w:lang w:val="fr-FR"/>
        </w:rPr>
        <w:tab/>
        <w:t xml:space="preserve">À compter du 1er janvier 2020 au plus tard, ces transformateurs seront </w:t>
      </w:r>
      <w:r w:rsidR="00EB14CA">
        <w:rPr>
          <w:lang w:val="fr-FR"/>
        </w:rPr>
        <w:t>affectés</w:t>
      </w:r>
      <w:r>
        <w:rPr>
          <w:lang w:val="fr-FR"/>
        </w:rPr>
        <w:t xml:space="preserve"> </w:t>
      </w:r>
      <w:r w:rsidR="00EB14CA">
        <w:rPr>
          <w:lang w:val="fr-FR"/>
        </w:rPr>
        <w:t xml:space="preserve">au </w:t>
      </w:r>
      <w:r>
        <w:rPr>
          <w:lang w:val="fr-FR"/>
        </w:rPr>
        <w:t xml:space="preserve">numéro ONU 3538, </w:t>
      </w:r>
      <w:r w:rsidR="00EB14CA">
        <w:rPr>
          <w:lang w:val="fr-FR"/>
        </w:rPr>
        <w:t>Division</w:t>
      </w:r>
      <w:r>
        <w:rPr>
          <w:lang w:val="fr-FR"/>
        </w:rPr>
        <w:t xml:space="preserve"> 2.2. Il faut donc clarifier la manière de traiter le problème du manque d’étanchéité aux gaz des transformateurs.</w:t>
      </w:r>
    </w:p>
    <w:p w14:paraId="165AE5D6" w14:textId="77777777" w:rsidR="00A34E90" w:rsidRDefault="00A34E90" w:rsidP="00A34E90">
      <w:pPr>
        <w:pStyle w:val="SingleTxtG"/>
        <w:rPr>
          <w:lang w:val="fr-FR"/>
        </w:rPr>
      </w:pPr>
      <w:r>
        <w:rPr>
          <w:lang w:val="fr-FR"/>
        </w:rPr>
        <w:t xml:space="preserve">3. </w:t>
      </w:r>
      <w:r>
        <w:rPr>
          <w:lang w:val="fr-FR"/>
        </w:rPr>
        <w:tab/>
        <w:t xml:space="preserve">L'instruction d'emballage P006, qui s'applique au numéro ONU 3538, prévoit que les transformateurs peuvent être transportés sans emballage. Cela n'exige pas explicitement que le transformateur soit étanche aux gaz. </w:t>
      </w:r>
      <w:r w:rsidR="00EB14CA">
        <w:rPr>
          <w:lang w:val="fr-FR"/>
        </w:rPr>
        <w:t>C</w:t>
      </w:r>
      <w:r>
        <w:rPr>
          <w:lang w:val="fr-FR"/>
        </w:rPr>
        <w:t>ependant, l’alinéa 3) d) de l’instruction d’emballage s’applique</w:t>
      </w:r>
      <w:r w:rsidR="00EB14CA">
        <w:rPr>
          <w:lang w:val="fr-FR"/>
        </w:rPr>
        <w:t xml:space="preserve"> à la bouteille de gaz raccordée</w:t>
      </w:r>
      <w:r w:rsidR="0072228D">
        <w:rPr>
          <w:lang w:val="fr-FR"/>
        </w:rPr>
        <w:t> </w:t>
      </w:r>
      <w:r>
        <w:rPr>
          <w:lang w:val="fr-FR"/>
        </w:rPr>
        <w:t>; donc 4.1.6 et 6.2 doivent être respectés. Conformément au 4.1.6.1.5, les robinets doivent rester fermés pendant le transport.</w:t>
      </w:r>
    </w:p>
    <w:p w14:paraId="382FEF07" w14:textId="77777777" w:rsidR="00A34E90" w:rsidRPr="00A34E90" w:rsidRDefault="00A34E90" w:rsidP="00A34E90">
      <w:pPr>
        <w:pStyle w:val="HChG"/>
        <w:rPr>
          <w:lang w:val="fr-FR"/>
        </w:rPr>
      </w:pPr>
      <w:r>
        <w:rPr>
          <w:lang w:val="fr-FR"/>
        </w:rPr>
        <w:tab/>
      </w:r>
      <w:r>
        <w:rPr>
          <w:lang w:val="fr-FR"/>
        </w:rPr>
        <w:tab/>
      </w:r>
      <w:r w:rsidRPr="00A34E90">
        <w:rPr>
          <w:lang w:val="fr-FR"/>
        </w:rPr>
        <w:t>Conclusion</w:t>
      </w:r>
    </w:p>
    <w:p w14:paraId="21F1A06F" w14:textId="77777777" w:rsidR="00A34E90" w:rsidRPr="00A34E90" w:rsidRDefault="00A34E90" w:rsidP="00A34E90">
      <w:pPr>
        <w:pStyle w:val="SingleTxtG"/>
        <w:rPr>
          <w:lang w:val="fr-FR"/>
        </w:rPr>
      </w:pPr>
      <w:r w:rsidRPr="00A34E90">
        <w:rPr>
          <w:lang w:val="fr-FR"/>
        </w:rPr>
        <w:t xml:space="preserve">4. </w:t>
      </w:r>
      <w:r>
        <w:rPr>
          <w:lang w:val="fr-FR"/>
        </w:rPr>
        <w:tab/>
      </w:r>
      <w:r w:rsidRPr="00A34E90">
        <w:rPr>
          <w:lang w:val="fr-FR"/>
        </w:rPr>
        <w:t xml:space="preserve">En ce qui concerne la sécurité, le problème ne se pose généralement pas si de faibles quantités de gaz ininflammables, toxiques, corrosifs ou </w:t>
      </w:r>
      <w:r w:rsidR="00EB14CA">
        <w:rPr>
          <w:lang w:val="fr-FR"/>
        </w:rPr>
        <w:t>comburants</w:t>
      </w:r>
      <w:r w:rsidRPr="00A34E90">
        <w:rPr>
          <w:lang w:val="fr-FR"/>
        </w:rPr>
        <w:t xml:space="preserve"> sont rejetées dans </w:t>
      </w:r>
      <w:r w:rsidRPr="00A34E90">
        <w:rPr>
          <w:lang w:val="fr-FR"/>
        </w:rPr>
        <w:lastRenderedPageBreak/>
        <w:t xml:space="preserve">l'environnement à condition d'empêcher l'accumulation de gaz asphyxiant dans des espaces confinés. Ceci est également démontré par la comparaison avec les récipients </w:t>
      </w:r>
      <w:r w:rsidR="00EB14CA" w:rsidRPr="00A34E90">
        <w:rPr>
          <w:lang w:val="fr-FR"/>
        </w:rPr>
        <w:t>cryogéniques :</w:t>
      </w:r>
      <w:r w:rsidRPr="00A34E90">
        <w:rPr>
          <w:lang w:val="fr-FR"/>
        </w:rPr>
        <w:t xml:space="preserve"> à l'état liquéfié réfrigéré, ces gaz peuvent être transportés dans des récipients cryogéniques ouverts permettant une ventilation continue du gaz afin de maintenir le récipient à la pression atmosphérique. La nécessité de fabriquer des transformateurs étanches au gaz serait donc disproportionnée.</w:t>
      </w:r>
    </w:p>
    <w:p w14:paraId="4DA48157" w14:textId="77777777" w:rsidR="00A34E90" w:rsidRPr="00A34E90" w:rsidRDefault="00A34E90" w:rsidP="00A34E90">
      <w:pPr>
        <w:pStyle w:val="SingleTxtG"/>
        <w:rPr>
          <w:lang w:val="fr-FR"/>
        </w:rPr>
      </w:pPr>
      <w:r w:rsidRPr="00A34E90">
        <w:rPr>
          <w:lang w:val="fr-FR"/>
        </w:rPr>
        <w:t>5</w:t>
      </w:r>
      <w:r>
        <w:rPr>
          <w:lang w:val="fr-FR"/>
        </w:rPr>
        <w:t>.</w:t>
      </w:r>
      <w:r>
        <w:rPr>
          <w:lang w:val="fr-FR"/>
        </w:rPr>
        <w:tab/>
      </w:r>
      <w:r w:rsidRPr="00A34E90">
        <w:rPr>
          <w:lang w:val="fr-FR"/>
        </w:rPr>
        <w:t xml:space="preserve">Pour éviter la nécessité de délivrer une dérogation chaque fois que de tels transformateurs sont transportés, le règlement devrait contenir une disposition à cet effet. Le numéro ONU 3538 doit faire l’objet d’une disposition spéciale qui établit les exigences de sécurité pour la mise sous pression des transformateurs à gaz. Des images avec des exemples de tels transformateurs sont incluses </w:t>
      </w:r>
      <w:r w:rsidR="00EB14CA">
        <w:rPr>
          <w:lang w:val="fr-FR"/>
        </w:rPr>
        <w:t>dans l’annexe</w:t>
      </w:r>
      <w:r w:rsidRPr="00A34E90">
        <w:rPr>
          <w:lang w:val="fr-FR"/>
        </w:rPr>
        <w:t>.</w:t>
      </w:r>
    </w:p>
    <w:p w14:paraId="3B02B73B" w14:textId="77777777" w:rsidR="00A34E90" w:rsidRPr="00A34E90" w:rsidRDefault="00A34E90" w:rsidP="00A34E90">
      <w:pPr>
        <w:pStyle w:val="HChG"/>
        <w:rPr>
          <w:lang w:val="fr-FR"/>
        </w:rPr>
      </w:pPr>
      <w:r>
        <w:rPr>
          <w:lang w:val="fr-FR"/>
        </w:rPr>
        <w:tab/>
      </w:r>
      <w:r>
        <w:rPr>
          <w:lang w:val="fr-FR"/>
        </w:rPr>
        <w:tab/>
      </w:r>
      <w:r w:rsidRPr="00A34E90">
        <w:rPr>
          <w:lang w:val="fr-FR"/>
        </w:rPr>
        <w:t>Proposition</w:t>
      </w:r>
    </w:p>
    <w:p w14:paraId="723C16FE" w14:textId="77777777" w:rsidR="00A34E90" w:rsidRPr="00A34E90" w:rsidRDefault="00A34E90" w:rsidP="00A34E90">
      <w:pPr>
        <w:pStyle w:val="SingleTxtG"/>
        <w:rPr>
          <w:lang w:val="fr-FR"/>
        </w:rPr>
      </w:pPr>
      <w:r w:rsidRPr="00A34E90">
        <w:rPr>
          <w:lang w:val="fr-FR"/>
        </w:rPr>
        <w:t xml:space="preserve">6. </w:t>
      </w:r>
      <w:r>
        <w:rPr>
          <w:lang w:val="fr-FR"/>
        </w:rPr>
        <w:tab/>
      </w:r>
      <w:r w:rsidR="00EB14CA">
        <w:rPr>
          <w:lang w:val="fr-FR"/>
        </w:rPr>
        <w:t xml:space="preserve">Ajouter la </w:t>
      </w:r>
      <w:r w:rsidRPr="00A34E90">
        <w:rPr>
          <w:lang w:val="fr-FR"/>
        </w:rPr>
        <w:t xml:space="preserve">disposition spéciale suivante </w:t>
      </w:r>
      <w:r w:rsidR="00EB14CA">
        <w:rPr>
          <w:lang w:val="fr-FR"/>
        </w:rPr>
        <w:t>au</w:t>
      </w:r>
      <w:r w:rsidRPr="00A34E90">
        <w:rPr>
          <w:lang w:val="fr-FR"/>
        </w:rPr>
        <w:t xml:space="preserve"> chapitre 3.3:</w:t>
      </w:r>
    </w:p>
    <w:p w14:paraId="064AEFD5" w14:textId="77777777" w:rsidR="00A34E90" w:rsidRPr="00A34E90" w:rsidRDefault="00EB14CA" w:rsidP="00A34E90">
      <w:pPr>
        <w:pStyle w:val="SingleTxtG"/>
        <w:ind w:left="1701"/>
      </w:pPr>
      <w:r>
        <w:t>« XXX</w:t>
      </w:r>
      <w:r w:rsidR="00A34E90" w:rsidRPr="00A34E90">
        <w:t xml:space="preserve"> </w:t>
      </w:r>
      <w:r>
        <w:tab/>
      </w:r>
      <w:r w:rsidR="00A34E90" w:rsidRPr="00A34E90">
        <w:t xml:space="preserve">Lorsque des objets volumineux et robustes sont transportés avec des bouteilles de gaz connectées contenant de l'azote </w:t>
      </w:r>
      <w:r>
        <w:t>du numéro ONU</w:t>
      </w:r>
      <w:r w:rsidR="00A34E90" w:rsidRPr="00A34E90">
        <w:t xml:space="preserve"> 1006 ou de l'air comprimé ou synthétique </w:t>
      </w:r>
      <w:r>
        <w:t>du numéro ONU</w:t>
      </w:r>
      <w:r w:rsidR="00A34E90" w:rsidRPr="00A34E90">
        <w:t xml:space="preserve"> 1002 ou 1956, les robinets des bouteilles de gaz peuvent rester ouverts si les bouteilles de gaz sont reliées à l'objet par les régulateurs de pression et les tuyauteries fixes de telle sorte que la pression du gaz (pression manométrique) dans l'article ne dépasse pas 35 kPa (0,35 bar). Les bouteilles de gaz, les détendeurs et la tuyauterie doivent être protégés par des </w:t>
      </w:r>
      <w:r w:rsidR="006322E6">
        <w:t>harasses</w:t>
      </w:r>
      <w:r w:rsidR="00A34E90" w:rsidRPr="00A34E90">
        <w:t xml:space="preserve"> en bois ou par un autre moyen approprié.</w:t>
      </w:r>
      <w:r>
        <w:t> ».</w:t>
      </w:r>
    </w:p>
    <w:p w14:paraId="03DF850A" w14:textId="77777777" w:rsidR="00A34E90" w:rsidRPr="00A34E90" w:rsidRDefault="00A34E90" w:rsidP="00A34E90">
      <w:pPr>
        <w:pStyle w:val="SingleTxtG"/>
        <w:rPr>
          <w:lang w:val="fr-FR"/>
        </w:rPr>
      </w:pPr>
      <w:r w:rsidRPr="00A34E90">
        <w:rPr>
          <w:lang w:val="fr-FR"/>
        </w:rPr>
        <w:t xml:space="preserve">7. </w:t>
      </w:r>
      <w:r>
        <w:rPr>
          <w:lang w:val="fr-FR"/>
        </w:rPr>
        <w:tab/>
      </w:r>
      <w:r w:rsidRPr="00A34E90">
        <w:rPr>
          <w:lang w:val="fr-FR"/>
        </w:rPr>
        <w:t xml:space="preserve">Au chapitre 3.2, </w:t>
      </w:r>
      <w:r w:rsidR="00EB14CA">
        <w:rPr>
          <w:lang w:val="fr-FR"/>
        </w:rPr>
        <w:t xml:space="preserve">insérer </w:t>
      </w:r>
      <w:r w:rsidRPr="00A34E90">
        <w:rPr>
          <w:lang w:val="fr-FR"/>
        </w:rPr>
        <w:t>«</w:t>
      </w:r>
      <w:r w:rsidR="00EB14CA">
        <w:rPr>
          <w:lang w:val="fr-FR"/>
        </w:rPr>
        <w:t> XXX </w:t>
      </w:r>
      <w:r w:rsidRPr="00A34E90">
        <w:rPr>
          <w:lang w:val="fr-FR"/>
        </w:rPr>
        <w:t xml:space="preserve">» dans la colonne 6 de la liste des marchandises dangereuses pour le </w:t>
      </w:r>
      <w:r w:rsidR="00EB14CA">
        <w:rPr>
          <w:lang w:val="fr-FR"/>
        </w:rPr>
        <w:t>No</w:t>
      </w:r>
      <w:r w:rsidRPr="00A34E90">
        <w:rPr>
          <w:lang w:val="fr-FR"/>
        </w:rPr>
        <w:t xml:space="preserve"> ONU 3538.</w:t>
      </w:r>
    </w:p>
    <w:p w14:paraId="30FF8F20" w14:textId="77777777" w:rsidR="00A34E90" w:rsidRPr="00A34E90" w:rsidRDefault="00A34E90" w:rsidP="00A34E90">
      <w:pPr>
        <w:pStyle w:val="SingleTxtG"/>
        <w:rPr>
          <w:lang w:val="fr-FR"/>
        </w:rPr>
      </w:pPr>
    </w:p>
    <w:p w14:paraId="572284D5" w14:textId="77777777" w:rsidR="00A34E90" w:rsidRDefault="00A34E90">
      <w:pPr>
        <w:suppressAutoHyphens w:val="0"/>
        <w:kinsoku/>
        <w:overflowPunct/>
        <w:autoSpaceDE/>
        <w:autoSpaceDN/>
        <w:adjustRightInd/>
        <w:snapToGrid/>
        <w:spacing w:after="200" w:line="276" w:lineRule="auto"/>
      </w:pPr>
      <w:r>
        <w:br w:type="page"/>
      </w:r>
    </w:p>
    <w:p w14:paraId="624EC0C9" w14:textId="77777777" w:rsidR="008D1004" w:rsidRDefault="00A34E90" w:rsidP="00A34E90">
      <w:pPr>
        <w:pStyle w:val="HChG"/>
      </w:pPr>
      <w:r>
        <w:lastRenderedPageBreak/>
        <w:tab/>
      </w:r>
      <w:r>
        <w:tab/>
        <w:t>Annexe</w:t>
      </w:r>
    </w:p>
    <w:p w14:paraId="0246BDF5" w14:textId="77777777" w:rsidR="00A34E90" w:rsidRDefault="00A34E90" w:rsidP="00A34E90">
      <w:pPr>
        <w:pStyle w:val="SingleTxtG"/>
      </w:pPr>
      <w:r>
        <w:rPr>
          <w:noProof/>
          <w:lang w:val="de-DE" w:eastAsia="de-DE"/>
        </w:rPr>
        <w:drawing>
          <wp:inline distT="0" distB="0" distL="0" distR="0" wp14:anchorId="3C49ED50" wp14:editId="7B21F7D7">
            <wp:extent cx="5281689" cy="3961130"/>
            <wp:effectExtent l="0" t="0" r="0" b="127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Trafo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86451" cy="3964702"/>
                    </a:xfrm>
                    <a:prstGeom prst="rect">
                      <a:avLst/>
                    </a:prstGeom>
                  </pic:spPr>
                </pic:pic>
              </a:graphicData>
            </a:graphic>
          </wp:inline>
        </w:drawing>
      </w:r>
    </w:p>
    <w:p w14:paraId="6EF218CC" w14:textId="77777777" w:rsidR="00A34E90" w:rsidRDefault="00A34E90" w:rsidP="00A34E90">
      <w:pPr>
        <w:pStyle w:val="SingleTxtG"/>
      </w:pPr>
    </w:p>
    <w:p w14:paraId="58AE3E2D" w14:textId="77777777" w:rsidR="00A34E90" w:rsidRDefault="00A34E90" w:rsidP="00A34E90">
      <w:pPr>
        <w:pStyle w:val="SingleTxtG"/>
      </w:pPr>
      <w:r>
        <w:rPr>
          <w:noProof/>
          <w:u w:val="single"/>
          <w:lang w:val="de-DE" w:eastAsia="de-DE"/>
        </w:rPr>
        <w:drawing>
          <wp:inline distT="0" distB="0" distL="0" distR="0" wp14:anchorId="612DF4E1" wp14:editId="3B184CA8">
            <wp:extent cx="2750820" cy="366522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fo mit Gasflaschen und Holzverschlag.jpg"/>
                    <pic:cNvPicPr/>
                  </pic:nvPicPr>
                  <pic:blipFill>
                    <a:blip r:embed="rId10">
                      <a:extLst>
                        <a:ext uri="{28A0092B-C50C-407E-A947-70E740481C1C}">
                          <a14:useLocalDpi xmlns:a14="http://schemas.microsoft.com/office/drawing/2010/main" val="0"/>
                        </a:ext>
                      </a:extLst>
                    </a:blip>
                    <a:stretch>
                      <a:fillRect/>
                    </a:stretch>
                  </pic:blipFill>
                  <pic:spPr>
                    <a:xfrm>
                      <a:off x="0" y="0"/>
                      <a:ext cx="2750820" cy="3665220"/>
                    </a:xfrm>
                    <a:prstGeom prst="rect">
                      <a:avLst/>
                    </a:prstGeom>
                  </pic:spPr>
                </pic:pic>
              </a:graphicData>
            </a:graphic>
          </wp:inline>
        </w:drawing>
      </w:r>
    </w:p>
    <w:p w14:paraId="2F941CB0" w14:textId="77777777" w:rsidR="00A34E90" w:rsidRDefault="00A34E90" w:rsidP="00A34E90">
      <w:pPr>
        <w:pStyle w:val="SingleTxtG"/>
        <w:rPr>
          <w:u w:val="single"/>
          <w:lang w:val="en-US"/>
        </w:rPr>
      </w:pPr>
      <w:r>
        <w:rPr>
          <w:u w:val="single"/>
          <w:lang w:val="en-US"/>
        </w:rPr>
        <w:object w:dxaOrig="8925" w:dyaOrig="12631" w14:anchorId="2E4198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6pt;height:561.5pt" o:ole="">
            <v:imagedata r:id="rId11" o:title=""/>
          </v:shape>
          <o:OLEObject Type="Embed" ProgID="Acrobat.Document.DC" ShapeID="_x0000_i1025" DrawAspect="Content" ObjectID="_1620463806" r:id="rId12"/>
        </w:object>
      </w:r>
    </w:p>
    <w:p w14:paraId="601D6BB2" w14:textId="77777777" w:rsidR="00A34E90" w:rsidRDefault="00A34E90" w:rsidP="00A34E90">
      <w:pPr>
        <w:pStyle w:val="SingleTxtG"/>
      </w:pPr>
    </w:p>
    <w:p w14:paraId="63B96ABF" w14:textId="77777777" w:rsidR="00A34E90" w:rsidRPr="00A34E90" w:rsidRDefault="00A34E90" w:rsidP="00A34E90">
      <w:pPr>
        <w:spacing w:before="240"/>
        <w:jc w:val="center"/>
        <w:rPr>
          <w:u w:val="single"/>
        </w:rPr>
      </w:pPr>
      <w:r>
        <w:rPr>
          <w:u w:val="single"/>
        </w:rPr>
        <w:tab/>
      </w:r>
      <w:r>
        <w:rPr>
          <w:u w:val="single"/>
        </w:rPr>
        <w:tab/>
      </w:r>
      <w:r>
        <w:rPr>
          <w:u w:val="single"/>
        </w:rPr>
        <w:tab/>
      </w:r>
    </w:p>
    <w:sectPr w:rsidR="00A34E90" w:rsidRPr="00A34E90" w:rsidSect="008975C5">
      <w:headerReference w:type="even" r:id="rId13"/>
      <w:headerReference w:type="default" r:id="rId14"/>
      <w:footerReference w:type="even" r:id="rId15"/>
      <w:footerReference w:type="default" r:id="rId16"/>
      <w:footerReference w:type="first" r:id="rId17"/>
      <w:endnotePr>
        <w:numFmt w:val="decimal"/>
      </w:endnotePr>
      <w:pgSz w:w="11906" w:h="16838" w:code="9"/>
      <w:pgMar w:top="1417" w:right="1134" w:bottom="1134" w:left="1134" w:header="85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476A46" w14:textId="77777777" w:rsidR="008975C5" w:rsidRDefault="008975C5" w:rsidP="00F95C08">
      <w:pPr>
        <w:spacing w:line="240" w:lineRule="auto"/>
      </w:pPr>
    </w:p>
  </w:endnote>
  <w:endnote w:type="continuationSeparator" w:id="0">
    <w:p w14:paraId="1AADAACE" w14:textId="77777777" w:rsidR="008975C5" w:rsidRPr="00AC3823" w:rsidRDefault="008975C5" w:rsidP="00AC3823">
      <w:pPr>
        <w:pStyle w:val="Footer"/>
      </w:pPr>
    </w:p>
  </w:endnote>
  <w:endnote w:type="continuationNotice" w:id="1">
    <w:p w14:paraId="6F899D56" w14:textId="77777777" w:rsidR="008975C5" w:rsidRDefault="008975C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01B83" w14:textId="77777777" w:rsidR="008975C5" w:rsidRPr="008975C5" w:rsidRDefault="008975C5" w:rsidP="008975C5">
    <w:pPr>
      <w:pStyle w:val="Footer"/>
      <w:tabs>
        <w:tab w:val="right" w:pos="9638"/>
      </w:tabs>
      <w:rPr>
        <w:sz w:val="18"/>
      </w:rPr>
    </w:pPr>
    <w:r w:rsidRPr="008975C5">
      <w:rPr>
        <w:b/>
        <w:sz w:val="18"/>
      </w:rPr>
      <w:fldChar w:fldCharType="begin"/>
    </w:r>
    <w:r w:rsidRPr="008975C5">
      <w:rPr>
        <w:b/>
        <w:sz w:val="18"/>
      </w:rPr>
      <w:instrText xml:space="preserve"> PAGE  \* MERGEFORMAT </w:instrText>
    </w:r>
    <w:r w:rsidRPr="008975C5">
      <w:rPr>
        <w:b/>
        <w:sz w:val="18"/>
      </w:rPr>
      <w:fldChar w:fldCharType="separate"/>
    </w:r>
    <w:r w:rsidRPr="008975C5">
      <w:rPr>
        <w:b/>
        <w:noProof/>
        <w:sz w:val="18"/>
      </w:rPr>
      <w:t>2</w:t>
    </w:r>
    <w:r w:rsidRPr="008975C5">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6911C" w14:textId="77777777" w:rsidR="008975C5" w:rsidRPr="008975C5" w:rsidRDefault="008975C5" w:rsidP="008975C5">
    <w:pPr>
      <w:pStyle w:val="Footer"/>
      <w:tabs>
        <w:tab w:val="right" w:pos="9638"/>
      </w:tabs>
      <w:rPr>
        <w:b/>
        <w:sz w:val="18"/>
      </w:rPr>
    </w:pPr>
    <w:r>
      <w:tab/>
    </w:r>
    <w:r w:rsidRPr="008975C5">
      <w:rPr>
        <w:b/>
        <w:sz w:val="18"/>
      </w:rPr>
      <w:fldChar w:fldCharType="begin"/>
    </w:r>
    <w:r w:rsidRPr="008975C5">
      <w:rPr>
        <w:b/>
        <w:sz w:val="18"/>
      </w:rPr>
      <w:instrText xml:space="preserve"> PAGE  \* MERGEFORMAT </w:instrText>
    </w:r>
    <w:r w:rsidRPr="008975C5">
      <w:rPr>
        <w:b/>
        <w:sz w:val="18"/>
      </w:rPr>
      <w:fldChar w:fldCharType="separate"/>
    </w:r>
    <w:r w:rsidRPr="008975C5">
      <w:rPr>
        <w:b/>
        <w:noProof/>
        <w:sz w:val="18"/>
      </w:rPr>
      <w:t>3</w:t>
    </w:r>
    <w:r w:rsidRPr="008975C5">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248F99" w14:textId="77777777" w:rsidR="0068456F" w:rsidRPr="008975C5" w:rsidRDefault="0068456F">
    <w:pPr>
      <w:pStyle w:val="Footer"/>
      <w:rPr>
        <w:sz w:val="20"/>
      </w:rPr>
    </w:pPr>
    <w:r>
      <w:rPr>
        <w:noProof/>
        <w:lang w:eastAsia="fr-CH"/>
      </w:rPr>
      <w:drawing>
        <wp:anchor distT="0" distB="0" distL="114300" distR="114300" simplePos="0" relativeHeight="251659264" behindDoc="0" locked="0" layoutInCell="1" allowOverlap="0" wp14:anchorId="2B99B150" wp14:editId="42340E2C">
          <wp:simplePos x="0" y="0"/>
          <wp:positionH relativeFrom="margin">
            <wp:posOffset>5003800</wp:posOffset>
          </wp:positionH>
          <wp:positionV relativeFrom="margin">
            <wp:posOffset>9323705</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884867" w14:textId="77777777" w:rsidR="008975C5" w:rsidRPr="00AC3823" w:rsidRDefault="008975C5" w:rsidP="00AC3823">
      <w:pPr>
        <w:pStyle w:val="Footer"/>
        <w:tabs>
          <w:tab w:val="right" w:pos="2155"/>
        </w:tabs>
        <w:spacing w:after="80" w:line="240" w:lineRule="atLeast"/>
        <w:ind w:left="680"/>
        <w:rPr>
          <w:u w:val="single"/>
        </w:rPr>
      </w:pPr>
      <w:r>
        <w:rPr>
          <w:u w:val="single"/>
        </w:rPr>
        <w:tab/>
      </w:r>
    </w:p>
  </w:footnote>
  <w:footnote w:type="continuationSeparator" w:id="0">
    <w:p w14:paraId="72A9B62D" w14:textId="77777777" w:rsidR="008975C5" w:rsidRPr="00AC3823" w:rsidRDefault="008975C5" w:rsidP="00AC3823">
      <w:pPr>
        <w:pStyle w:val="Footer"/>
        <w:tabs>
          <w:tab w:val="right" w:pos="2155"/>
        </w:tabs>
        <w:spacing w:after="80" w:line="240" w:lineRule="atLeast"/>
        <w:ind w:left="680"/>
        <w:rPr>
          <w:u w:val="single"/>
        </w:rPr>
      </w:pPr>
      <w:r>
        <w:rPr>
          <w:u w:val="single"/>
        </w:rPr>
        <w:tab/>
      </w:r>
    </w:p>
  </w:footnote>
  <w:footnote w:type="continuationNotice" w:id="1">
    <w:p w14:paraId="77969337" w14:textId="77777777" w:rsidR="008975C5" w:rsidRPr="00AC3823" w:rsidRDefault="008975C5">
      <w:pPr>
        <w:spacing w:line="240" w:lineRule="auto"/>
        <w:rPr>
          <w:sz w:val="2"/>
          <w:szCs w:val="2"/>
        </w:rPr>
      </w:pPr>
    </w:p>
  </w:footnote>
  <w:footnote w:id="2">
    <w:p w14:paraId="62108C18" w14:textId="77777777" w:rsidR="00A34E90" w:rsidRPr="00A34E90" w:rsidRDefault="00A34E90" w:rsidP="00A34E90">
      <w:pPr>
        <w:pStyle w:val="FootnoteText"/>
        <w:rPr>
          <w:lang w:val="fr-FR"/>
        </w:rPr>
      </w:pPr>
      <w:r w:rsidRPr="00A34E90">
        <w:rPr>
          <w:lang w:val="fr-FR"/>
        </w:rPr>
        <w:tab/>
      </w:r>
      <w:r w:rsidRPr="00A34E90">
        <w:rPr>
          <w:rStyle w:val="FootnoteReference"/>
          <w:lang w:val="fr-FR"/>
        </w:rPr>
        <w:t>*</w:t>
      </w:r>
      <w:r w:rsidRPr="00A34E90">
        <w:rPr>
          <w:lang w:val="fr-FR"/>
        </w:rPr>
        <w:t xml:space="preserve"> </w:t>
      </w:r>
      <w:r w:rsidRPr="00A34E90">
        <w:rPr>
          <w:lang w:val="fr-FR"/>
        </w:rPr>
        <w:tab/>
      </w:r>
      <w:r w:rsidRPr="00A34E90">
        <w:rPr>
          <w:rStyle w:val="FootnoteTextChar"/>
          <w:lang w:val="fr-FR"/>
        </w:rPr>
        <w:t>Conformément au programme de travail du Sous-Comité pour la période 2019-2020, approuvé par le Comité à sa neuvième session (voir ST/SG/AC.10/C.3/108, par. 141, et ST/SG/AC.10/46, par. 14).</w:t>
      </w:r>
      <w:r w:rsidRPr="00A34E90">
        <w:rPr>
          <w:szCs w:val="18"/>
          <w:lang w:val="fr-FR"/>
        </w:rPr>
        <w:t xml:space="preserve"> </w:t>
      </w:r>
      <w:r w:rsidRPr="00A34E90">
        <w:rPr>
          <w:lang w:val="fr-FR"/>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01B09D" w14:textId="6A35CF33" w:rsidR="008975C5" w:rsidRPr="008975C5" w:rsidRDefault="00D4736B">
    <w:pPr>
      <w:pStyle w:val="Header"/>
    </w:pPr>
    <w:r>
      <w:fldChar w:fldCharType="begin"/>
    </w:r>
    <w:r>
      <w:instrText xml:space="preserve"> TITLE  \* MERGEFORMAT </w:instrText>
    </w:r>
    <w:r>
      <w:fldChar w:fldCharType="separate"/>
    </w:r>
    <w:r>
      <w:t>ST/SG/AC.10/C.3/2019/38</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FBEA2" w14:textId="0F63C602" w:rsidR="008975C5" w:rsidRPr="008975C5" w:rsidRDefault="00D4736B" w:rsidP="008975C5">
    <w:pPr>
      <w:pStyle w:val="Header"/>
      <w:jc w:val="right"/>
    </w:pPr>
    <w:r>
      <w:fldChar w:fldCharType="begin"/>
    </w:r>
    <w:r>
      <w:instrText xml:space="preserve"> TITLE  \* MERGEFORMAT </w:instrText>
    </w:r>
    <w:r>
      <w:fldChar w:fldCharType="separate"/>
    </w:r>
    <w:r>
      <w:t>ST/SG/AC.10/C.3/2019/38</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954887"/>
    <w:multiLevelType w:val="hybridMultilevel"/>
    <w:tmpl w:val="274CD73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3ACF4EB2"/>
    <w:multiLevelType w:val="hybridMultilevel"/>
    <w:tmpl w:val="981AAA34"/>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2" w15:restartNumberingAfterBreak="0">
    <w:nsid w:val="68AD07B2"/>
    <w:multiLevelType w:val="hybridMultilevel"/>
    <w:tmpl w:val="FE2C9A28"/>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12"/>
  </w:num>
  <w:num w:numId="2">
    <w:abstractNumId w:val="11"/>
  </w:num>
  <w:num w:numId="3">
    <w:abstractNumId w:val="10"/>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2"/>
  </w:num>
  <w:num w:numId="15">
    <w:abstractNumId w:val="11"/>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defaultTabStop w:val="567"/>
  <w:hyphenationZone w:val="425"/>
  <w:evenAndOddHeaders/>
  <w:characterSpacingControl w:val="doNotCompress"/>
  <w:hdrShapeDefaults>
    <o:shapedefaults v:ext="edit" spidmax="8193"/>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5C5"/>
    <w:rsid w:val="00017F94"/>
    <w:rsid w:val="00023842"/>
    <w:rsid w:val="000305D3"/>
    <w:rsid w:val="000334F9"/>
    <w:rsid w:val="0007796D"/>
    <w:rsid w:val="000B7790"/>
    <w:rsid w:val="00111F2F"/>
    <w:rsid w:val="00132EA9"/>
    <w:rsid w:val="0014365E"/>
    <w:rsid w:val="00167865"/>
    <w:rsid w:val="00176178"/>
    <w:rsid w:val="001F525A"/>
    <w:rsid w:val="00223272"/>
    <w:rsid w:val="0024779E"/>
    <w:rsid w:val="00283190"/>
    <w:rsid w:val="002832AC"/>
    <w:rsid w:val="002D7C93"/>
    <w:rsid w:val="00317D4A"/>
    <w:rsid w:val="003B107D"/>
    <w:rsid w:val="004049E1"/>
    <w:rsid w:val="00441C3B"/>
    <w:rsid w:val="00446FE5"/>
    <w:rsid w:val="00452396"/>
    <w:rsid w:val="004E468C"/>
    <w:rsid w:val="00503921"/>
    <w:rsid w:val="005505B7"/>
    <w:rsid w:val="00573BE5"/>
    <w:rsid w:val="00584DC4"/>
    <w:rsid w:val="00586ED3"/>
    <w:rsid w:val="00596AA9"/>
    <w:rsid w:val="006322E6"/>
    <w:rsid w:val="0068456F"/>
    <w:rsid w:val="0071601D"/>
    <w:rsid w:val="0072228D"/>
    <w:rsid w:val="00746C90"/>
    <w:rsid w:val="007513FE"/>
    <w:rsid w:val="00755D57"/>
    <w:rsid w:val="007A62E6"/>
    <w:rsid w:val="0080684C"/>
    <w:rsid w:val="00871C75"/>
    <w:rsid w:val="008776DC"/>
    <w:rsid w:val="008975C5"/>
    <w:rsid w:val="008B40CD"/>
    <w:rsid w:val="008D1004"/>
    <w:rsid w:val="009705C8"/>
    <w:rsid w:val="009744DF"/>
    <w:rsid w:val="009C1CF4"/>
    <w:rsid w:val="00A30353"/>
    <w:rsid w:val="00A34E90"/>
    <w:rsid w:val="00AC3823"/>
    <w:rsid w:val="00AE323C"/>
    <w:rsid w:val="00B00181"/>
    <w:rsid w:val="00B00B0D"/>
    <w:rsid w:val="00B765F7"/>
    <w:rsid w:val="00BA0CA9"/>
    <w:rsid w:val="00C02897"/>
    <w:rsid w:val="00C96CEE"/>
    <w:rsid w:val="00D3439C"/>
    <w:rsid w:val="00D4736B"/>
    <w:rsid w:val="00DB1831"/>
    <w:rsid w:val="00DD3BFD"/>
    <w:rsid w:val="00DF6678"/>
    <w:rsid w:val="00EB14CA"/>
    <w:rsid w:val="00EF2E22"/>
    <w:rsid w:val="00F01738"/>
    <w:rsid w:val="00F660DF"/>
    <w:rsid w:val="00F730C8"/>
    <w:rsid w:val="00F95C08"/>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D839648"/>
  <w15:docId w15:val="{EF6D1D54-12E0-4E8F-AA80-E1A873125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CH"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84DC4"/>
    <w:pPr>
      <w:suppressAutoHyphens/>
      <w:kinsoku w:val="0"/>
      <w:overflowPunct w:val="0"/>
      <w:autoSpaceDE w:val="0"/>
      <w:autoSpaceDN w:val="0"/>
      <w:adjustRightInd w:val="0"/>
      <w:snapToGrid w:val="0"/>
      <w:spacing w:after="0" w:line="240" w:lineRule="atLeast"/>
    </w:pPr>
  </w:style>
  <w:style w:type="paragraph" w:styleId="Heading1">
    <w:name w:val="heading 1"/>
    <w:aliases w:val="Table_G"/>
    <w:basedOn w:val="SingleTxtG"/>
    <w:next w:val="SingleTxtG"/>
    <w:link w:val="Heading1Char"/>
    <w:qFormat/>
    <w:rsid w:val="00584DC4"/>
    <w:pPr>
      <w:keepNext/>
      <w:keepLines/>
      <w:spacing w:after="0" w:line="240" w:lineRule="auto"/>
      <w:ind w:right="0"/>
      <w:jc w:val="left"/>
      <w:outlineLvl w:val="0"/>
    </w:pPr>
  </w:style>
  <w:style w:type="paragraph" w:styleId="Heading2">
    <w:name w:val="heading 2"/>
    <w:basedOn w:val="Normal"/>
    <w:next w:val="Normal"/>
    <w:link w:val="Heading2Char"/>
    <w:semiHidden/>
    <w:qFormat/>
    <w:rsid w:val="00023842"/>
    <w:pPr>
      <w:outlineLvl w:val="1"/>
    </w:pPr>
  </w:style>
  <w:style w:type="paragraph" w:styleId="Heading3">
    <w:name w:val="heading 3"/>
    <w:basedOn w:val="Normal"/>
    <w:next w:val="Normal"/>
    <w:link w:val="Heading3Char"/>
    <w:semiHidden/>
    <w:qFormat/>
    <w:rsid w:val="00023842"/>
    <w:pPr>
      <w:outlineLvl w:val="2"/>
    </w:pPr>
  </w:style>
  <w:style w:type="paragraph" w:styleId="Heading4">
    <w:name w:val="heading 4"/>
    <w:basedOn w:val="Normal"/>
    <w:next w:val="Normal"/>
    <w:link w:val="Heading4Char"/>
    <w:semiHidden/>
    <w:qFormat/>
    <w:rsid w:val="00023842"/>
    <w:pPr>
      <w:outlineLvl w:val="3"/>
    </w:pPr>
  </w:style>
  <w:style w:type="paragraph" w:styleId="Heading5">
    <w:name w:val="heading 5"/>
    <w:basedOn w:val="Normal"/>
    <w:next w:val="Normal"/>
    <w:link w:val="Heading5Char"/>
    <w:semiHidden/>
    <w:qFormat/>
    <w:rsid w:val="00023842"/>
    <w:pPr>
      <w:outlineLvl w:val="4"/>
    </w:pPr>
  </w:style>
  <w:style w:type="paragraph" w:styleId="Heading6">
    <w:name w:val="heading 6"/>
    <w:basedOn w:val="Normal"/>
    <w:next w:val="Normal"/>
    <w:link w:val="Heading6Char"/>
    <w:semiHidden/>
    <w:qFormat/>
    <w:rsid w:val="00023842"/>
    <w:pPr>
      <w:outlineLvl w:val="5"/>
    </w:pPr>
  </w:style>
  <w:style w:type="paragraph" w:styleId="Heading7">
    <w:name w:val="heading 7"/>
    <w:basedOn w:val="Normal"/>
    <w:next w:val="Normal"/>
    <w:link w:val="Heading7Char"/>
    <w:semiHidden/>
    <w:qFormat/>
    <w:rsid w:val="00023842"/>
    <w:pPr>
      <w:outlineLvl w:val="6"/>
    </w:pPr>
  </w:style>
  <w:style w:type="paragraph" w:styleId="Heading8">
    <w:name w:val="heading 8"/>
    <w:basedOn w:val="Normal"/>
    <w:next w:val="Normal"/>
    <w:link w:val="Heading8Char"/>
    <w:semiHidden/>
    <w:qFormat/>
    <w:rsid w:val="00023842"/>
    <w:pPr>
      <w:outlineLvl w:val="7"/>
    </w:pPr>
  </w:style>
  <w:style w:type="paragraph" w:styleId="Heading9">
    <w:name w:val="heading 9"/>
    <w:basedOn w:val="Normal"/>
    <w:next w:val="Normal"/>
    <w:link w:val="Heading9Char"/>
    <w:semiHidden/>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584DC4"/>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584DC4"/>
    <w:rPr>
      <w:rFonts w:ascii="Times New Roman" w:eastAsiaTheme="minorHAnsi" w:hAnsi="Times New Roman" w:cs="Times New Roman"/>
      <w:b/>
      <w:sz w:val="18"/>
      <w:szCs w:val="20"/>
      <w:lang w:eastAsia="en-US"/>
    </w:rPr>
  </w:style>
  <w:style w:type="paragraph" w:styleId="Footer">
    <w:name w:val="footer"/>
    <w:aliases w:val="3_G"/>
    <w:basedOn w:val="Normal"/>
    <w:next w:val="Normal"/>
    <w:link w:val="FooterChar"/>
    <w:qFormat/>
    <w:rsid w:val="00584DC4"/>
    <w:pPr>
      <w:spacing w:line="240" w:lineRule="auto"/>
    </w:pPr>
    <w:rPr>
      <w:sz w:val="16"/>
    </w:rPr>
  </w:style>
  <w:style w:type="character" w:customStyle="1" w:styleId="FooterChar">
    <w:name w:val="Footer Char"/>
    <w:aliases w:val="3_G Char"/>
    <w:basedOn w:val="DefaultParagraphFont"/>
    <w:link w:val="Footer"/>
    <w:rsid w:val="00584DC4"/>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584DC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584DC4"/>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584DC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584DC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584DC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584DC4"/>
    <w:pPr>
      <w:keepNext/>
      <w:keepLines/>
      <w:tabs>
        <w:tab w:val="right" w:pos="851"/>
      </w:tabs>
      <w:spacing w:before="240" w:after="120" w:line="240" w:lineRule="exact"/>
      <w:ind w:left="1134" w:right="1134" w:hanging="1134"/>
    </w:pPr>
  </w:style>
  <w:style w:type="paragraph" w:customStyle="1" w:styleId="SingleTxtG">
    <w:name w:val="_ Single Txt_G"/>
    <w:basedOn w:val="Normal"/>
    <w:qFormat/>
    <w:rsid w:val="00584DC4"/>
    <w:pPr>
      <w:spacing w:after="120"/>
      <w:ind w:left="1134" w:right="1134"/>
      <w:jc w:val="both"/>
    </w:pPr>
  </w:style>
  <w:style w:type="paragraph" w:customStyle="1" w:styleId="SLG">
    <w:name w:val="__S_L_G"/>
    <w:basedOn w:val="Normal"/>
    <w:next w:val="Normal"/>
    <w:rsid w:val="00584DC4"/>
    <w:pPr>
      <w:keepNext/>
      <w:keepLines/>
      <w:spacing w:before="240" w:after="240" w:line="580" w:lineRule="exact"/>
      <w:ind w:left="1134" w:right="1134"/>
    </w:pPr>
    <w:rPr>
      <w:b/>
      <w:sz w:val="56"/>
    </w:rPr>
  </w:style>
  <w:style w:type="paragraph" w:customStyle="1" w:styleId="SMG">
    <w:name w:val="__S_M_G"/>
    <w:basedOn w:val="Normal"/>
    <w:next w:val="Normal"/>
    <w:rsid w:val="00584DC4"/>
    <w:pPr>
      <w:keepNext/>
      <w:keepLines/>
      <w:spacing w:before="240" w:after="240" w:line="420" w:lineRule="exact"/>
      <w:ind w:left="1134" w:right="1134"/>
    </w:pPr>
    <w:rPr>
      <w:b/>
      <w:sz w:val="40"/>
    </w:rPr>
  </w:style>
  <w:style w:type="paragraph" w:customStyle="1" w:styleId="SSG">
    <w:name w:val="__S_S_G"/>
    <w:basedOn w:val="Normal"/>
    <w:next w:val="Normal"/>
    <w:rsid w:val="00584DC4"/>
    <w:pPr>
      <w:keepNext/>
      <w:keepLines/>
      <w:spacing w:before="240" w:after="240" w:line="300" w:lineRule="exact"/>
      <w:ind w:left="1134" w:right="1134"/>
    </w:pPr>
    <w:rPr>
      <w:b/>
      <w:sz w:val="28"/>
    </w:rPr>
  </w:style>
  <w:style w:type="paragraph" w:customStyle="1" w:styleId="XLargeG">
    <w:name w:val="__XLarge_G"/>
    <w:basedOn w:val="Normal"/>
    <w:next w:val="Normal"/>
    <w:rsid w:val="00584DC4"/>
    <w:pPr>
      <w:keepNext/>
      <w:keepLines/>
      <w:spacing w:before="240" w:after="240" w:line="420" w:lineRule="exact"/>
      <w:ind w:left="1134" w:right="1134"/>
    </w:pPr>
    <w:rPr>
      <w:b/>
      <w:sz w:val="40"/>
    </w:rPr>
  </w:style>
  <w:style w:type="paragraph" w:customStyle="1" w:styleId="Bullet1G">
    <w:name w:val="_Bullet 1_G"/>
    <w:basedOn w:val="Normal"/>
    <w:qFormat/>
    <w:rsid w:val="00584DC4"/>
    <w:pPr>
      <w:numPr>
        <w:numId w:val="14"/>
      </w:numPr>
      <w:spacing w:after="120"/>
      <w:ind w:right="1134"/>
      <w:jc w:val="both"/>
    </w:pPr>
  </w:style>
  <w:style w:type="paragraph" w:customStyle="1" w:styleId="Bullet2G">
    <w:name w:val="_Bullet 2_G"/>
    <w:basedOn w:val="Normal"/>
    <w:qFormat/>
    <w:rsid w:val="00584DC4"/>
    <w:pPr>
      <w:numPr>
        <w:numId w:val="15"/>
      </w:numPr>
      <w:spacing w:after="120"/>
      <w:ind w:right="1134"/>
      <w:jc w:val="both"/>
    </w:pPr>
  </w:style>
  <w:style w:type="paragraph" w:customStyle="1" w:styleId="ParNoG">
    <w:name w:val="_ParNo_G"/>
    <w:basedOn w:val="Normal"/>
    <w:qFormat/>
    <w:rsid w:val="00584DC4"/>
    <w:pPr>
      <w:numPr>
        <w:numId w:val="16"/>
      </w:numPr>
      <w:tabs>
        <w:tab w:val="clear" w:pos="1701"/>
      </w:tabs>
      <w:spacing w:after="120"/>
      <w:ind w:right="1134"/>
      <w:jc w:val="both"/>
    </w:pPr>
  </w:style>
  <w:style w:type="character" w:styleId="FootnoteReference">
    <w:name w:val="footnote reference"/>
    <w:aliases w:val="4_G"/>
    <w:basedOn w:val="DefaultParagraphFont"/>
    <w:qFormat/>
    <w:rsid w:val="00584DC4"/>
    <w:rPr>
      <w:rFonts w:ascii="Times New Roman" w:hAnsi="Times New Roman"/>
      <w:sz w:val="18"/>
      <w:vertAlign w:val="superscript"/>
      <w:lang w:val="fr-CH"/>
    </w:rPr>
  </w:style>
  <w:style w:type="character" w:styleId="EndnoteReference">
    <w:name w:val="endnote reference"/>
    <w:aliases w:val="1_G"/>
    <w:basedOn w:val="FootnoteReference"/>
    <w:qFormat/>
    <w:rsid w:val="00584DC4"/>
    <w:rPr>
      <w:rFonts w:ascii="Times New Roman" w:hAnsi="Times New Roman"/>
      <w:sz w:val="18"/>
      <w:vertAlign w:val="superscript"/>
      <w:lang w:val="fr-CH"/>
    </w:rPr>
  </w:style>
  <w:style w:type="table" w:styleId="TableGrid">
    <w:name w:val="Table Grid"/>
    <w:basedOn w:val="TableNormal"/>
    <w:rsid w:val="00584DC4"/>
    <w:pPr>
      <w:suppressAutoHyphens/>
      <w:spacing w:after="0" w:line="240" w:lineRule="atLeast"/>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584DC4"/>
    <w:rPr>
      <w:color w:val="0000FF"/>
      <w:u w:val="none"/>
    </w:rPr>
  </w:style>
  <w:style w:type="character" w:styleId="FollowedHyperlink">
    <w:name w:val="FollowedHyperlink"/>
    <w:basedOn w:val="DefaultParagraphFont"/>
    <w:unhideWhenUsed/>
    <w:rsid w:val="00584DC4"/>
    <w:rPr>
      <w:color w:val="0000FF"/>
      <w:u w:val="none"/>
    </w:rPr>
  </w:style>
  <w:style w:type="paragraph" w:styleId="FootnoteText">
    <w:name w:val="footnote text"/>
    <w:aliases w:val="5_G"/>
    <w:basedOn w:val="Normal"/>
    <w:link w:val="FootnoteTextChar"/>
    <w:qFormat/>
    <w:rsid w:val="00584DC4"/>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584DC4"/>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qFormat/>
    <w:rsid w:val="00584DC4"/>
  </w:style>
  <w:style w:type="character" w:customStyle="1" w:styleId="EndnoteTextChar">
    <w:name w:val="Endnote Text Char"/>
    <w:aliases w:val="2_G Char"/>
    <w:basedOn w:val="DefaultParagraphFont"/>
    <w:link w:val="EndnoteText"/>
    <w:rsid w:val="00584DC4"/>
    <w:rPr>
      <w:rFonts w:ascii="Times New Roman" w:eastAsiaTheme="minorHAnsi" w:hAnsi="Times New Roman" w:cs="Times New Roman"/>
      <w:sz w:val="18"/>
      <w:szCs w:val="20"/>
      <w:lang w:eastAsia="en-US"/>
    </w:rPr>
  </w:style>
  <w:style w:type="character" w:styleId="PageNumber">
    <w:name w:val="page number"/>
    <w:aliases w:val="7_G"/>
    <w:basedOn w:val="DefaultParagraphFont"/>
    <w:qFormat/>
    <w:rsid w:val="00584DC4"/>
    <w:rPr>
      <w:rFonts w:ascii="Times New Roman" w:hAnsi="Times New Roman"/>
      <w:b/>
      <w:sz w:val="18"/>
      <w:lang w:val="fr-CH"/>
    </w:rPr>
  </w:style>
  <w:style w:type="character" w:customStyle="1" w:styleId="Heading1Char">
    <w:name w:val="Heading 1 Char"/>
    <w:aliases w:val="Table_G Char"/>
    <w:basedOn w:val="DefaultParagraphFont"/>
    <w:link w:val="Heading1"/>
    <w:rsid w:val="00584DC4"/>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semiHidden/>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semiHidden/>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semiHidden/>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semiHidden/>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semiHidden/>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semiHidden/>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semiHidden/>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semiHidden/>
    <w:rsid w:val="00023842"/>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132EA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2EA9"/>
    <w:rPr>
      <w:rFonts w:ascii="Tahoma" w:hAnsi="Tahoma" w:cs="Tahoma"/>
      <w:sz w:val="16"/>
      <w:szCs w:val="16"/>
      <w:lang w:eastAsia="en-US"/>
    </w:rPr>
  </w:style>
  <w:style w:type="paragraph" w:styleId="HTMLPreformatted">
    <w:name w:val="HTML Preformatted"/>
    <w:basedOn w:val="Normal"/>
    <w:link w:val="HTMLPreformattedChar"/>
    <w:uiPriority w:val="99"/>
    <w:semiHidden/>
    <w:unhideWhenUsed/>
    <w:rsid w:val="00A34E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kinsoku/>
      <w:overflowPunct/>
      <w:autoSpaceDE/>
      <w:autoSpaceDN/>
      <w:adjustRightInd/>
      <w:snapToGrid/>
      <w:spacing w:line="240" w:lineRule="auto"/>
    </w:pPr>
    <w:rPr>
      <w:rFonts w:ascii="Courier New" w:hAnsi="Courier New" w:cs="Courier New"/>
      <w:lang w:val="en-GB"/>
    </w:rPr>
  </w:style>
  <w:style w:type="character" w:customStyle="1" w:styleId="HTMLPreformattedChar">
    <w:name w:val="HTML Preformatted Char"/>
    <w:basedOn w:val="DefaultParagraphFont"/>
    <w:link w:val="HTMLPreformatted"/>
    <w:uiPriority w:val="99"/>
    <w:semiHidden/>
    <w:rsid w:val="00A34E90"/>
    <w:rPr>
      <w:rFonts w:ascii="Courier New" w:hAnsi="Courier New" w:cs="Courier New"/>
      <w:lang w:val="en-GB"/>
    </w:rPr>
  </w:style>
  <w:style w:type="paragraph" w:customStyle="1" w:styleId="Default">
    <w:name w:val="Default"/>
    <w:rsid w:val="00A34E90"/>
    <w:pPr>
      <w:autoSpaceDE w:val="0"/>
      <w:autoSpaceDN w:val="0"/>
      <w:adjustRightInd w:val="0"/>
      <w:spacing w:after="0" w:line="240" w:lineRule="auto"/>
    </w:pPr>
    <w:rPr>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617749">
      <w:bodyDiv w:val="1"/>
      <w:marLeft w:val="0"/>
      <w:marRight w:val="0"/>
      <w:marTop w:val="0"/>
      <w:marBottom w:val="0"/>
      <w:divBdr>
        <w:top w:val="none" w:sz="0" w:space="0" w:color="auto"/>
        <w:left w:val="none" w:sz="0" w:space="0" w:color="auto"/>
        <w:bottom w:val="none" w:sz="0" w:space="0" w:color="auto"/>
        <w:right w:val="none" w:sz="0" w:space="0" w:color="auto"/>
      </w:divBdr>
    </w:div>
    <w:div w:id="224804697">
      <w:bodyDiv w:val="1"/>
      <w:marLeft w:val="0"/>
      <w:marRight w:val="0"/>
      <w:marTop w:val="0"/>
      <w:marBottom w:val="0"/>
      <w:divBdr>
        <w:top w:val="none" w:sz="0" w:space="0" w:color="auto"/>
        <w:left w:val="none" w:sz="0" w:space="0" w:color="auto"/>
        <w:bottom w:val="none" w:sz="0" w:space="0" w:color="auto"/>
        <w:right w:val="none" w:sz="0" w:space="0" w:color="auto"/>
      </w:divBdr>
    </w:div>
    <w:div w:id="786125359">
      <w:bodyDiv w:val="1"/>
      <w:marLeft w:val="0"/>
      <w:marRight w:val="0"/>
      <w:marTop w:val="0"/>
      <w:marBottom w:val="0"/>
      <w:divBdr>
        <w:top w:val="none" w:sz="0" w:space="0" w:color="auto"/>
        <w:left w:val="none" w:sz="0" w:space="0" w:color="auto"/>
        <w:bottom w:val="none" w:sz="0" w:space="0" w:color="auto"/>
        <w:right w:val="none" w:sz="0" w:space="0" w:color="auto"/>
      </w:divBdr>
    </w:div>
    <w:div w:id="2128617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Q:\Templates\UN-Docs2017\Templates\ST\SGAC10_F.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862E99-3734-4116-BAD0-254AC3B2A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SGAC10_F.dotm</Template>
  <TotalTime>22</TotalTime>
  <Pages>4</Pages>
  <Words>617</Words>
  <Characters>3453</Characters>
  <Application>Microsoft Office Word</Application>
  <DocSecurity>0</DocSecurity>
  <Lines>74</Lines>
  <Paragraphs>27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ST/SG/AC.10/C.3/2019/38</vt:lpstr>
      <vt:lpstr/>
    </vt:vector>
  </TitlesOfParts>
  <Company>DCM</Company>
  <LinksUpToDate>false</LinksUpToDate>
  <CharactersWithSpaces>4065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ST/SG/AC.10/C.3/2019/38</dc:title>
  <dc:creator>Rosa Garcia-Couto</dc:creator>
  <cp:lastModifiedBy>Laurence Berthet</cp:lastModifiedBy>
  <cp:revision>7</cp:revision>
  <cp:lastPrinted>2019-05-27T10:03:00Z</cp:lastPrinted>
  <dcterms:created xsi:type="dcterms:W3CDTF">2019-05-27T08:16:00Z</dcterms:created>
  <dcterms:modified xsi:type="dcterms:W3CDTF">2019-05-27T10:04:00Z</dcterms:modified>
</cp:coreProperties>
</file>