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83" w:rsidRDefault="00C667A8" w:rsidP="00C750B3">
      <w:pPr>
        <w:pStyle w:val="HChG"/>
        <w:jc w:val="both"/>
      </w:pPr>
      <w:r>
        <w:tab/>
      </w:r>
      <w:r>
        <w:tab/>
      </w:r>
      <w:r w:rsidR="00B72CB2">
        <w:t>Amendment</w:t>
      </w:r>
      <w:r w:rsidR="00D14683">
        <w:t xml:space="preserve"> to </w:t>
      </w:r>
      <w:r w:rsidR="001157B4">
        <w:t xml:space="preserve">UN </w:t>
      </w:r>
      <w:r w:rsidR="00D14683">
        <w:t>Regulation No</w:t>
      </w:r>
      <w:r w:rsidR="0055515A">
        <w:t xml:space="preserve">. </w:t>
      </w:r>
      <w:r w:rsidR="00123B30">
        <w:t>137</w:t>
      </w:r>
      <w:r w:rsidR="0031519A">
        <w:t xml:space="preserve"> (</w:t>
      </w:r>
      <w:r w:rsidR="0031519A">
        <w:t>Frontal impact with focus on restraint systems</w:t>
      </w:r>
      <w:r w:rsidR="0031519A">
        <w:t>)</w:t>
      </w:r>
      <w:bookmarkStart w:id="0" w:name="_GoBack"/>
      <w:bookmarkEnd w:id="0"/>
    </w:p>
    <w:p w:rsidR="00D14683" w:rsidRPr="004D3A1C" w:rsidRDefault="00D14683" w:rsidP="00D14683">
      <w:pPr>
        <w:pStyle w:val="H1G"/>
        <w:ind w:firstLine="0"/>
      </w:pPr>
      <w:r>
        <w:t xml:space="preserve">Submitted by </w:t>
      </w:r>
      <w:r w:rsidRPr="00C94EE1">
        <w:t xml:space="preserve">the expert from the </w:t>
      </w:r>
      <w:r w:rsidR="00C667A8">
        <w:t>European Commission</w:t>
      </w:r>
    </w:p>
    <w:p w:rsidR="00D14683" w:rsidRPr="00166E9C" w:rsidRDefault="000E3BC5" w:rsidP="00D14683">
      <w:pPr>
        <w:pStyle w:val="SingleTxtG"/>
        <w:ind w:firstLine="567"/>
        <w:rPr>
          <w:lang w:val="en-US"/>
        </w:rPr>
      </w:pPr>
      <w:r>
        <w:rPr>
          <w:szCs w:val="23"/>
        </w:rPr>
        <w:t xml:space="preserve">The text reproduced below was prepared by the expert from the </w:t>
      </w:r>
      <w:r w:rsidR="00C667A8">
        <w:t>European Commission</w:t>
      </w:r>
      <w:r w:rsidR="00C25B4A">
        <w:rPr>
          <w:szCs w:val="23"/>
        </w:rPr>
        <w:t xml:space="preserve"> </w:t>
      </w:r>
      <w:r w:rsidR="00377081">
        <w:rPr>
          <w:szCs w:val="23"/>
        </w:rPr>
        <w:t>to</w:t>
      </w:r>
      <w:r w:rsidR="00162CC8">
        <w:rPr>
          <w:szCs w:val="23"/>
        </w:rPr>
        <w:t xml:space="preserve"> </w:t>
      </w:r>
      <w:r w:rsidR="009D30EE">
        <w:rPr>
          <w:szCs w:val="23"/>
        </w:rPr>
        <w:t>expand the scope</w:t>
      </w:r>
      <w:r w:rsidR="00C02674">
        <w:rPr>
          <w:szCs w:val="23"/>
        </w:rPr>
        <w:t xml:space="preserve"> of the Regulation</w:t>
      </w:r>
      <w:r w:rsidR="006F7FB0">
        <w:rPr>
          <w:szCs w:val="23"/>
        </w:rPr>
        <w:t>, to provide appropriate transitional provisions and</w:t>
      </w:r>
      <w:r w:rsidR="009D30EE">
        <w:rPr>
          <w:szCs w:val="23"/>
        </w:rPr>
        <w:t xml:space="preserve"> to make minor adaptations and clarifications to the existing requirements.</w:t>
      </w:r>
      <w:r w:rsidR="000656CD">
        <w:t xml:space="preserve"> </w:t>
      </w:r>
      <w:r>
        <w:rPr>
          <w:szCs w:val="23"/>
        </w:rPr>
        <w:t xml:space="preserve">The modifications to the current text of the </w:t>
      </w:r>
      <w:r w:rsidR="00C25B4A">
        <w:rPr>
          <w:szCs w:val="23"/>
        </w:rPr>
        <w:t xml:space="preserve">UN </w:t>
      </w:r>
      <w:r>
        <w:rPr>
          <w:szCs w:val="23"/>
        </w:rPr>
        <w:t>Regulation</w:t>
      </w:r>
      <w:r w:rsidR="00190D52">
        <w:rPr>
          <w:szCs w:val="23"/>
        </w:rPr>
        <w:t>s</w:t>
      </w:r>
      <w:r>
        <w:rPr>
          <w:szCs w:val="23"/>
        </w:rPr>
        <w:t xml:space="preserve"> are marked in bold for new or strikethrough for deleted characters.</w:t>
      </w:r>
    </w:p>
    <w:p w:rsidR="00C667A8" w:rsidRPr="00B95EC0" w:rsidRDefault="008E7873" w:rsidP="00C667A8">
      <w:pPr>
        <w:pStyle w:val="HChG"/>
      </w:pPr>
      <w:r>
        <w:tab/>
      </w:r>
      <w:r w:rsidR="00C667A8" w:rsidRPr="00B95EC0">
        <w:t>I.</w:t>
      </w:r>
      <w:r w:rsidR="00C667A8" w:rsidRPr="00B95EC0">
        <w:tab/>
        <w:t>Proposal</w:t>
      </w:r>
      <w:r w:rsidR="008637B4">
        <w:t xml:space="preserve"> for </w:t>
      </w:r>
      <w:r w:rsidR="00123B30">
        <w:t>Supplement X to the 01</w:t>
      </w:r>
      <w:r w:rsidR="00C02674">
        <w:t xml:space="preserve"> </w:t>
      </w:r>
      <w:r w:rsidR="00234EDA">
        <w:t>series of Amendments</w:t>
      </w:r>
      <w:r w:rsidR="00C667A8">
        <w:t xml:space="preserve"> to </w:t>
      </w:r>
      <w:r w:rsidR="0000032E">
        <w:t xml:space="preserve">UN </w:t>
      </w:r>
      <w:r w:rsidR="00C667A8">
        <w:t xml:space="preserve">Regulation No. </w:t>
      </w:r>
      <w:r w:rsidR="00123B30">
        <w:t>137</w:t>
      </w:r>
      <w:r w:rsidR="00C667A8" w:rsidRPr="00B95EC0">
        <w:t xml:space="preserve"> (</w:t>
      </w:r>
      <w:r w:rsidR="00123B30" w:rsidRPr="00123B30">
        <w:t>Uniform provisions concerning the approval of passenger cars in the event of a frontal collision with focus on the restraint system</w:t>
      </w:r>
      <w:r w:rsidR="00C667A8" w:rsidRPr="00B95EC0">
        <w:t>)</w:t>
      </w:r>
    </w:p>
    <w:p w:rsidR="00AA7343" w:rsidRDefault="00974D03" w:rsidP="00AA7343">
      <w:pPr>
        <w:pStyle w:val="SingleTxtG"/>
      </w:pPr>
      <w:r>
        <w:rPr>
          <w:i/>
        </w:rPr>
        <w:t>P</w:t>
      </w:r>
      <w:r w:rsidR="00AA7343" w:rsidRPr="00AA7343">
        <w:rPr>
          <w:i/>
        </w:rPr>
        <w:t>aragraph</w:t>
      </w:r>
      <w:r>
        <w:rPr>
          <w:i/>
        </w:rPr>
        <w:t xml:space="preserve"> 1</w:t>
      </w:r>
      <w:r w:rsidR="00AA7343" w:rsidRPr="00AA7343">
        <w:rPr>
          <w:i/>
        </w:rPr>
        <w:t>.</w:t>
      </w:r>
      <w:r w:rsidRPr="00974D03">
        <w:t>,</w:t>
      </w:r>
      <w:r w:rsidR="00AA7343" w:rsidRPr="00AA7343">
        <w:rPr>
          <w:i/>
        </w:rPr>
        <w:t xml:space="preserve"> </w:t>
      </w:r>
      <w:r w:rsidRPr="00974D03">
        <w:t xml:space="preserve">amend </w:t>
      </w:r>
      <w:r w:rsidR="00AA7343">
        <w:t>to read:</w:t>
      </w:r>
    </w:p>
    <w:p w:rsidR="00974D03" w:rsidRDefault="00AA7343" w:rsidP="00974D03">
      <w:pPr>
        <w:keepNext/>
        <w:keepLines/>
        <w:tabs>
          <w:tab w:val="right" w:pos="851"/>
        </w:tabs>
        <w:suppressAutoHyphens w:val="0"/>
        <w:spacing w:before="360" w:after="240" w:line="300" w:lineRule="exact"/>
        <w:ind w:left="1140" w:right="1134"/>
        <w:rPr>
          <w:b/>
          <w:sz w:val="28"/>
        </w:rPr>
      </w:pPr>
      <w:r>
        <w:t>"</w:t>
      </w:r>
      <w:r w:rsidR="00974D03">
        <w:rPr>
          <w:b/>
          <w:sz w:val="28"/>
        </w:rPr>
        <w:t>1.</w:t>
      </w:r>
      <w:r w:rsidR="00974D03">
        <w:rPr>
          <w:b/>
          <w:sz w:val="28"/>
        </w:rPr>
        <w:tab/>
      </w:r>
      <w:bookmarkStart w:id="1" w:name="_Toc355617304"/>
      <w:r w:rsidR="00974D03">
        <w:rPr>
          <w:b/>
          <w:sz w:val="28"/>
        </w:rPr>
        <w:tab/>
      </w:r>
      <w:bookmarkEnd w:id="1"/>
      <w:r w:rsidR="00974D03">
        <w:rPr>
          <w:b/>
          <w:sz w:val="28"/>
        </w:rPr>
        <w:t>Scope</w:t>
      </w:r>
    </w:p>
    <w:p w:rsidR="00AA7343" w:rsidRPr="00AA7343" w:rsidRDefault="00974D03" w:rsidP="00974D03">
      <w:pPr>
        <w:widowControl w:val="0"/>
        <w:tabs>
          <w:tab w:val="left" w:pos="2268"/>
        </w:tabs>
        <w:suppressAutoHyphens w:val="0"/>
        <w:spacing w:after="120"/>
        <w:ind w:left="2268" w:right="1134" w:hanging="1134"/>
        <w:jc w:val="both"/>
        <w:rPr>
          <w:b/>
        </w:rPr>
      </w:pPr>
      <w:r>
        <w:tab/>
        <w:t>This Regulation applies to vehicles of category M</w:t>
      </w:r>
      <w:r>
        <w:rPr>
          <w:vertAlign w:val="subscript"/>
        </w:rPr>
        <w:t>1</w:t>
      </w:r>
      <w:r>
        <w:rPr>
          <w:sz w:val="24"/>
          <w:vertAlign w:val="superscript"/>
        </w:rPr>
        <w:footnoteReference w:id="2"/>
      </w:r>
      <w:r>
        <w:t xml:space="preserve"> </w:t>
      </w:r>
      <w:r w:rsidR="00123B30" w:rsidRPr="00123B30">
        <w:t xml:space="preserve">with a maximum permissible mass </w:t>
      </w:r>
      <w:r w:rsidR="00123B30" w:rsidRPr="00123B30">
        <w:rPr>
          <w:strike/>
        </w:rPr>
        <w:t>below 3.5 tonnes</w:t>
      </w:r>
      <w:r w:rsidR="00123B30">
        <w:t xml:space="preserve"> </w:t>
      </w:r>
      <w:r w:rsidR="00123B30">
        <w:rPr>
          <w:b/>
        </w:rPr>
        <w:t xml:space="preserve">not exceeding 3 500 kg </w:t>
      </w:r>
      <w:r w:rsidR="00123B30" w:rsidRPr="00974D03">
        <w:rPr>
          <w:b/>
        </w:rPr>
        <w:t>and to vehicles of category N</w:t>
      </w:r>
      <w:r w:rsidR="00123B30" w:rsidRPr="00974D03">
        <w:rPr>
          <w:b/>
          <w:vertAlign w:val="subscript"/>
        </w:rPr>
        <w:t>1</w:t>
      </w:r>
      <w:r w:rsidR="00123B30" w:rsidRPr="00123B30">
        <w:rPr>
          <w:strike/>
        </w:rPr>
        <w:t>; other vehicles may be approved at the request of the manufacturer</w:t>
      </w:r>
      <w:r>
        <w:t>.</w:t>
      </w:r>
      <w:r w:rsidR="00AA7343">
        <w:t>"</w:t>
      </w:r>
    </w:p>
    <w:p w:rsidR="00C667A8" w:rsidRDefault="00C667A8" w:rsidP="00C667A8">
      <w:pPr>
        <w:pStyle w:val="SingleTxtG"/>
      </w:pPr>
      <w:r>
        <w:rPr>
          <w:i/>
        </w:rPr>
        <w:t xml:space="preserve">Paragraph </w:t>
      </w:r>
      <w:r w:rsidR="00974D03">
        <w:rPr>
          <w:i/>
        </w:rPr>
        <w:t>5.2.5.1.</w:t>
      </w:r>
      <w:r>
        <w:t>, amend to read:</w:t>
      </w:r>
    </w:p>
    <w:p w:rsidR="00C667A8" w:rsidRDefault="00C667A8" w:rsidP="00C667A8">
      <w:pPr>
        <w:pStyle w:val="SingleTxtG"/>
        <w:ind w:left="2268" w:hanging="1134"/>
      </w:pPr>
      <w:r>
        <w:t>"</w:t>
      </w:r>
      <w:r w:rsidR="00974D03">
        <w:t>5.2.5.1.</w:t>
      </w:r>
      <w:r w:rsidR="006022E6">
        <w:tab/>
      </w:r>
      <w:r w:rsidR="006022E6">
        <w:tab/>
      </w:r>
      <w:r w:rsidR="00974D03">
        <w:t>To open at least one door</w:t>
      </w:r>
      <w:r w:rsidR="00974D03" w:rsidRPr="00974D03">
        <w:rPr>
          <w:strike/>
        </w:rPr>
        <w:t>, if there is one,</w:t>
      </w:r>
      <w:r w:rsidR="00974D03">
        <w:t xml:space="preserve"> per row of seats and, where there is no such door, to </w:t>
      </w:r>
      <w:r w:rsidR="00974D03" w:rsidRPr="00974D03">
        <w:rPr>
          <w:strike/>
        </w:rPr>
        <w:t>move</w:t>
      </w:r>
      <w:r w:rsidR="00974D03">
        <w:t xml:space="preserve"> </w:t>
      </w:r>
      <w:r w:rsidR="00974D03" w:rsidRPr="00974D03">
        <w:rPr>
          <w:b/>
        </w:rPr>
        <w:t xml:space="preserve">activate the displacement system of </w:t>
      </w:r>
      <w:r w:rsidR="00974D03">
        <w:t xml:space="preserve">the seats </w:t>
      </w:r>
      <w:r w:rsidR="00974D03">
        <w:rPr>
          <w:b/>
        </w:rPr>
        <w:t>in front</w:t>
      </w:r>
      <w:r w:rsidR="00974D03">
        <w:t xml:space="preserve"> </w:t>
      </w:r>
      <w:r w:rsidR="00974D03" w:rsidRPr="00974D03">
        <w:rPr>
          <w:strike/>
        </w:rPr>
        <w:t>or tilt their backrests as necessary</w:t>
      </w:r>
      <w:r w:rsidR="00974D03" w:rsidRPr="00974D03">
        <w:rPr>
          <w:b/>
        </w:rPr>
        <w:t>, in absence of an escape path towards the row in front of at least 550 mm width and 1 100 mm height between the vehicle floor and roof,</w:t>
      </w:r>
      <w:r w:rsidR="00974D03">
        <w:rPr>
          <w:b/>
        </w:rPr>
        <w:t xml:space="preserve"> </w:t>
      </w:r>
      <w:r w:rsidR="00974D03">
        <w:t xml:space="preserve">to allow the evacuation of all </w:t>
      </w:r>
      <w:r w:rsidR="00974D03" w:rsidRPr="00F457AA">
        <w:rPr>
          <w:strike/>
        </w:rPr>
        <w:t>the</w:t>
      </w:r>
      <w:r w:rsidR="00974D03">
        <w:t xml:space="preserve"> occupants; this is, however, only applicable to vehicles having a roof of rigid construction;</w:t>
      </w:r>
      <w:r>
        <w:t>"</w:t>
      </w:r>
    </w:p>
    <w:p w:rsidR="00C02674" w:rsidRPr="00E4336D" w:rsidRDefault="00C02674" w:rsidP="00C02674">
      <w:pPr>
        <w:spacing w:after="120" w:line="240" w:lineRule="auto"/>
        <w:ind w:left="2268" w:right="1134" w:hanging="1134"/>
        <w:jc w:val="both"/>
        <w:outlineLvl w:val="1"/>
        <w:rPr>
          <w:iCs/>
          <w:color w:val="000000"/>
          <w:lang w:val="en-US"/>
        </w:rPr>
      </w:pPr>
      <w:r>
        <w:rPr>
          <w:i/>
          <w:lang w:val="en-US" w:eastAsia="ar-SA"/>
        </w:rPr>
        <w:t>Insert new parag</w:t>
      </w:r>
      <w:r w:rsidRPr="00E4336D">
        <w:rPr>
          <w:i/>
          <w:lang w:val="en-US" w:eastAsia="ar-SA"/>
        </w:rPr>
        <w:t>raph</w:t>
      </w:r>
      <w:r>
        <w:rPr>
          <w:i/>
          <w:lang w:val="en-US" w:eastAsia="ar-SA"/>
        </w:rPr>
        <w:t>s 11.</w:t>
      </w:r>
      <w:r w:rsidR="006F7FB0">
        <w:rPr>
          <w:i/>
          <w:lang w:val="en-US" w:eastAsia="ar-SA"/>
        </w:rPr>
        <w:t>5</w:t>
      </w:r>
      <w:r>
        <w:rPr>
          <w:i/>
          <w:lang w:val="en-US" w:eastAsia="ar-SA"/>
        </w:rPr>
        <w:t xml:space="preserve"> to 11.</w:t>
      </w:r>
      <w:r w:rsidR="006F7FB0">
        <w:rPr>
          <w:i/>
          <w:lang w:val="en-US" w:eastAsia="ar-SA"/>
        </w:rPr>
        <w:t>7</w:t>
      </w:r>
      <w:r>
        <w:rPr>
          <w:i/>
          <w:lang w:val="en-US" w:eastAsia="ar-SA"/>
        </w:rPr>
        <w:t>.</w:t>
      </w:r>
      <w:r>
        <w:rPr>
          <w:lang w:val="en-US" w:eastAsia="ar-SA"/>
        </w:rPr>
        <w:t xml:space="preserve">, </w:t>
      </w:r>
      <w:r w:rsidRPr="00E4336D">
        <w:rPr>
          <w:lang w:val="en-US" w:eastAsia="ar-SA"/>
        </w:rPr>
        <w:t>to read:</w:t>
      </w:r>
    </w:p>
    <w:p w:rsidR="00C02674" w:rsidRDefault="00C02674" w:rsidP="00C02674">
      <w:pPr>
        <w:tabs>
          <w:tab w:val="left" w:pos="2268"/>
        </w:tabs>
        <w:spacing w:after="120"/>
        <w:ind w:left="2268" w:right="1134" w:hanging="1134"/>
        <w:jc w:val="both"/>
        <w:rPr>
          <w:b/>
        </w:rPr>
      </w:pPr>
      <w:r>
        <w:t>"</w:t>
      </w:r>
      <w:r>
        <w:rPr>
          <w:b/>
        </w:rPr>
        <w:t>11.</w:t>
      </w:r>
      <w:r w:rsidR="006F7FB0">
        <w:rPr>
          <w:b/>
        </w:rPr>
        <w:t>5</w:t>
      </w:r>
      <w:r>
        <w:rPr>
          <w:b/>
        </w:rPr>
        <w:tab/>
        <w:t>As from the official date of entry into force of Supplement X to the 0</w:t>
      </w:r>
      <w:r w:rsidR="006F7FB0">
        <w:rPr>
          <w:b/>
        </w:rPr>
        <w:t>1</w:t>
      </w:r>
      <w:r>
        <w:rPr>
          <w:b/>
        </w:rPr>
        <w:t xml:space="preserve"> series of amendments, no Contracting Party applying this Regulation shall refuse to grant or refuse to accept type approvals under this Regulation as amended by Supplement X to the 0</w:t>
      </w:r>
      <w:r w:rsidR="006F7FB0">
        <w:rPr>
          <w:b/>
        </w:rPr>
        <w:t>1</w:t>
      </w:r>
      <w:r>
        <w:rPr>
          <w:b/>
        </w:rPr>
        <w:t xml:space="preserve"> series of amendments.</w:t>
      </w:r>
    </w:p>
    <w:p w:rsidR="00C02674" w:rsidRDefault="00C02674" w:rsidP="00C02674">
      <w:pPr>
        <w:spacing w:after="120"/>
        <w:ind w:left="2268" w:right="1134" w:hanging="1134"/>
        <w:jc w:val="both"/>
        <w:rPr>
          <w:b/>
        </w:rPr>
      </w:pPr>
      <w:r>
        <w:rPr>
          <w:b/>
        </w:rPr>
        <w:t>11.</w:t>
      </w:r>
      <w:r w:rsidR="006F7FB0">
        <w:rPr>
          <w:b/>
        </w:rPr>
        <w:t>6</w:t>
      </w:r>
      <w:r>
        <w:rPr>
          <w:b/>
        </w:rPr>
        <w:tab/>
      </w:r>
      <w:r>
        <w:rPr>
          <w:b/>
        </w:rPr>
        <w:tab/>
        <w:t xml:space="preserve">Notwithstanding the transitional provisions above, as </w:t>
      </w:r>
      <w:r>
        <w:rPr>
          <w:rFonts w:eastAsia="MS Mincho"/>
          <w:b/>
          <w:lang w:eastAsia="ja-JP"/>
        </w:rPr>
        <w:t>from</w:t>
      </w:r>
      <w:r>
        <w:rPr>
          <w:b/>
        </w:rPr>
        <w:t xml:space="preserve"> [1 May] 2022, Contracting Parties applying this Regulation may refuse to grant type </w:t>
      </w:r>
      <w:r>
        <w:rPr>
          <w:b/>
        </w:rPr>
        <w:lastRenderedPageBreak/>
        <w:t>approval of new types of vehicle of category N</w:t>
      </w:r>
      <w:r>
        <w:rPr>
          <w:b/>
          <w:vertAlign w:val="subscript"/>
        </w:rPr>
        <w:t xml:space="preserve">1 </w:t>
      </w:r>
      <w:r>
        <w:rPr>
          <w:b/>
        </w:rPr>
        <w:t>which do not comply with this Regulation.</w:t>
      </w:r>
    </w:p>
    <w:p w:rsidR="00974D03" w:rsidRPr="00C0063B" w:rsidRDefault="00C02674" w:rsidP="00C02674">
      <w:pPr>
        <w:spacing w:after="120"/>
        <w:ind w:left="2268" w:right="1134" w:hanging="1134"/>
        <w:jc w:val="both"/>
        <w:rPr>
          <w:i/>
          <w:lang w:val="en-US"/>
        </w:rPr>
      </w:pPr>
      <w:r>
        <w:rPr>
          <w:b/>
        </w:rPr>
        <w:t>11.</w:t>
      </w:r>
      <w:r w:rsidR="006F7FB0"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Notwithstanding the transitional provisions above, as </w:t>
      </w:r>
      <w:r>
        <w:rPr>
          <w:rFonts w:eastAsia="MS Mincho"/>
          <w:b/>
          <w:lang w:eastAsia="ja-JP"/>
        </w:rPr>
        <w:t>from</w:t>
      </w:r>
      <w:r>
        <w:rPr>
          <w:b/>
        </w:rPr>
        <w:t xml:space="preserve"> [1 May] 2024, Contracting Parties applying this Regulation may refuse recognise type approval of vehicles of category N</w:t>
      </w:r>
      <w:r>
        <w:rPr>
          <w:b/>
          <w:vertAlign w:val="subscript"/>
        </w:rPr>
        <w:t>1</w:t>
      </w:r>
      <w:r>
        <w:rPr>
          <w:b/>
        </w:rPr>
        <w:t>, which do not comply with this Regulation.</w:t>
      </w:r>
      <w:r>
        <w:t>"</w:t>
      </w:r>
    </w:p>
    <w:p w:rsidR="00C667A8" w:rsidRPr="00B95EC0" w:rsidRDefault="00C667A8" w:rsidP="00C667A8">
      <w:pPr>
        <w:pStyle w:val="HChG"/>
      </w:pPr>
      <w:r>
        <w:tab/>
      </w:r>
      <w:r w:rsidR="00C02674">
        <w:t>I</w:t>
      </w:r>
      <w:r w:rsidR="00190D52">
        <w:t>I</w:t>
      </w:r>
      <w:r w:rsidRPr="00B95EC0">
        <w:t>.</w:t>
      </w:r>
      <w:r w:rsidRPr="00B95EC0">
        <w:tab/>
        <w:t>Justification</w:t>
      </w:r>
    </w:p>
    <w:p w:rsidR="00C667A8" w:rsidRPr="0035414C" w:rsidRDefault="00C667A8" w:rsidP="00C02674">
      <w:pPr>
        <w:pStyle w:val="SingleTxtG"/>
        <w:ind w:hanging="426"/>
        <w:rPr>
          <w:b/>
          <w:color w:val="FF0000"/>
        </w:rPr>
      </w:pPr>
      <w:r>
        <w:tab/>
      </w:r>
      <w:r w:rsidRPr="00B95EC0">
        <w:t>1.</w:t>
      </w:r>
      <w:r w:rsidRPr="00B95EC0">
        <w:tab/>
      </w:r>
      <w:r w:rsidR="00C02674">
        <w:t xml:space="preserve">The European Union is in the process of adopting the revised General Safety Regulation that introduces a range of new safety features. It however also addresses a number of exemptions regarding essential vehicle safety requirements for </w:t>
      </w:r>
      <w:r w:rsidR="006F7FB0">
        <w:t xml:space="preserve">e.g. light commercial vehicles such as </w:t>
      </w:r>
      <w:r w:rsidR="00C02674">
        <w:t>vans.</w:t>
      </w:r>
    </w:p>
    <w:p w:rsidR="00C667A8" w:rsidRDefault="009836C5" w:rsidP="00F21FE5">
      <w:pPr>
        <w:pStyle w:val="SingleTxtG"/>
      </w:pPr>
      <w:r>
        <w:t>2.</w:t>
      </w:r>
      <w:r>
        <w:tab/>
      </w:r>
      <w:r w:rsidR="00C02674">
        <w:t>These exemptions can no longer be justified in the light of protection of workers that use light commercial vehicles.</w:t>
      </w:r>
    </w:p>
    <w:p w:rsidR="00C667A8" w:rsidRDefault="00C667A8" w:rsidP="00C667A8">
      <w:pPr>
        <w:pStyle w:val="SingleTxtG"/>
      </w:pPr>
      <w:r>
        <w:t>3</w:t>
      </w:r>
      <w:r w:rsidRPr="00B95EC0">
        <w:t>.</w:t>
      </w:r>
      <w:r w:rsidRPr="00B95EC0">
        <w:tab/>
      </w:r>
      <w:r w:rsidR="00C47A6F">
        <w:t>The envisioned application dates that have been decided by the European Parliament and EU Member States are also proposed in new transitional provisions for this Regulation</w:t>
      </w:r>
      <w:r>
        <w:t>.</w:t>
      </w:r>
    </w:p>
    <w:p w:rsidR="00E26668" w:rsidRDefault="006F7FB0" w:rsidP="00C667A8">
      <w:pPr>
        <w:pStyle w:val="SingleTxtG"/>
      </w:pPr>
      <w:r>
        <w:t>4</w:t>
      </w:r>
      <w:r w:rsidR="00C47A6F">
        <w:t xml:space="preserve">. </w:t>
      </w:r>
      <w:r w:rsidR="00C47A6F">
        <w:tab/>
        <w:t>In wide vehicles it may be not necessary for the front seats to have a displacement system</w:t>
      </w:r>
      <w:r w:rsidR="00DB2939">
        <w:t xml:space="preserve"> (in accordance with Regulation 17), as occupants can move forward between the seats. It is proposed to allow this also in this Regulation to allow for the evacuation of rear-seated occupants </w:t>
      </w:r>
      <w:r w:rsidR="00B377A3">
        <w:t xml:space="preserve">through a front door </w:t>
      </w:r>
      <w:r w:rsidR="00DB2939">
        <w:t>in case of a crash.</w:t>
      </w:r>
    </w:p>
    <w:p w:rsidR="00DB2939" w:rsidRPr="00B95EC0" w:rsidRDefault="006F7FB0" w:rsidP="00C667A8">
      <w:pPr>
        <w:pStyle w:val="SingleTxtG"/>
      </w:pPr>
      <w:r>
        <w:t>5</w:t>
      </w:r>
      <w:r w:rsidR="00DB2939">
        <w:t>.</w:t>
      </w:r>
      <w:r w:rsidR="00DB2939">
        <w:tab/>
        <w:t xml:space="preserve">To avoid diverging interpretations by Technical Services and Type-Approval Authorities it is clarified that at least a worst-case configuration as regards side doors must be assessed to </w:t>
      </w:r>
      <w:r w:rsidR="00B377A3">
        <w:t>prevent</w:t>
      </w:r>
      <w:r w:rsidR="00DB2939">
        <w:t xml:space="preserve"> that certain configurations would somehow not be checked.</w:t>
      </w:r>
    </w:p>
    <w:p w:rsidR="00915EF6" w:rsidRPr="00C750B3" w:rsidRDefault="00C750B3" w:rsidP="00C750B3">
      <w:pPr>
        <w:spacing w:before="240"/>
        <w:ind w:left="1134" w:right="1134"/>
        <w:jc w:val="center"/>
        <w:rPr>
          <w:u w:val="single"/>
        </w:rPr>
      </w:pPr>
      <w:r>
        <w:rPr>
          <w:sz w:val="22"/>
          <w:szCs w:val="22"/>
          <w:u w:val="single"/>
          <w:lang w:val="en-US"/>
        </w:rPr>
        <w:tab/>
      </w:r>
      <w:r>
        <w:rPr>
          <w:sz w:val="22"/>
          <w:szCs w:val="22"/>
          <w:u w:val="single"/>
          <w:lang w:val="en-US"/>
        </w:rPr>
        <w:tab/>
      </w:r>
      <w:r>
        <w:rPr>
          <w:sz w:val="22"/>
          <w:szCs w:val="22"/>
          <w:u w:val="single"/>
          <w:lang w:val="en-US"/>
        </w:rPr>
        <w:tab/>
      </w:r>
    </w:p>
    <w:sectPr w:rsidR="00915EF6" w:rsidRPr="00C750B3" w:rsidSect="00D14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D6" w:rsidRDefault="00F87CD6"/>
  </w:endnote>
  <w:endnote w:type="continuationSeparator" w:id="0">
    <w:p w:rsidR="00F87CD6" w:rsidRDefault="00F87CD6"/>
  </w:endnote>
  <w:endnote w:type="continuationNotice" w:id="1">
    <w:p w:rsidR="00F87CD6" w:rsidRDefault="00F87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83" w:rsidRPr="00D14683" w:rsidRDefault="00D14683" w:rsidP="00D14683">
    <w:pPr>
      <w:pStyle w:val="Footer"/>
      <w:tabs>
        <w:tab w:val="right" w:pos="9638"/>
      </w:tabs>
      <w:rPr>
        <w:sz w:val="18"/>
      </w:rPr>
    </w:pPr>
    <w:r w:rsidRPr="00D14683">
      <w:rPr>
        <w:b/>
        <w:sz w:val="18"/>
      </w:rPr>
      <w:fldChar w:fldCharType="begin"/>
    </w:r>
    <w:r w:rsidRPr="00D14683">
      <w:rPr>
        <w:b/>
        <w:sz w:val="18"/>
      </w:rPr>
      <w:instrText xml:space="preserve"> PAGE  \* MERGEFORMAT </w:instrText>
    </w:r>
    <w:r w:rsidRPr="00D14683">
      <w:rPr>
        <w:b/>
        <w:sz w:val="18"/>
      </w:rPr>
      <w:fldChar w:fldCharType="separate"/>
    </w:r>
    <w:r w:rsidR="00AE4FAA">
      <w:rPr>
        <w:b/>
        <w:noProof/>
        <w:sz w:val="18"/>
      </w:rPr>
      <w:t>2</w:t>
    </w:r>
    <w:r w:rsidRPr="00D146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83" w:rsidRPr="00D14683" w:rsidRDefault="00D14683" w:rsidP="00D14683">
    <w:pPr>
      <w:pStyle w:val="Footer"/>
      <w:tabs>
        <w:tab w:val="right" w:pos="9638"/>
      </w:tabs>
      <w:rPr>
        <w:b/>
        <w:sz w:val="18"/>
      </w:rPr>
    </w:pPr>
    <w:r>
      <w:tab/>
    </w:r>
    <w:r w:rsidRPr="00D14683">
      <w:rPr>
        <w:b/>
        <w:sz w:val="18"/>
      </w:rPr>
      <w:fldChar w:fldCharType="begin"/>
    </w:r>
    <w:r w:rsidRPr="00D14683">
      <w:rPr>
        <w:b/>
        <w:sz w:val="18"/>
      </w:rPr>
      <w:instrText xml:space="preserve"> PAGE  \* MERGEFORMAT </w:instrText>
    </w:r>
    <w:r w:rsidRPr="00D14683">
      <w:rPr>
        <w:b/>
        <w:sz w:val="18"/>
      </w:rPr>
      <w:fldChar w:fldCharType="separate"/>
    </w:r>
    <w:r w:rsidR="00123B30">
      <w:rPr>
        <w:b/>
        <w:noProof/>
        <w:sz w:val="18"/>
      </w:rPr>
      <w:t>3</w:t>
    </w:r>
    <w:r w:rsidRPr="00D1468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D8" w:rsidRDefault="00E14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D6" w:rsidRPr="000B175B" w:rsidRDefault="00F87CD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87CD6" w:rsidRPr="00FC68B7" w:rsidRDefault="00F87CD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F87CD6" w:rsidRDefault="00F87CD6"/>
  </w:footnote>
  <w:footnote w:id="2">
    <w:p w:rsidR="00974D03" w:rsidRDefault="00974D03" w:rsidP="00974D03">
      <w:pPr>
        <w:pStyle w:val="FootnoteText"/>
        <w:tabs>
          <w:tab w:val="left" w:pos="1134"/>
        </w:tabs>
        <w:spacing w:before="120"/>
      </w:pPr>
      <w:r>
        <w:tab/>
      </w:r>
      <w:r>
        <w:rPr>
          <w:rStyle w:val="FootnoteReference"/>
        </w:rPr>
        <w:footnoteRef/>
      </w:r>
      <w:r>
        <w:tab/>
      </w:r>
      <w:r>
        <w:rPr>
          <w:szCs w:val="18"/>
        </w:rPr>
        <w:t>As defined in the Consolidated Resolution on the Construction of Vehicles (R.E.3.), document ECE/TRANS/WP.29/78/Rev.6, para.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83" w:rsidRPr="00C02674" w:rsidRDefault="00D14683">
    <w:pPr>
      <w:pStyle w:val="Header"/>
    </w:pPr>
  </w:p>
  <w:p w:rsidR="00C54465" w:rsidRDefault="00C544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83" w:rsidRPr="008E7873" w:rsidRDefault="00D14683" w:rsidP="00D14683">
    <w:pPr>
      <w:pStyle w:val="Header"/>
      <w:jc w:val="right"/>
      <w:rPr>
        <w:strike/>
      </w:rPr>
    </w:pPr>
    <w:r w:rsidRPr="008E7873">
      <w:rPr>
        <w:strike/>
      </w:rPr>
      <w:t>ECE/TRANS/WP.29/GRSP/201</w:t>
    </w:r>
    <w:r w:rsidR="00D35047" w:rsidRPr="008E7873">
      <w:rPr>
        <w:strike/>
      </w:rPr>
      <w:t>7</w:t>
    </w:r>
    <w:r w:rsidRPr="008E7873">
      <w:rPr>
        <w:strike/>
      </w:rPr>
      <w:t>/</w:t>
    </w:r>
    <w:r w:rsidR="00D35047" w:rsidRPr="008E7873">
      <w:rPr>
        <w:strike/>
      </w:rPr>
      <w:t>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0"/>
    </w:tblGrid>
    <w:tr w:rsidR="008E7873" w:rsidRPr="008E7873" w:rsidTr="00FF0598">
      <w:tc>
        <w:tcPr>
          <w:tcW w:w="496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8E7873" w:rsidRPr="008E7873" w:rsidRDefault="008E7873" w:rsidP="008E7873">
          <w:r w:rsidRPr="008E7873">
            <w:t>Subm</w:t>
          </w:r>
          <w:r>
            <w:t>itted by the expert from EC</w:t>
          </w:r>
        </w:p>
        <w:p w:rsidR="008E7873" w:rsidRPr="008E7873" w:rsidRDefault="008E7873" w:rsidP="008E7873">
          <w:r w:rsidRPr="008E7873">
            <w:t> </w:t>
          </w:r>
        </w:p>
      </w:tc>
      <w:tc>
        <w:tcPr>
          <w:tcW w:w="496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8E7873" w:rsidRPr="00F457AA" w:rsidRDefault="008E7873" w:rsidP="008E7873">
          <w:r w:rsidRPr="00F457AA">
            <w:rPr>
              <w:u w:val="single"/>
            </w:rPr>
            <w:t>Informal document</w:t>
          </w:r>
          <w:r w:rsidRPr="00F457AA">
            <w:t xml:space="preserve"> </w:t>
          </w:r>
          <w:r w:rsidRPr="00F457AA">
            <w:rPr>
              <w:b/>
            </w:rPr>
            <w:t>GR</w:t>
          </w:r>
          <w:r w:rsidR="00B72CB2" w:rsidRPr="00F457AA">
            <w:rPr>
              <w:b/>
            </w:rPr>
            <w:t>S</w:t>
          </w:r>
          <w:r w:rsidR="009B3280" w:rsidRPr="00F457AA">
            <w:rPr>
              <w:b/>
            </w:rPr>
            <w:t>P</w:t>
          </w:r>
          <w:r w:rsidRPr="00F457AA">
            <w:rPr>
              <w:b/>
            </w:rPr>
            <w:t>-</w:t>
          </w:r>
          <w:r w:rsidR="00C02674" w:rsidRPr="00F457AA">
            <w:rPr>
              <w:b/>
            </w:rPr>
            <w:t>65</w:t>
          </w:r>
          <w:r w:rsidRPr="00F457AA">
            <w:rPr>
              <w:b/>
            </w:rPr>
            <w:t>-</w:t>
          </w:r>
          <w:r w:rsidR="00A8304A">
            <w:rPr>
              <w:b/>
            </w:rPr>
            <w:t>12</w:t>
          </w:r>
        </w:p>
        <w:p w:rsidR="008E7873" w:rsidRPr="00F457AA" w:rsidRDefault="008E7873" w:rsidP="008E7873">
          <w:r w:rsidRPr="00F457AA">
            <w:t>(</w:t>
          </w:r>
          <w:r w:rsidR="0069728C" w:rsidRPr="00F457AA">
            <w:t>65</w:t>
          </w:r>
          <w:r w:rsidR="0069728C" w:rsidRPr="00F457AA">
            <w:rPr>
              <w:vertAlign w:val="superscript"/>
            </w:rPr>
            <w:t xml:space="preserve">th </w:t>
          </w:r>
          <w:r w:rsidRPr="00F457AA">
            <w:t>GRS</w:t>
          </w:r>
          <w:r w:rsidR="009B3280" w:rsidRPr="00F457AA">
            <w:t>P</w:t>
          </w:r>
          <w:r w:rsidRPr="00F457AA">
            <w:t xml:space="preserve">, </w:t>
          </w:r>
          <w:r w:rsidR="00C02674" w:rsidRPr="00F457AA">
            <w:t>13-17 May 2019</w:t>
          </w:r>
          <w:r w:rsidRPr="00F457AA">
            <w:t xml:space="preserve"> </w:t>
          </w:r>
        </w:p>
        <w:p w:rsidR="008E7873" w:rsidRPr="008E7873" w:rsidRDefault="008E7873" w:rsidP="00B72CB2">
          <w:r w:rsidRPr="00F457AA">
            <w:t xml:space="preserve"> </w:t>
          </w:r>
          <w:r>
            <w:t xml:space="preserve">agenda item </w:t>
          </w:r>
          <w:r w:rsidR="00A8304A">
            <w:t>23</w:t>
          </w:r>
          <w:r w:rsidRPr="008E7873">
            <w:t>)</w:t>
          </w:r>
        </w:p>
      </w:tc>
    </w:tr>
  </w:tbl>
  <w:p w:rsidR="008E7873" w:rsidRDefault="008E7873" w:rsidP="008E7873">
    <w:pPr>
      <w:pStyle w:val="Header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169EA"/>
    <w:multiLevelType w:val="hybridMultilevel"/>
    <w:tmpl w:val="F488B630"/>
    <w:lvl w:ilvl="0" w:tplc="0D469ABE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FCF663A"/>
    <w:multiLevelType w:val="hybridMultilevel"/>
    <w:tmpl w:val="FE40927C"/>
    <w:lvl w:ilvl="0" w:tplc="0413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2166"/>
    <w:multiLevelType w:val="hybridMultilevel"/>
    <w:tmpl w:val="2FE83144"/>
    <w:lvl w:ilvl="0" w:tplc="6E448F4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55" w:hanging="360"/>
      </w:pPr>
    </w:lvl>
    <w:lvl w:ilvl="2" w:tplc="0413001B" w:tentative="1">
      <w:start w:val="1"/>
      <w:numFmt w:val="lowerRoman"/>
      <w:lvlText w:val="%3."/>
      <w:lvlJc w:val="right"/>
      <w:pPr>
        <w:ind w:left="2475" w:hanging="180"/>
      </w:pPr>
    </w:lvl>
    <w:lvl w:ilvl="3" w:tplc="0413000F" w:tentative="1">
      <w:start w:val="1"/>
      <w:numFmt w:val="decimal"/>
      <w:lvlText w:val="%4."/>
      <w:lvlJc w:val="left"/>
      <w:pPr>
        <w:ind w:left="3195" w:hanging="360"/>
      </w:pPr>
    </w:lvl>
    <w:lvl w:ilvl="4" w:tplc="04130019" w:tentative="1">
      <w:start w:val="1"/>
      <w:numFmt w:val="lowerLetter"/>
      <w:lvlText w:val="%5."/>
      <w:lvlJc w:val="left"/>
      <w:pPr>
        <w:ind w:left="3915" w:hanging="360"/>
      </w:pPr>
    </w:lvl>
    <w:lvl w:ilvl="5" w:tplc="0413001B" w:tentative="1">
      <w:start w:val="1"/>
      <w:numFmt w:val="lowerRoman"/>
      <w:lvlText w:val="%6."/>
      <w:lvlJc w:val="right"/>
      <w:pPr>
        <w:ind w:left="4635" w:hanging="180"/>
      </w:pPr>
    </w:lvl>
    <w:lvl w:ilvl="6" w:tplc="0413000F" w:tentative="1">
      <w:start w:val="1"/>
      <w:numFmt w:val="decimal"/>
      <w:lvlText w:val="%7."/>
      <w:lvlJc w:val="left"/>
      <w:pPr>
        <w:ind w:left="5355" w:hanging="360"/>
      </w:pPr>
    </w:lvl>
    <w:lvl w:ilvl="7" w:tplc="04130019" w:tentative="1">
      <w:start w:val="1"/>
      <w:numFmt w:val="lowerLetter"/>
      <w:lvlText w:val="%8."/>
      <w:lvlJc w:val="left"/>
      <w:pPr>
        <w:ind w:left="6075" w:hanging="360"/>
      </w:pPr>
    </w:lvl>
    <w:lvl w:ilvl="8" w:tplc="0413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8"/>
  </w:num>
  <w:num w:numId="16">
    <w:abstractNumId w:val="10"/>
  </w:num>
  <w:num w:numId="17">
    <w:abstractNumId w:val="13"/>
  </w:num>
  <w:num w:numId="18">
    <w:abstractNumId w:val="19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RANS_WP29_2009_E"/>
  </w:docVars>
  <w:rsids>
    <w:rsidRoot w:val="00D14683"/>
    <w:rsid w:val="0000032E"/>
    <w:rsid w:val="00003F99"/>
    <w:rsid w:val="00004E7E"/>
    <w:rsid w:val="00011417"/>
    <w:rsid w:val="00046B1F"/>
    <w:rsid w:val="00050F6B"/>
    <w:rsid w:val="00052635"/>
    <w:rsid w:val="00057E97"/>
    <w:rsid w:val="000646F4"/>
    <w:rsid w:val="000656CD"/>
    <w:rsid w:val="00072C8C"/>
    <w:rsid w:val="000733B5"/>
    <w:rsid w:val="00081815"/>
    <w:rsid w:val="00083C2A"/>
    <w:rsid w:val="00084E64"/>
    <w:rsid w:val="000931C0"/>
    <w:rsid w:val="00095BF8"/>
    <w:rsid w:val="00097C31"/>
    <w:rsid w:val="000A436F"/>
    <w:rsid w:val="000B0595"/>
    <w:rsid w:val="000B175B"/>
    <w:rsid w:val="000B2F02"/>
    <w:rsid w:val="000B3A0F"/>
    <w:rsid w:val="000B4EF7"/>
    <w:rsid w:val="000C28F2"/>
    <w:rsid w:val="000C2C03"/>
    <w:rsid w:val="000C2D2E"/>
    <w:rsid w:val="000E0415"/>
    <w:rsid w:val="000E13A1"/>
    <w:rsid w:val="000E3BC5"/>
    <w:rsid w:val="000F0772"/>
    <w:rsid w:val="000F436F"/>
    <w:rsid w:val="000F767E"/>
    <w:rsid w:val="00101CA0"/>
    <w:rsid w:val="001103AA"/>
    <w:rsid w:val="00110402"/>
    <w:rsid w:val="001157B4"/>
    <w:rsid w:val="00115C12"/>
    <w:rsid w:val="0011666B"/>
    <w:rsid w:val="0012063C"/>
    <w:rsid w:val="00123B30"/>
    <w:rsid w:val="00134250"/>
    <w:rsid w:val="001413A4"/>
    <w:rsid w:val="001558CD"/>
    <w:rsid w:val="001570A7"/>
    <w:rsid w:val="00162CC8"/>
    <w:rsid w:val="00165F3A"/>
    <w:rsid w:val="00182290"/>
    <w:rsid w:val="00183157"/>
    <w:rsid w:val="0018324F"/>
    <w:rsid w:val="00190D52"/>
    <w:rsid w:val="001A3955"/>
    <w:rsid w:val="001B4B04"/>
    <w:rsid w:val="001C18E2"/>
    <w:rsid w:val="001C6663"/>
    <w:rsid w:val="001C7895"/>
    <w:rsid w:val="001D0C8C"/>
    <w:rsid w:val="001D1419"/>
    <w:rsid w:val="001D26DF"/>
    <w:rsid w:val="001D3A03"/>
    <w:rsid w:val="001D5147"/>
    <w:rsid w:val="001D51A3"/>
    <w:rsid w:val="001E6C26"/>
    <w:rsid w:val="001E7B67"/>
    <w:rsid w:val="00202DA8"/>
    <w:rsid w:val="00206755"/>
    <w:rsid w:val="0020759A"/>
    <w:rsid w:val="00211E0B"/>
    <w:rsid w:val="00226076"/>
    <w:rsid w:val="00234EDA"/>
    <w:rsid w:val="0024459A"/>
    <w:rsid w:val="002466E3"/>
    <w:rsid w:val="0024772E"/>
    <w:rsid w:val="002508C6"/>
    <w:rsid w:val="002578FB"/>
    <w:rsid w:val="00267F5F"/>
    <w:rsid w:val="00286B4D"/>
    <w:rsid w:val="002A6714"/>
    <w:rsid w:val="002A69F4"/>
    <w:rsid w:val="002B53F9"/>
    <w:rsid w:val="002B54F9"/>
    <w:rsid w:val="002B5A41"/>
    <w:rsid w:val="002C3BD0"/>
    <w:rsid w:val="002C4940"/>
    <w:rsid w:val="002D0AEC"/>
    <w:rsid w:val="002D4643"/>
    <w:rsid w:val="002D63CB"/>
    <w:rsid w:val="002F175C"/>
    <w:rsid w:val="002F7DE0"/>
    <w:rsid w:val="00302E18"/>
    <w:rsid w:val="00303042"/>
    <w:rsid w:val="00304755"/>
    <w:rsid w:val="003070DB"/>
    <w:rsid w:val="0031519A"/>
    <w:rsid w:val="003229D8"/>
    <w:rsid w:val="00331DFA"/>
    <w:rsid w:val="00332907"/>
    <w:rsid w:val="00341C83"/>
    <w:rsid w:val="00342935"/>
    <w:rsid w:val="00343BBD"/>
    <w:rsid w:val="00352709"/>
    <w:rsid w:val="003619B5"/>
    <w:rsid w:val="00361AC3"/>
    <w:rsid w:val="00365763"/>
    <w:rsid w:val="00371178"/>
    <w:rsid w:val="00375FCA"/>
    <w:rsid w:val="00377081"/>
    <w:rsid w:val="0038570D"/>
    <w:rsid w:val="00392E47"/>
    <w:rsid w:val="003A6810"/>
    <w:rsid w:val="003B0225"/>
    <w:rsid w:val="003C2CC4"/>
    <w:rsid w:val="003C534D"/>
    <w:rsid w:val="003D4B23"/>
    <w:rsid w:val="003D65A1"/>
    <w:rsid w:val="003E130E"/>
    <w:rsid w:val="003E1FCF"/>
    <w:rsid w:val="003E6C9E"/>
    <w:rsid w:val="003E79E2"/>
    <w:rsid w:val="00404EE7"/>
    <w:rsid w:val="00406ACA"/>
    <w:rsid w:val="00410571"/>
    <w:rsid w:val="00410C89"/>
    <w:rsid w:val="004167DE"/>
    <w:rsid w:val="00422E03"/>
    <w:rsid w:val="00426B9B"/>
    <w:rsid w:val="004312B4"/>
    <w:rsid w:val="004325CB"/>
    <w:rsid w:val="00442A83"/>
    <w:rsid w:val="00450153"/>
    <w:rsid w:val="0045495B"/>
    <w:rsid w:val="004561E5"/>
    <w:rsid w:val="00465B85"/>
    <w:rsid w:val="0048397A"/>
    <w:rsid w:val="00485CBB"/>
    <w:rsid w:val="004866B7"/>
    <w:rsid w:val="00491D33"/>
    <w:rsid w:val="00491FAE"/>
    <w:rsid w:val="00492886"/>
    <w:rsid w:val="004C1A4F"/>
    <w:rsid w:val="004C2461"/>
    <w:rsid w:val="004C7462"/>
    <w:rsid w:val="004D2E22"/>
    <w:rsid w:val="004D6601"/>
    <w:rsid w:val="004E02E0"/>
    <w:rsid w:val="004E46C7"/>
    <w:rsid w:val="004E6D1D"/>
    <w:rsid w:val="004E77B2"/>
    <w:rsid w:val="005046E1"/>
    <w:rsid w:val="00504B2D"/>
    <w:rsid w:val="0052136D"/>
    <w:rsid w:val="00525743"/>
    <w:rsid w:val="0052775E"/>
    <w:rsid w:val="00527E04"/>
    <w:rsid w:val="00536456"/>
    <w:rsid w:val="005420F2"/>
    <w:rsid w:val="00542BE8"/>
    <w:rsid w:val="0054402A"/>
    <w:rsid w:val="0055515A"/>
    <w:rsid w:val="0056209A"/>
    <w:rsid w:val="005628B6"/>
    <w:rsid w:val="005739B7"/>
    <w:rsid w:val="005851DF"/>
    <w:rsid w:val="00586686"/>
    <w:rsid w:val="005941EC"/>
    <w:rsid w:val="005952CB"/>
    <w:rsid w:val="0059724D"/>
    <w:rsid w:val="005B206A"/>
    <w:rsid w:val="005B320C"/>
    <w:rsid w:val="005B3DB3"/>
    <w:rsid w:val="005B4E13"/>
    <w:rsid w:val="005C342F"/>
    <w:rsid w:val="005C7D1E"/>
    <w:rsid w:val="005C7D71"/>
    <w:rsid w:val="005D55B9"/>
    <w:rsid w:val="005E138B"/>
    <w:rsid w:val="005F7B75"/>
    <w:rsid w:val="006001EE"/>
    <w:rsid w:val="006022E6"/>
    <w:rsid w:val="00604DBB"/>
    <w:rsid w:val="00605042"/>
    <w:rsid w:val="00611FC4"/>
    <w:rsid w:val="006176FB"/>
    <w:rsid w:val="00626505"/>
    <w:rsid w:val="006271CC"/>
    <w:rsid w:val="006279C8"/>
    <w:rsid w:val="00636463"/>
    <w:rsid w:val="00640B26"/>
    <w:rsid w:val="00644E74"/>
    <w:rsid w:val="00652D0A"/>
    <w:rsid w:val="00662BB6"/>
    <w:rsid w:val="006676D6"/>
    <w:rsid w:val="00671B51"/>
    <w:rsid w:val="0067362F"/>
    <w:rsid w:val="00676606"/>
    <w:rsid w:val="006769D5"/>
    <w:rsid w:val="00680A55"/>
    <w:rsid w:val="00684C21"/>
    <w:rsid w:val="0069728C"/>
    <w:rsid w:val="006A2530"/>
    <w:rsid w:val="006C3589"/>
    <w:rsid w:val="006C6D4F"/>
    <w:rsid w:val="006D37AF"/>
    <w:rsid w:val="006D51D0"/>
    <w:rsid w:val="006D5625"/>
    <w:rsid w:val="006D5FB9"/>
    <w:rsid w:val="006D658E"/>
    <w:rsid w:val="006E2C1E"/>
    <w:rsid w:val="006E46A8"/>
    <w:rsid w:val="006E4DD7"/>
    <w:rsid w:val="006E564B"/>
    <w:rsid w:val="006E7191"/>
    <w:rsid w:val="006F34EB"/>
    <w:rsid w:val="006F7FB0"/>
    <w:rsid w:val="00703577"/>
    <w:rsid w:val="00705894"/>
    <w:rsid w:val="0072632A"/>
    <w:rsid w:val="007327D5"/>
    <w:rsid w:val="00757D7C"/>
    <w:rsid w:val="007629C8"/>
    <w:rsid w:val="0077047D"/>
    <w:rsid w:val="007B5E32"/>
    <w:rsid w:val="007B6BA5"/>
    <w:rsid w:val="007C045F"/>
    <w:rsid w:val="007C3390"/>
    <w:rsid w:val="007C4F4B"/>
    <w:rsid w:val="007C7CFC"/>
    <w:rsid w:val="007D1A12"/>
    <w:rsid w:val="007E01E9"/>
    <w:rsid w:val="007E1B56"/>
    <w:rsid w:val="007E6249"/>
    <w:rsid w:val="007E63F3"/>
    <w:rsid w:val="007F6611"/>
    <w:rsid w:val="00800925"/>
    <w:rsid w:val="0080540A"/>
    <w:rsid w:val="0081141A"/>
    <w:rsid w:val="00811920"/>
    <w:rsid w:val="00812F0B"/>
    <w:rsid w:val="00813552"/>
    <w:rsid w:val="00815AD0"/>
    <w:rsid w:val="00815EDB"/>
    <w:rsid w:val="00816E35"/>
    <w:rsid w:val="00822EF3"/>
    <w:rsid w:val="008242D7"/>
    <w:rsid w:val="008257B1"/>
    <w:rsid w:val="0083046D"/>
    <w:rsid w:val="00832334"/>
    <w:rsid w:val="00834806"/>
    <w:rsid w:val="00834BC9"/>
    <w:rsid w:val="00843191"/>
    <w:rsid w:val="00843767"/>
    <w:rsid w:val="008637B4"/>
    <w:rsid w:val="008679D9"/>
    <w:rsid w:val="00874951"/>
    <w:rsid w:val="008878DE"/>
    <w:rsid w:val="008979B1"/>
    <w:rsid w:val="008A1ED5"/>
    <w:rsid w:val="008A6B25"/>
    <w:rsid w:val="008A6C4F"/>
    <w:rsid w:val="008B2335"/>
    <w:rsid w:val="008B2E36"/>
    <w:rsid w:val="008D10E9"/>
    <w:rsid w:val="008E0678"/>
    <w:rsid w:val="008E2B2F"/>
    <w:rsid w:val="008E7873"/>
    <w:rsid w:val="008F31D2"/>
    <w:rsid w:val="009034C1"/>
    <w:rsid w:val="00913B1D"/>
    <w:rsid w:val="00915EF6"/>
    <w:rsid w:val="009223CA"/>
    <w:rsid w:val="00940F93"/>
    <w:rsid w:val="009448C3"/>
    <w:rsid w:val="009451F6"/>
    <w:rsid w:val="0095131A"/>
    <w:rsid w:val="00955198"/>
    <w:rsid w:val="00955924"/>
    <w:rsid w:val="00974D03"/>
    <w:rsid w:val="009760F3"/>
    <w:rsid w:val="00976CFB"/>
    <w:rsid w:val="00976F59"/>
    <w:rsid w:val="009836C5"/>
    <w:rsid w:val="009964F6"/>
    <w:rsid w:val="0099690C"/>
    <w:rsid w:val="009A0830"/>
    <w:rsid w:val="009A0E8D"/>
    <w:rsid w:val="009B0F0E"/>
    <w:rsid w:val="009B26E7"/>
    <w:rsid w:val="009B3280"/>
    <w:rsid w:val="009B64BB"/>
    <w:rsid w:val="009D30EE"/>
    <w:rsid w:val="009D38BE"/>
    <w:rsid w:val="009F5CB6"/>
    <w:rsid w:val="00A00697"/>
    <w:rsid w:val="00A00A3F"/>
    <w:rsid w:val="00A01489"/>
    <w:rsid w:val="00A066EE"/>
    <w:rsid w:val="00A1023C"/>
    <w:rsid w:val="00A3026E"/>
    <w:rsid w:val="00A3170F"/>
    <w:rsid w:val="00A338F1"/>
    <w:rsid w:val="00A35BE0"/>
    <w:rsid w:val="00A37FE8"/>
    <w:rsid w:val="00A46A28"/>
    <w:rsid w:val="00A57F4F"/>
    <w:rsid w:val="00A6129C"/>
    <w:rsid w:val="00A716F1"/>
    <w:rsid w:val="00A72F22"/>
    <w:rsid w:val="00A7360F"/>
    <w:rsid w:val="00A748A6"/>
    <w:rsid w:val="00A769F4"/>
    <w:rsid w:val="00A776B4"/>
    <w:rsid w:val="00A8304A"/>
    <w:rsid w:val="00A93636"/>
    <w:rsid w:val="00A93ECC"/>
    <w:rsid w:val="00A94361"/>
    <w:rsid w:val="00AA180E"/>
    <w:rsid w:val="00AA293C"/>
    <w:rsid w:val="00AA72CC"/>
    <w:rsid w:val="00AA7343"/>
    <w:rsid w:val="00AB19AE"/>
    <w:rsid w:val="00AB3399"/>
    <w:rsid w:val="00AB4B1F"/>
    <w:rsid w:val="00AC230D"/>
    <w:rsid w:val="00AC493F"/>
    <w:rsid w:val="00AD1FB1"/>
    <w:rsid w:val="00AD3972"/>
    <w:rsid w:val="00AE4FAA"/>
    <w:rsid w:val="00AE5B44"/>
    <w:rsid w:val="00AF35A1"/>
    <w:rsid w:val="00B04EFB"/>
    <w:rsid w:val="00B30179"/>
    <w:rsid w:val="00B377A3"/>
    <w:rsid w:val="00B421C1"/>
    <w:rsid w:val="00B53C21"/>
    <w:rsid w:val="00B55C71"/>
    <w:rsid w:val="00B56E4A"/>
    <w:rsid w:val="00B56E9C"/>
    <w:rsid w:val="00B64B1F"/>
    <w:rsid w:val="00B6553F"/>
    <w:rsid w:val="00B72CB2"/>
    <w:rsid w:val="00B7475F"/>
    <w:rsid w:val="00B77D05"/>
    <w:rsid w:val="00B81206"/>
    <w:rsid w:val="00B81E12"/>
    <w:rsid w:val="00B8473B"/>
    <w:rsid w:val="00B90F1E"/>
    <w:rsid w:val="00B97750"/>
    <w:rsid w:val="00BA5467"/>
    <w:rsid w:val="00BA6647"/>
    <w:rsid w:val="00BC2AC9"/>
    <w:rsid w:val="00BC3FA0"/>
    <w:rsid w:val="00BC74E9"/>
    <w:rsid w:val="00BD4BA1"/>
    <w:rsid w:val="00BF30B3"/>
    <w:rsid w:val="00BF68A8"/>
    <w:rsid w:val="00C0063B"/>
    <w:rsid w:val="00C01A73"/>
    <w:rsid w:val="00C02674"/>
    <w:rsid w:val="00C02E91"/>
    <w:rsid w:val="00C11A03"/>
    <w:rsid w:val="00C14E4E"/>
    <w:rsid w:val="00C22C0C"/>
    <w:rsid w:val="00C256D3"/>
    <w:rsid w:val="00C25B4A"/>
    <w:rsid w:val="00C35A05"/>
    <w:rsid w:val="00C401F7"/>
    <w:rsid w:val="00C4527F"/>
    <w:rsid w:val="00C463DD"/>
    <w:rsid w:val="00C4724C"/>
    <w:rsid w:val="00C47A6F"/>
    <w:rsid w:val="00C500A9"/>
    <w:rsid w:val="00C50912"/>
    <w:rsid w:val="00C54465"/>
    <w:rsid w:val="00C629A0"/>
    <w:rsid w:val="00C64629"/>
    <w:rsid w:val="00C667A8"/>
    <w:rsid w:val="00C67E84"/>
    <w:rsid w:val="00C745C3"/>
    <w:rsid w:val="00C74DF1"/>
    <w:rsid w:val="00C750B3"/>
    <w:rsid w:val="00C84325"/>
    <w:rsid w:val="00C96DF2"/>
    <w:rsid w:val="00CA7023"/>
    <w:rsid w:val="00CB3E03"/>
    <w:rsid w:val="00CC27AB"/>
    <w:rsid w:val="00CC5A5B"/>
    <w:rsid w:val="00CC65BA"/>
    <w:rsid w:val="00CC6936"/>
    <w:rsid w:val="00CD4AA6"/>
    <w:rsid w:val="00CE4A8F"/>
    <w:rsid w:val="00CF6B46"/>
    <w:rsid w:val="00D036C2"/>
    <w:rsid w:val="00D14683"/>
    <w:rsid w:val="00D2031B"/>
    <w:rsid w:val="00D248B6"/>
    <w:rsid w:val="00D25FE2"/>
    <w:rsid w:val="00D26E07"/>
    <w:rsid w:val="00D35047"/>
    <w:rsid w:val="00D35BE2"/>
    <w:rsid w:val="00D36374"/>
    <w:rsid w:val="00D43252"/>
    <w:rsid w:val="00D46641"/>
    <w:rsid w:val="00D47EEA"/>
    <w:rsid w:val="00D52637"/>
    <w:rsid w:val="00D773DF"/>
    <w:rsid w:val="00D82D07"/>
    <w:rsid w:val="00D83295"/>
    <w:rsid w:val="00D95303"/>
    <w:rsid w:val="00D95714"/>
    <w:rsid w:val="00D978C6"/>
    <w:rsid w:val="00DA3C1C"/>
    <w:rsid w:val="00DA596B"/>
    <w:rsid w:val="00DB2939"/>
    <w:rsid w:val="00DC0508"/>
    <w:rsid w:val="00DC2458"/>
    <w:rsid w:val="00DC6D39"/>
    <w:rsid w:val="00DE79F5"/>
    <w:rsid w:val="00E01658"/>
    <w:rsid w:val="00E046DF"/>
    <w:rsid w:val="00E140D8"/>
    <w:rsid w:val="00E17ACC"/>
    <w:rsid w:val="00E205F5"/>
    <w:rsid w:val="00E22B0C"/>
    <w:rsid w:val="00E26668"/>
    <w:rsid w:val="00E27346"/>
    <w:rsid w:val="00E3289A"/>
    <w:rsid w:val="00E329E4"/>
    <w:rsid w:val="00E40A45"/>
    <w:rsid w:val="00E523BC"/>
    <w:rsid w:val="00E560CA"/>
    <w:rsid w:val="00E56EA4"/>
    <w:rsid w:val="00E62F96"/>
    <w:rsid w:val="00E71BC8"/>
    <w:rsid w:val="00E7260F"/>
    <w:rsid w:val="00E73F5D"/>
    <w:rsid w:val="00E74331"/>
    <w:rsid w:val="00E77E4E"/>
    <w:rsid w:val="00E94403"/>
    <w:rsid w:val="00E96630"/>
    <w:rsid w:val="00E978FA"/>
    <w:rsid w:val="00EA2A77"/>
    <w:rsid w:val="00EC0D83"/>
    <w:rsid w:val="00ED7A2A"/>
    <w:rsid w:val="00EE60D3"/>
    <w:rsid w:val="00EE726A"/>
    <w:rsid w:val="00EE7A9E"/>
    <w:rsid w:val="00EF1D7F"/>
    <w:rsid w:val="00F07024"/>
    <w:rsid w:val="00F072E9"/>
    <w:rsid w:val="00F16B31"/>
    <w:rsid w:val="00F214F0"/>
    <w:rsid w:val="00F21FE5"/>
    <w:rsid w:val="00F2549C"/>
    <w:rsid w:val="00F27E35"/>
    <w:rsid w:val="00F30D68"/>
    <w:rsid w:val="00F31E5F"/>
    <w:rsid w:val="00F457AA"/>
    <w:rsid w:val="00F53261"/>
    <w:rsid w:val="00F6100A"/>
    <w:rsid w:val="00F81E8E"/>
    <w:rsid w:val="00F87CD6"/>
    <w:rsid w:val="00F9290D"/>
    <w:rsid w:val="00F93781"/>
    <w:rsid w:val="00FB613B"/>
    <w:rsid w:val="00FC1B26"/>
    <w:rsid w:val="00FC68B7"/>
    <w:rsid w:val="00FD3F98"/>
    <w:rsid w:val="00FD5B03"/>
    <w:rsid w:val="00FE0C30"/>
    <w:rsid w:val="00FE0CF0"/>
    <w:rsid w:val="00FE106A"/>
    <w:rsid w:val="00FE7450"/>
    <w:rsid w:val="00FF145D"/>
    <w:rsid w:val="00FF3AB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115EA871"/>
  <w15:docId w15:val="{36339A51-724C-4026-A271-38E5761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  <w:ind w:left="0" w:firstLine="0"/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D14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4683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link w:val="paraChar"/>
    <w:rsid w:val="000E3BC5"/>
    <w:pPr>
      <w:suppressAutoHyphens w:val="0"/>
      <w:spacing w:after="120"/>
      <w:ind w:left="2268" w:right="1134" w:hanging="1134"/>
      <w:jc w:val="both"/>
    </w:pPr>
    <w:rPr>
      <w:snapToGrid w:val="0"/>
      <w:lang w:val="fr-FR"/>
    </w:rPr>
  </w:style>
  <w:style w:type="character" w:customStyle="1" w:styleId="paraChar">
    <w:name w:val="para Char"/>
    <w:link w:val="para"/>
    <w:rsid w:val="000E3BC5"/>
    <w:rPr>
      <w:snapToGrid w:val="0"/>
      <w:lang w:val="fr-FR" w:eastAsia="en-US"/>
    </w:rPr>
  </w:style>
  <w:style w:type="character" w:customStyle="1" w:styleId="HChGChar">
    <w:name w:val="_ H _Ch_G Char"/>
    <w:link w:val="HChG"/>
    <w:rsid w:val="000E3BC5"/>
    <w:rPr>
      <w:b/>
      <w:sz w:val="28"/>
      <w:lang w:eastAsia="en-US"/>
    </w:rPr>
  </w:style>
  <w:style w:type="paragraph" w:customStyle="1" w:styleId="Default">
    <w:name w:val="Default"/>
    <w:rsid w:val="00F81E8E"/>
    <w:pPr>
      <w:autoSpaceDE w:val="0"/>
      <w:autoSpaceDN w:val="0"/>
      <w:adjustRightInd w:val="0"/>
    </w:pPr>
    <w:rPr>
      <w:color w:val="000000"/>
      <w:sz w:val="24"/>
      <w:szCs w:val="24"/>
      <w:lang w:val="nl-NL" w:eastAsia="zh-CN"/>
    </w:rPr>
  </w:style>
  <w:style w:type="character" w:customStyle="1" w:styleId="HeaderChar">
    <w:name w:val="Header Char"/>
    <w:aliases w:val="6_G Char"/>
    <w:link w:val="Header"/>
    <w:uiPriority w:val="99"/>
    <w:rsid w:val="00C750B3"/>
    <w:rPr>
      <w:b/>
      <w:sz w:val="18"/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02E91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F792-68C5-4F3F-9023-12E688B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5</TotalTime>
  <Pages>2</Pages>
  <Words>558</Words>
  <Characters>2935</Characters>
  <Application>Microsoft Office Word</Application>
  <DocSecurity>0</DocSecurity>
  <Lines>91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1716683</vt:lpstr>
      <vt:lpstr>United Nations</vt:lpstr>
      <vt:lpstr>United Nations</vt:lpstr>
    </vt:vector>
  </TitlesOfParts>
  <Company>CSD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1716683</dc:title>
  <dc:subject>ECE/TRANS/WP.29/GRSP/2017/27</dc:subject>
  <dc:creator>Gianotti</dc:creator>
  <cp:lastModifiedBy>Edoardo Gianotti</cp:lastModifiedBy>
  <cp:revision>4</cp:revision>
  <cp:lastPrinted>2017-09-19T08:06:00Z</cp:lastPrinted>
  <dcterms:created xsi:type="dcterms:W3CDTF">2019-05-09T09:05:00Z</dcterms:created>
  <dcterms:modified xsi:type="dcterms:W3CDTF">2019-05-09T12:27:00Z</dcterms:modified>
</cp:coreProperties>
</file>