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2717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27173B" w:rsidP="0027173B">
            <w:pPr>
              <w:jc w:val="right"/>
            </w:pPr>
            <w:r w:rsidRPr="0027173B">
              <w:rPr>
                <w:sz w:val="40"/>
              </w:rPr>
              <w:t>ECE</w:t>
            </w:r>
            <w:r>
              <w:t>/TRANS/WP.29/GRSP/2018/33</w:t>
            </w:r>
          </w:p>
        </w:tc>
      </w:tr>
      <w:tr w:rsidR="002D5AAC" w:rsidRPr="0027173B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7173B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27173B" w:rsidRDefault="0027173B" w:rsidP="0027173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27 September 2018</w:t>
            </w:r>
          </w:p>
          <w:p w:rsidR="0027173B" w:rsidRDefault="0027173B" w:rsidP="0027173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27173B" w:rsidRPr="008D53B6" w:rsidRDefault="0027173B" w:rsidP="0027173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27173B" w:rsidRPr="0027173B" w:rsidRDefault="0027173B" w:rsidP="0027173B">
      <w:pPr>
        <w:spacing w:before="120"/>
        <w:rPr>
          <w:sz w:val="28"/>
          <w:szCs w:val="28"/>
        </w:rPr>
      </w:pPr>
      <w:r w:rsidRPr="0027173B">
        <w:rPr>
          <w:sz w:val="28"/>
          <w:szCs w:val="28"/>
        </w:rPr>
        <w:t>Комитет по внутреннему транспорту</w:t>
      </w:r>
    </w:p>
    <w:p w:rsidR="0027173B" w:rsidRPr="000162A7" w:rsidRDefault="0027173B" w:rsidP="0027173B">
      <w:pPr>
        <w:spacing w:before="120"/>
        <w:rPr>
          <w:b/>
          <w:sz w:val="24"/>
          <w:szCs w:val="24"/>
        </w:rPr>
      </w:pPr>
      <w:r w:rsidRPr="000162A7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0162A7">
        <w:rPr>
          <w:b/>
          <w:bCs/>
          <w:sz w:val="24"/>
          <w:szCs w:val="24"/>
        </w:rPr>
        <w:t>в области транспортных средств</w:t>
      </w:r>
    </w:p>
    <w:p w:rsidR="0027173B" w:rsidRPr="00C41C29" w:rsidRDefault="0027173B" w:rsidP="0027173B">
      <w:pPr>
        <w:spacing w:before="120"/>
        <w:rPr>
          <w:b/>
          <w:szCs w:val="20"/>
        </w:rPr>
      </w:pPr>
      <w:r w:rsidRPr="00C41C29">
        <w:rPr>
          <w:b/>
          <w:bCs/>
          <w:szCs w:val="20"/>
        </w:rPr>
        <w:t>Рабочая группа по пассивной безопасности</w:t>
      </w:r>
    </w:p>
    <w:p w:rsidR="0027173B" w:rsidRPr="00C41C29" w:rsidRDefault="0027173B" w:rsidP="0027173B">
      <w:pPr>
        <w:spacing w:before="120"/>
        <w:rPr>
          <w:b/>
          <w:szCs w:val="20"/>
        </w:rPr>
      </w:pPr>
      <w:r w:rsidRPr="00C41C29">
        <w:rPr>
          <w:b/>
          <w:bCs/>
          <w:szCs w:val="20"/>
        </w:rPr>
        <w:t>Шестьдесят четвертая сессия</w:t>
      </w:r>
    </w:p>
    <w:p w:rsidR="0027173B" w:rsidRPr="00C41C29" w:rsidRDefault="0027173B" w:rsidP="0027173B">
      <w:pPr>
        <w:rPr>
          <w:szCs w:val="20"/>
        </w:rPr>
      </w:pPr>
      <w:r w:rsidRPr="00C41C29">
        <w:rPr>
          <w:szCs w:val="20"/>
        </w:rPr>
        <w:t>Женева, 11–14 декабря 2018 года</w:t>
      </w:r>
    </w:p>
    <w:p w:rsidR="0027173B" w:rsidRPr="00C41C29" w:rsidRDefault="0027173B" w:rsidP="0027173B">
      <w:pPr>
        <w:rPr>
          <w:szCs w:val="20"/>
        </w:rPr>
      </w:pPr>
      <w:r w:rsidRPr="00C41C29">
        <w:rPr>
          <w:szCs w:val="20"/>
        </w:rPr>
        <w:t>Пункт 19 предварительной повестки дня</w:t>
      </w:r>
    </w:p>
    <w:p w:rsidR="0027173B" w:rsidRPr="00C41C29" w:rsidRDefault="0027173B" w:rsidP="0027173B">
      <w:pPr>
        <w:suppressAutoHyphens w:val="0"/>
        <w:spacing w:line="240" w:lineRule="auto"/>
        <w:rPr>
          <w:szCs w:val="20"/>
        </w:rPr>
      </w:pPr>
      <w:r w:rsidRPr="00C41C29">
        <w:rPr>
          <w:b/>
          <w:bCs/>
          <w:szCs w:val="20"/>
        </w:rPr>
        <w:t xml:space="preserve">Правила № 129 ООН (усовершенствованные </w:t>
      </w:r>
      <w:r w:rsidRPr="00C41C29">
        <w:rPr>
          <w:b/>
          <w:bCs/>
          <w:szCs w:val="20"/>
        </w:rPr>
        <w:br/>
        <w:t>детские удерживающие системы)</w:t>
      </w:r>
    </w:p>
    <w:p w:rsidR="0027173B" w:rsidRPr="000162A7" w:rsidRDefault="0027173B" w:rsidP="0027173B">
      <w:pPr>
        <w:pStyle w:val="HChGR"/>
      </w:pPr>
      <w:r>
        <w:tab/>
      </w:r>
      <w:r>
        <w:tab/>
      </w:r>
      <w:r w:rsidRPr="000162A7">
        <w:t>Предложение по допо</w:t>
      </w:r>
      <w:r>
        <w:t>лнению 2 к поправкам серии 03 к </w:t>
      </w:r>
      <w:r w:rsidRPr="000162A7">
        <w:t>Правилам № 129 ООН (усовершенствованные детские удерживающие системы)</w:t>
      </w:r>
    </w:p>
    <w:p w:rsidR="0027173B" w:rsidRPr="000162A7" w:rsidRDefault="0027173B" w:rsidP="0027173B">
      <w:pPr>
        <w:pStyle w:val="H1GR"/>
      </w:pPr>
      <w:r w:rsidRPr="000162A7">
        <w:tab/>
      </w:r>
      <w:r w:rsidRPr="000162A7">
        <w:tab/>
        <w:t>Представлено экспертом от Нидерландов</w:t>
      </w:r>
      <w:r w:rsidRPr="0027173B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27173B" w:rsidRDefault="0027173B" w:rsidP="0027173B">
      <w:pPr>
        <w:pStyle w:val="SingleTxtGR"/>
      </w:pPr>
      <w:r>
        <w:tab/>
      </w:r>
      <w:r w:rsidRPr="000162A7">
        <w:t xml:space="preserve">Воспроизведенный ниже текст был подготовлен экспертом от Нидерландов для </w:t>
      </w:r>
      <w:r>
        <w:t>обеспечения надлежащего официально разрешенного использования съемных вставок</w:t>
      </w:r>
      <w:r w:rsidRPr="000162A7">
        <w:t xml:space="preserve"> в </w:t>
      </w:r>
      <w:r>
        <w:t xml:space="preserve">рамках </w:t>
      </w:r>
      <w:r w:rsidRPr="000162A7">
        <w:t>Правил № 129 ООН. Изменения к существующему тексту Правил ООН выделены жирным шрифтом в случае новых элементов и зачеркиванием в случае исключенных элементов.</w:t>
      </w:r>
    </w:p>
    <w:p w:rsidR="0027173B" w:rsidRDefault="0027173B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:rsidR="0027173B" w:rsidRPr="0027173B" w:rsidRDefault="0027173B" w:rsidP="0027173B">
      <w:pPr>
        <w:pStyle w:val="HChGR"/>
      </w:pPr>
      <w:r>
        <w:lastRenderedPageBreak/>
        <w:tab/>
      </w:r>
      <w:r w:rsidRPr="0027173B">
        <w:t>I.</w:t>
      </w:r>
      <w:r w:rsidRPr="0027173B">
        <w:tab/>
        <w:t>Предложение</w:t>
      </w:r>
    </w:p>
    <w:p w:rsidR="0027173B" w:rsidRPr="0027173B" w:rsidRDefault="0027173B" w:rsidP="0027173B">
      <w:pPr>
        <w:pStyle w:val="SingleTxtGR"/>
      </w:pPr>
      <w:r w:rsidRPr="0027173B">
        <w:rPr>
          <w:i/>
          <w:iCs/>
        </w:rPr>
        <w:t>Включить новый пункт 2.62</w:t>
      </w:r>
      <w:r w:rsidRPr="0027173B">
        <w:t xml:space="preserve"> следующего содержания:</w:t>
      </w:r>
    </w:p>
    <w:p w:rsidR="0027173B" w:rsidRPr="0027173B" w:rsidRDefault="0027173B" w:rsidP="0027173B">
      <w:pPr>
        <w:pStyle w:val="SingleTxtGR"/>
        <w:tabs>
          <w:tab w:val="clear" w:pos="1701"/>
        </w:tabs>
        <w:ind w:left="2268" w:hanging="1134"/>
        <w:rPr>
          <w:b/>
        </w:rPr>
      </w:pPr>
      <w:r w:rsidRPr="0027173B">
        <w:rPr>
          <w:bCs/>
        </w:rPr>
        <w:t>«</w:t>
      </w:r>
      <w:r w:rsidRPr="0027173B">
        <w:rPr>
          <w:b/>
          <w:bCs/>
        </w:rPr>
        <w:t>2.62</w:t>
      </w:r>
      <w:r w:rsidRPr="0027173B">
        <w:tab/>
      </w:r>
      <w:r w:rsidRPr="0027173B">
        <w:rPr>
          <w:b/>
          <w:bCs/>
        </w:rPr>
        <w:t>"Вставка" означает составную часть УДУС, обеспечивающую дополнительную поддержку ребенку и являющуюся неотъемлемым элементом, который необходим для соблюдения всех требований в отношении полного заявленного ростового диапазона либо его части</w:t>
      </w:r>
      <w:r w:rsidRPr="0027173B">
        <w:rPr>
          <w:bCs/>
        </w:rPr>
        <w:t>».</w:t>
      </w:r>
      <w:r w:rsidRPr="0027173B">
        <w:t xml:space="preserve"> </w:t>
      </w:r>
    </w:p>
    <w:p w:rsidR="0027173B" w:rsidRPr="0027173B" w:rsidRDefault="0027173B" w:rsidP="0027173B">
      <w:pPr>
        <w:pStyle w:val="SingleTxtGR"/>
      </w:pPr>
      <w:r w:rsidRPr="0027173B">
        <w:rPr>
          <w:i/>
          <w:iCs/>
        </w:rPr>
        <w:t>Пункт 4.9</w:t>
      </w:r>
      <w:r w:rsidRPr="0027173B">
        <w:t xml:space="preserve"> изменить следующим образом:</w:t>
      </w:r>
    </w:p>
    <w:p w:rsidR="0027173B" w:rsidRPr="0027173B" w:rsidRDefault="0027173B" w:rsidP="0027173B">
      <w:pPr>
        <w:pStyle w:val="SingleTxtGR"/>
        <w:tabs>
          <w:tab w:val="clear" w:pos="1701"/>
        </w:tabs>
        <w:ind w:left="2268" w:hanging="1134"/>
        <w:rPr>
          <w:b/>
        </w:rPr>
      </w:pPr>
      <w:r>
        <w:t>«</w:t>
      </w:r>
      <w:r w:rsidRPr="0027173B">
        <w:t>4.9</w:t>
      </w:r>
      <w:r w:rsidRPr="0027173B">
        <w:tab/>
        <w:t xml:space="preserve">На противоударном экране, который не крепится стационарно к сиденью, </w:t>
      </w:r>
      <w:r w:rsidRPr="0027173B">
        <w:rPr>
          <w:b/>
          <w:bCs/>
        </w:rPr>
        <w:t>и на съемной вставке</w:t>
      </w:r>
      <w:r w:rsidRPr="0027173B">
        <w:t xml:space="preserve"> должна быть прочно прикреплена этикетка с указанием марки и модели усовершенствованной детской удерживающей системы, к которой он относится, а также диапазон размеров. Минимальные размеры наклейки должны составлять 40 x 40 мм либо соответствовать эквивалентной площади</w:t>
      </w:r>
      <w:r>
        <w:t>»</w:t>
      </w:r>
      <w:r w:rsidRPr="0027173B">
        <w:t xml:space="preserve">. </w:t>
      </w:r>
    </w:p>
    <w:p w:rsidR="0027173B" w:rsidRPr="0027173B" w:rsidRDefault="0027173B" w:rsidP="0027173B">
      <w:pPr>
        <w:pStyle w:val="SingleTxtGR"/>
      </w:pPr>
      <w:r w:rsidRPr="0027173B">
        <w:rPr>
          <w:i/>
          <w:iCs/>
        </w:rPr>
        <w:t>Пункт 6.2.1.1</w:t>
      </w:r>
      <w:r w:rsidRPr="0027173B">
        <w:t xml:space="preserve"> изменить следующим образом:</w:t>
      </w:r>
    </w:p>
    <w:p w:rsidR="0027173B" w:rsidRPr="0027173B" w:rsidRDefault="0027173B" w:rsidP="0027173B">
      <w:pPr>
        <w:pStyle w:val="SingleTxtGR"/>
        <w:tabs>
          <w:tab w:val="clear" w:pos="1701"/>
        </w:tabs>
        <w:ind w:left="2268" w:hanging="1134"/>
      </w:pPr>
      <w:r>
        <w:t>«</w:t>
      </w:r>
      <w:r w:rsidRPr="0027173B">
        <w:t>6.2.1.1</w:t>
      </w:r>
      <w:r w:rsidRPr="0027173B">
        <w:tab/>
        <w:t>удерживающее ребенка устройство обеспечивало необходимую защиту при любой допустимой установке усовершенствованной детской удерживающей системы.</w:t>
      </w:r>
    </w:p>
    <w:p w:rsidR="0027173B" w:rsidRPr="0027173B" w:rsidRDefault="0027173B" w:rsidP="0027173B">
      <w:pPr>
        <w:pStyle w:val="SingleTxtGR"/>
        <w:tabs>
          <w:tab w:val="clear" w:pos="1701"/>
        </w:tabs>
        <w:ind w:left="2268" w:hanging="1134"/>
        <w:rPr>
          <w:b/>
        </w:rPr>
      </w:pPr>
      <w:r>
        <w:rPr>
          <w:b/>
          <w:bCs/>
        </w:rPr>
        <w:tab/>
      </w:r>
      <w:r w:rsidRPr="0027173B">
        <w:rPr>
          <w:b/>
          <w:bCs/>
        </w:rPr>
        <w:t>В случае усовершенствованных детских удерживающих систем, в которых используются съемные вставки, для соблюдения требований в отношении заявленного ростового диапазона соответствующая вставка должна быть единой и цельной, при этом сборная конструкция из неско</w:t>
      </w:r>
      <w:r>
        <w:rPr>
          <w:b/>
          <w:bCs/>
        </w:rPr>
        <w:t>льких частей не допускается [не </w:t>
      </w:r>
      <w:r w:rsidRPr="0027173B">
        <w:rPr>
          <w:b/>
          <w:bCs/>
        </w:rPr>
        <w:t>разрешены капсульные конструкции со вставками].</w:t>
      </w:r>
      <w:r w:rsidRPr="0027173B">
        <w:t xml:space="preserve"> </w:t>
      </w:r>
    </w:p>
    <w:p w:rsidR="0027173B" w:rsidRPr="0027173B" w:rsidRDefault="0027173B" w:rsidP="0027173B">
      <w:pPr>
        <w:pStyle w:val="SingleTxtGR"/>
        <w:tabs>
          <w:tab w:val="clear" w:pos="1701"/>
        </w:tabs>
        <w:ind w:left="2268" w:hanging="1134"/>
      </w:pPr>
      <w:r>
        <w:tab/>
      </w:r>
      <w:r w:rsidRPr="0027173B">
        <w:t>В случае «специальных удерживающих устройств» основное средство удержания должно обеспечивать требуемую защиту при любой допустимой установке усовершенствованной детской удерживающей системы без использования возможных дополнительных удерживающих устройств;</w:t>
      </w:r>
      <w:r>
        <w:t>»</w:t>
      </w:r>
    </w:p>
    <w:p w:rsidR="0027173B" w:rsidRPr="0027173B" w:rsidRDefault="0027173B" w:rsidP="0027173B">
      <w:pPr>
        <w:pStyle w:val="HChGR"/>
      </w:pPr>
      <w:r w:rsidRPr="0027173B">
        <w:tab/>
        <w:t>II.</w:t>
      </w:r>
      <w:r w:rsidRPr="0027173B">
        <w:tab/>
        <w:t>Обоснование</w:t>
      </w:r>
    </w:p>
    <w:p w:rsidR="0027173B" w:rsidRPr="0027173B" w:rsidRDefault="0027173B" w:rsidP="0027173B">
      <w:pPr>
        <w:pStyle w:val="SingleTxtGR"/>
      </w:pPr>
      <w:r w:rsidRPr="0027173B">
        <w:t>1.</w:t>
      </w:r>
      <w:r w:rsidRPr="0027173B">
        <w:tab/>
        <w:t xml:space="preserve">Вставки являются важнейшим элементом усовершенствованных детских удерживающих систем (УДУС) с более широким заявленным размерным диапазоном, поскольку они имеют ключевое значение для соблюдения требований, касающихся в том числе внутренних геометрических размеров и испытаний на удар и опрокидывание. </w:t>
      </w:r>
    </w:p>
    <w:p w:rsidR="0027173B" w:rsidRPr="0027173B" w:rsidRDefault="0027173B" w:rsidP="0027173B">
      <w:pPr>
        <w:pStyle w:val="SingleTxtGR"/>
      </w:pPr>
      <w:r w:rsidRPr="0027173B">
        <w:t>2.</w:t>
      </w:r>
      <w:r w:rsidRPr="0027173B">
        <w:tab/>
        <w:t>Съемные и неидентифицируемые вставки могут стать причиной неправильного использования детской удерживающей системы и в худшем случае привести к тому, что ребенок вылетит из нее при ударе.</w:t>
      </w:r>
    </w:p>
    <w:p w:rsidR="0027173B" w:rsidRPr="0027173B" w:rsidRDefault="0027173B" w:rsidP="0027173B">
      <w:pPr>
        <w:pStyle w:val="SingleTxtGR"/>
      </w:pPr>
      <w:r w:rsidRPr="0027173B">
        <w:t>3.</w:t>
      </w:r>
      <w:r w:rsidRPr="0027173B">
        <w:tab/>
        <w:t>Тот факт, что заявленный размерный диапазон указывается только на внешнем корпусе УДУС со съемной вставкой</w:t>
      </w:r>
      <w:r w:rsidR="00A16432">
        <w:t>,</w:t>
      </w:r>
      <w:r w:rsidRPr="0027173B">
        <w:t xml:space="preserve"> может привести к ее неправильному использованию. Поэтому с точки зрения общей безопасности для потребителей правильная информация, указанная на соответствующей вставке, поможет предотвратить непредусмотренное использование УДУС потребителем, а также будет полезной при необходимости заказа новой вставки, когда прежняя</w:t>
      </w:r>
      <w:r>
        <w:t xml:space="preserve"> утеряна (или </w:t>
      </w:r>
      <w:r w:rsidRPr="0027173B">
        <w:t>пришла в негодность).</w:t>
      </w:r>
    </w:p>
    <w:p w:rsidR="0027173B" w:rsidRPr="0027173B" w:rsidRDefault="0027173B" w:rsidP="0027173B">
      <w:pPr>
        <w:pStyle w:val="SingleTxtGR"/>
      </w:pPr>
      <w:r w:rsidRPr="0027173B">
        <w:t>4.</w:t>
      </w:r>
      <w:r w:rsidRPr="0027173B">
        <w:tab/>
        <w:t>Наличие такой проблемы уже признано в случае противоударных экранов, которые не крепятся стационарно. Настоящее предложение предусматривает применение аналогичного подхода для съемных вставок; одновременно будут решены вопросы идентификации вставки и указания ростового диапазона.</w:t>
      </w:r>
    </w:p>
    <w:p w:rsidR="00E12C5F" w:rsidRDefault="0027173B" w:rsidP="0027173B">
      <w:pPr>
        <w:pStyle w:val="SingleTxtGR"/>
      </w:pPr>
      <w:r w:rsidRPr="0027173B">
        <w:lastRenderedPageBreak/>
        <w:t>5.</w:t>
      </w:r>
      <w:r w:rsidRPr="0027173B">
        <w:tab/>
        <w:t>И наконец, правило неприменения сборной конструкции (не допускаются вставка во вставке или капсульные конструкции) согласуется с принципом только одного направления движения ремня; сочетание из различных вставок, используемых одновременно, усложнило бы соблюдение этого требования. Кроме того, вставки не подвергаются каким-либо испытаниям на прочность (в отличие от других частей УДУС, от которых зависит ее удерживающая способность), а капсульная конструкция потенциально может привести к чрезмерной зависимости показателей УДУС от вставок.</w:t>
      </w:r>
    </w:p>
    <w:p w:rsidR="0027173B" w:rsidRPr="0027173B" w:rsidRDefault="0027173B" w:rsidP="0027173B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7173B" w:rsidRPr="0027173B" w:rsidSect="0027173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99A" w:rsidRPr="00A312BC" w:rsidRDefault="002A499A" w:rsidP="00A312BC"/>
  </w:endnote>
  <w:endnote w:type="continuationSeparator" w:id="0">
    <w:p w:rsidR="002A499A" w:rsidRPr="00A312BC" w:rsidRDefault="002A499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3B" w:rsidRPr="0027173B" w:rsidRDefault="0027173B">
    <w:pPr>
      <w:pStyle w:val="Footer"/>
    </w:pPr>
    <w:r w:rsidRPr="0027173B">
      <w:rPr>
        <w:b/>
        <w:sz w:val="18"/>
      </w:rPr>
      <w:fldChar w:fldCharType="begin"/>
    </w:r>
    <w:r w:rsidRPr="0027173B">
      <w:rPr>
        <w:b/>
        <w:sz w:val="18"/>
      </w:rPr>
      <w:instrText xml:space="preserve"> PAGE  \* MERGEFORMAT </w:instrText>
    </w:r>
    <w:r w:rsidRPr="0027173B">
      <w:rPr>
        <w:b/>
        <w:sz w:val="18"/>
      </w:rPr>
      <w:fldChar w:fldCharType="separate"/>
    </w:r>
    <w:r w:rsidR="00035884">
      <w:rPr>
        <w:b/>
        <w:noProof/>
        <w:sz w:val="18"/>
      </w:rPr>
      <w:t>2</w:t>
    </w:r>
    <w:r w:rsidRPr="0027173B">
      <w:rPr>
        <w:b/>
        <w:sz w:val="18"/>
      </w:rPr>
      <w:fldChar w:fldCharType="end"/>
    </w:r>
    <w:r>
      <w:rPr>
        <w:b/>
        <w:sz w:val="18"/>
      </w:rPr>
      <w:tab/>
    </w:r>
    <w:r>
      <w:t>GE.18-16017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3B" w:rsidRPr="0027173B" w:rsidRDefault="0027173B" w:rsidP="0027173B">
    <w:pPr>
      <w:pStyle w:val="Footer"/>
      <w:tabs>
        <w:tab w:val="clear" w:pos="9639"/>
        <w:tab w:val="right" w:pos="9638"/>
      </w:tabs>
      <w:rPr>
        <w:b/>
        <w:sz w:val="18"/>
      </w:rPr>
    </w:pPr>
    <w:r>
      <w:t>GE.18-16017</w:t>
    </w:r>
    <w:r>
      <w:tab/>
    </w:r>
    <w:r w:rsidRPr="0027173B">
      <w:rPr>
        <w:b/>
        <w:sz w:val="18"/>
      </w:rPr>
      <w:fldChar w:fldCharType="begin"/>
    </w:r>
    <w:r w:rsidRPr="0027173B">
      <w:rPr>
        <w:b/>
        <w:sz w:val="18"/>
      </w:rPr>
      <w:instrText xml:space="preserve"> PAGE  \* MERGEFORMAT </w:instrText>
    </w:r>
    <w:r w:rsidRPr="0027173B">
      <w:rPr>
        <w:b/>
        <w:sz w:val="18"/>
      </w:rPr>
      <w:fldChar w:fldCharType="separate"/>
    </w:r>
    <w:r w:rsidR="00035884">
      <w:rPr>
        <w:b/>
        <w:noProof/>
        <w:sz w:val="18"/>
      </w:rPr>
      <w:t>3</w:t>
    </w:r>
    <w:r w:rsidRPr="0027173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27173B" w:rsidRDefault="0027173B" w:rsidP="0027173B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</w:t>
    </w:r>
    <w:proofErr w:type="gramStart"/>
    <w:r>
      <w:t>16017  (</w:t>
    </w:r>
    <w:proofErr w:type="gramEnd"/>
    <w:r>
      <w:t>R)  221018  221018</w:t>
    </w:r>
    <w:r>
      <w:br/>
    </w:r>
    <w:r w:rsidRPr="0027173B">
      <w:rPr>
        <w:rFonts w:ascii="C39T30Lfz" w:hAnsi="C39T30Lfz"/>
        <w:kern w:val="14"/>
        <w:sz w:val="56"/>
      </w:rPr>
      <w:t></w:t>
    </w:r>
    <w:r w:rsidRPr="0027173B">
      <w:rPr>
        <w:rFonts w:ascii="C39T30Lfz" w:hAnsi="C39T30Lfz"/>
        <w:kern w:val="14"/>
        <w:sz w:val="56"/>
      </w:rPr>
      <w:t></w:t>
    </w:r>
    <w:r w:rsidRPr="0027173B">
      <w:rPr>
        <w:rFonts w:ascii="C39T30Lfz" w:hAnsi="C39T30Lfz"/>
        <w:kern w:val="14"/>
        <w:sz w:val="56"/>
      </w:rPr>
      <w:t></w:t>
    </w:r>
    <w:r w:rsidRPr="0027173B">
      <w:rPr>
        <w:rFonts w:ascii="C39T30Lfz" w:hAnsi="C39T30Lfz"/>
        <w:kern w:val="14"/>
        <w:sz w:val="56"/>
      </w:rPr>
      <w:t></w:t>
    </w:r>
    <w:r w:rsidRPr="0027173B">
      <w:rPr>
        <w:rFonts w:ascii="C39T30Lfz" w:hAnsi="C39T30Lfz"/>
        <w:kern w:val="14"/>
        <w:sz w:val="56"/>
      </w:rPr>
      <w:t></w:t>
    </w:r>
    <w:r w:rsidRPr="0027173B">
      <w:rPr>
        <w:rFonts w:ascii="C39T30Lfz" w:hAnsi="C39T30Lfz"/>
        <w:kern w:val="14"/>
        <w:sz w:val="56"/>
      </w:rPr>
      <w:t></w:t>
    </w:r>
    <w:r w:rsidRPr="0027173B">
      <w:rPr>
        <w:rFonts w:ascii="C39T30Lfz" w:hAnsi="C39T30Lfz"/>
        <w:kern w:val="14"/>
        <w:sz w:val="56"/>
      </w:rPr>
      <w:t></w:t>
    </w:r>
    <w:r w:rsidRPr="0027173B">
      <w:rPr>
        <w:rFonts w:ascii="C39T30Lfz" w:hAnsi="C39T30Lfz"/>
        <w:kern w:val="14"/>
        <w:sz w:val="56"/>
      </w:rPr>
      <w:t></w:t>
    </w:r>
    <w:r w:rsidRPr="0027173B">
      <w:rPr>
        <w:rFonts w:ascii="C39T30Lfz" w:hAnsi="C39T30Lfz"/>
        <w:kern w:val="14"/>
        <w:sz w:val="56"/>
      </w:rPr>
      <w:t></w: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SP/2018/33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P/2018/33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99A" w:rsidRPr="001075E9" w:rsidRDefault="002A499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2A499A" w:rsidRDefault="002A499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27173B" w:rsidRPr="00EC4B12" w:rsidRDefault="0027173B" w:rsidP="00D636F1">
      <w:pPr>
        <w:pStyle w:val="FootnoteText"/>
      </w:pPr>
      <w:r>
        <w:tab/>
      </w:r>
      <w:r w:rsidRPr="0027173B">
        <w:rPr>
          <w:sz w:val="20"/>
        </w:rPr>
        <w:t>*</w:t>
      </w:r>
      <w:r>
        <w:tab/>
        <w:t>В соответствии с программой работы Комитета по внутреннему транспорту на 2014−2018 годы (ECE/TRANS/240, пункт 105, и ECE/TRANS/2014/26, направление работы 02.4)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3B" w:rsidRPr="0027173B" w:rsidRDefault="00905C9C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035884">
      <w:t>ECE/TRANS/WP.29/GRSP/2018/33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73B" w:rsidRPr="0027173B" w:rsidRDefault="00905C9C" w:rsidP="0027173B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035884">
      <w:t>ECE/TRANS/WP.29/GRSP/2018/33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3152B"/>
    <w:multiLevelType w:val="hybridMultilevel"/>
    <w:tmpl w:val="4B928338"/>
    <w:lvl w:ilvl="0" w:tplc="AD1467D2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9A"/>
    <w:rsid w:val="00033EE1"/>
    <w:rsid w:val="00035884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7173B"/>
    <w:rsid w:val="002A2EFC"/>
    <w:rsid w:val="002A499A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7403"/>
    <w:rsid w:val="00407B78"/>
    <w:rsid w:val="00424203"/>
    <w:rsid w:val="00452493"/>
    <w:rsid w:val="00453318"/>
    <w:rsid w:val="00454AF2"/>
    <w:rsid w:val="00454E07"/>
    <w:rsid w:val="00472C5C"/>
    <w:rsid w:val="004E05B7"/>
    <w:rsid w:val="0050108D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5C9C"/>
    <w:rsid w:val="00906890"/>
    <w:rsid w:val="00911BE4"/>
    <w:rsid w:val="00951972"/>
    <w:rsid w:val="009608F3"/>
    <w:rsid w:val="00984A01"/>
    <w:rsid w:val="009A24AC"/>
    <w:rsid w:val="009C59D7"/>
    <w:rsid w:val="009C6FE6"/>
    <w:rsid w:val="009D7E7D"/>
    <w:rsid w:val="00A14DA8"/>
    <w:rsid w:val="00A16432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41C29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636F1"/>
    <w:rsid w:val="00D873A8"/>
    <w:rsid w:val="00D90028"/>
    <w:rsid w:val="00D90138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6CF8C1E-D21B-4D58-A105-31B851E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59D7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617A4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617A43"/>
    <w:pPr>
      <w:numPr>
        <w:numId w:val="21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617A43"/>
    <w:rPr>
      <w:sz w:val="16"/>
      <w:lang w:val="en-GB" w:eastAsia="ru-RU"/>
    </w:rPr>
  </w:style>
  <w:style w:type="character" w:styleId="FootnoteReference">
    <w:name w:val="footnote reference"/>
    <w:aliases w:val="4_GR,4_G,(Footnote Reference),-E Fußnotenzeichen,BVI fnr, BVI fnr,Footnote symbol,Footnote,Footnote Reference Superscript,SUPERS"/>
    <w:basedOn w:val="DefaultParagraphFont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984A01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R,5_G,PP"/>
    <w:basedOn w:val="Normal"/>
    <w:link w:val="FootnoteTextChar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R Char,5_G Char,PP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R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7A43"/>
    <w:rPr>
      <w:color w:val="800080" w:themeColor="followedHyperlink"/>
      <w:u w:val="none"/>
    </w:rPr>
  </w:style>
  <w:style w:type="paragraph" w:customStyle="1" w:styleId="HChG">
    <w:name w:val="_ H _Ch_G"/>
    <w:basedOn w:val="Normal"/>
    <w:next w:val="Normal"/>
    <w:link w:val="HChGChar"/>
    <w:qFormat/>
    <w:rsid w:val="0027173B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val="en-GB"/>
    </w:rPr>
  </w:style>
  <w:style w:type="paragraph" w:styleId="BlockText">
    <w:name w:val="Block Text"/>
    <w:basedOn w:val="Normal"/>
    <w:semiHidden/>
    <w:rsid w:val="0027173B"/>
    <w:pPr>
      <w:ind w:left="1440" w:right="1440"/>
    </w:pPr>
    <w:rPr>
      <w:rFonts w:eastAsia="Times New Roman" w:cs="Times New Roman"/>
      <w:szCs w:val="20"/>
      <w:lang w:val="en-GB"/>
    </w:rPr>
  </w:style>
  <w:style w:type="paragraph" w:customStyle="1" w:styleId="H1G">
    <w:name w:val="_ H_1_G"/>
    <w:basedOn w:val="Normal"/>
    <w:next w:val="Normal"/>
    <w:rsid w:val="0027173B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val="en-GB"/>
    </w:rPr>
  </w:style>
  <w:style w:type="character" w:customStyle="1" w:styleId="HChGChar">
    <w:name w:val="_ H _Ch_G Char"/>
    <w:link w:val="HChG"/>
    <w:rsid w:val="0027173B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ECE/TRANS/WP.29/GRSP/2018/33</vt:lpstr>
      <vt:lpstr>ECE/TRANS/WP.29/GRSP/2018/33</vt:lpstr>
      <vt:lpstr>A/</vt:lpstr>
    </vt:vector>
  </TitlesOfParts>
  <Company>DCM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ECE/TRANS/WP.29/GRSP/2018/33</dc:title>
  <dc:subject/>
  <dc:creator>Marina KOROTKOVA</dc:creator>
  <cp:keywords/>
  <cp:lastModifiedBy>Benedicte Boudol</cp:lastModifiedBy>
  <cp:revision>2</cp:revision>
  <cp:lastPrinted>2018-10-22T08:05:00Z</cp:lastPrinted>
  <dcterms:created xsi:type="dcterms:W3CDTF">2018-10-24T12:35:00Z</dcterms:created>
  <dcterms:modified xsi:type="dcterms:W3CDTF">2018-10-24T12:35:00Z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