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6E00E4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6E00E4" w:rsidRDefault="002D5AAC" w:rsidP="006E00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6E00E4" w:rsidRDefault="00DF71B9" w:rsidP="006E00E4">
            <w:pPr>
              <w:suppressAutoHyphens/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6E00E4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6E00E4" w:rsidRDefault="006E00E4" w:rsidP="006E00E4">
            <w:pPr>
              <w:suppressAutoHyphens/>
              <w:jc w:val="right"/>
              <w:rPr>
                <w:spacing w:val="0"/>
                <w:w w:val="100"/>
                <w:kern w:val="0"/>
              </w:rPr>
            </w:pPr>
            <w:r w:rsidRPr="006E00E4">
              <w:rPr>
                <w:spacing w:val="0"/>
                <w:w w:val="100"/>
                <w:kern w:val="0"/>
                <w:sz w:val="40"/>
              </w:rPr>
              <w:t>ECE</w:t>
            </w:r>
            <w:r w:rsidRPr="006E00E4">
              <w:rPr>
                <w:spacing w:val="0"/>
                <w:w w:val="100"/>
                <w:kern w:val="0"/>
              </w:rPr>
              <w:t>/TRANS/WP.29/GRSP/2018/20</w:t>
            </w:r>
          </w:p>
        </w:tc>
      </w:tr>
      <w:tr w:rsidR="002D5AAC" w:rsidRPr="003A5813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6E00E4" w:rsidRDefault="002E5067" w:rsidP="006E00E4">
            <w:pPr>
              <w:suppressAutoHyphens/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6E00E4">
              <w:rPr>
                <w:noProof/>
                <w:spacing w:val="0"/>
                <w:w w:val="100"/>
                <w:kern w:val="0"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6E00E4" w:rsidRDefault="008A37C8" w:rsidP="006E00E4">
            <w:pPr>
              <w:suppressAutoHyphens/>
              <w:spacing w:before="120" w:line="4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6E00E4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t xml:space="preserve">Экономический </w:t>
            </w:r>
            <w:r w:rsidRPr="006E00E4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6E00E4" w:rsidRDefault="006E00E4" w:rsidP="006E00E4">
            <w:pPr>
              <w:suppressAutoHyphens/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6E00E4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6E00E4" w:rsidRPr="006E00E4" w:rsidRDefault="006E00E4" w:rsidP="006E00E4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6E00E4">
              <w:rPr>
                <w:spacing w:val="0"/>
                <w:w w:val="100"/>
                <w:kern w:val="0"/>
                <w:lang w:val="en-US"/>
              </w:rPr>
              <w:t>1 March 2018</w:t>
            </w:r>
          </w:p>
          <w:p w:rsidR="006E00E4" w:rsidRPr="006E00E4" w:rsidRDefault="006E00E4" w:rsidP="006E00E4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6E00E4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6E00E4" w:rsidRPr="006E00E4" w:rsidRDefault="006E00E4" w:rsidP="006E00E4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6E00E4">
              <w:rPr>
                <w:spacing w:val="0"/>
                <w:w w:val="100"/>
                <w:kern w:val="0"/>
                <w:lang w:val="en-US"/>
              </w:rPr>
              <w:t>Original: English</w:t>
            </w:r>
          </w:p>
        </w:tc>
      </w:tr>
    </w:tbl>
    <w:p w:rsidR="006E00E4" w:rsidRPr="006E00E4" w:rsidRDefault="006E00E4" w:rsidP="006E00E4">
      <w:pPr>
        <w:suppressAutoHyphens/>
        <w:spacing w:before="120"/>
        <w:rPr>
          <w:b/>
          <w:bCs/>
          <w:spacing w:val="0"/>
          <w:w w:val="100"/>
          <w:kern w:val="0"/>
          <w:sz w:val="28"/>
          <w:szCs w:val="28"/>
        </w:rPr>
      </w:pPr>
      <w:r w:rsidRPr="006E00E4">
        <w:rPr>
          <w:b/>
          <w:bCs/>
          <w:spacing w:val="0"/>
          <w:w w:val="100"/>
          <w:kern w:val="0"/>
          <w:sz w:val="28"/>
          <w:szCs w:val="28"/>
        </w:rPr>
        <w:t>Европейская экономическая комиссия</w:t>
      </w:r>
    </w:p>
    <w:p w:rsidR="006E00E4" w:rsidRPr="006E00E4" w:rsidRDefault="006E00E4" w:rsidP="006E00E4">
      <w:pPr>
        <w:suppressAutoHyphens/>
        <w:spacing w:before="120"/>
        <w:rPr>
          <w:spacing w:val="0"/>
          <w:w w:val="100"/>
          <w:kern w:val="0"/>
          <w:sz w:val="28"/>
          <w:szCs w:val="28"/>
        </w:rPr>
      </w:pPr>
      <w:r w:rsidRPr="006E00E4">
        <w:rPr>
          <w:spacing w:val="0"/>
          <w:w w:val="100"/>
          <w:kern w:val="0"/>
          <w:sz w:val="28"/>
          <w:szCs w:val="28"/>
        </w:rPr>
        <w:t>Комитет по внутреннему транспорту</w:t>
      </w:r>
    </w:p>
    <w:p w:rsidR="006E00E4" w:rsidRPr="006E00E4" w:rsidRDefault="006E00E4" w:rsidP="006E00E4">
      <w:pPr>
        <w:suppressAutoHyphens/>
        <w:spacing w:before="120"/>
        <w:rPr>
          <w:b/>
          <w:bCs/>
          <w:spacing w:val="0"/>
          <w:w w:val="100"/>
          <w:kern w:val="0"/>
          <w:sz w:val="24"/>
          <w:szCs w:val="24"/>
        </w:rPr>
      </w:pPr>
      <w:r w:rsidRPr="006E00E4">
        <w:rPr>
          <w:b/>
          <w:bCs/>
          <w:spacing w:val="0"/>
          <w:w w:val="100"/>
          <w:kern w:val="0"/>
          <w:sz w:val="24"/>
          <w:szCs w:val="24"/>
        </w:rPr>
        <w:t xml:space="preserve">Всемирный форум для согласования правил </w:t>
      </w:r>
      <w:r w:rsidRPr="006E00E4">
        <w:rPr>
          <w:b/>
          <w:bCs/>
          <w:spacing w:val="0"/>
          <w:w w:val="100"/>
          <w:kern w:val="0"/>
          <w:sz w:val="24"/>
          <w:szCs w:val="24"/>
        </w:rPr>
        <w:br/>
        <w:t>в области транспортных средств</w:t>
      </w:r>
    </w:p>
    <w:p w:rsidR="006E00E4" w:rsidRPr="006E00E4" w:rsidRDefault="006E00E4" w:rsidP="006E00E4">
      <w:pPr>
        <w:suppressAutoHyphens/>
        <w:spacing w:before="120"/>
        <w:rPr>
          <w:b/>
          <w:bCs/>
          <w:spacing w:val="0"/>
          <w:w w:val="100"/>
          <w:kern w:val="0"/>
        </w:rPr>
      </w:pPr>
      <w:r w:rsidRPr="006E00E4">
        <w:rPr>
          <w:b/>
          <w:bCs/>
          <w:spacing w:val="0"/>
          <w:w w:val="100"/>
          <w:kern w:val="0"/>
        </w:rPr>
        <w:t>Рабочая группа по пассивной безопасности</w:t>
      </w:r>
    </w:p>
    <w:p w:rsidR="006E00E4" w:rsidRPr="006E00E4" w:rsidRDefault="006E00E4" w:rsidP="006E00E4">
      <w:pPr>
        <w:suppressAutoHyphens/>
        <w:spacing w:before="120"/>
        <w:rPr>
          <w:b/>
          <w:bCs/>
          <w:spacing w:val="0"/>
          <w:w w:val="100"/>
          <w:kern w:val="0"/>
        </w:rPr>
      </w:pPr>
      <w:r w:rsidRPr="006E00E4">
        <w:rPr>
          <w:b/>
          <w:bCs/>
          <w:spacing w:val="0"/>
          <w:w w:val="100"/>
          <w:kern w:val="0"/>
        </w:rPr>
        <w:t xml:space="preserve">Шестьдесят третья сессия </w:t>
      </w:r>
    </w:p>
    <w:p w:rsidR="006E00E4" w:rsidRPr="006E00E4" w:rsidRDefault="006E00E4" w:rsidP="006E00E4">
      <w:pPr>
        <w:suppressAutoHyphens/>
        <w:rPr>
          <w:spacing w:val="0"/>
          <w:w w:val="100"/>
          <w:kern w:val="0"/>
        </w:rPr>
      </w:pPr>
      <w:r w:rsidRPr="006E00E4">
        <w:rPr>
          <w:spacing w:val="0"/>
          <w:w w:val="100"/>
          <w:kern w:val="0"/>
        </w:rPr>
        <w:t>Женева, 14–18 мая 2018 года</w:t>
      </w:r>
    </w:p>
    <w:p w:rsidR="006E00E4" w:rsidRPr="006E00E4" w:rsidRDefault="006E00E4" w:rsidP="006E00E4">
      <w:pPr>
        <w:suppressAutoHyphens/>
        <w:rPr>
          <w:spacing w:val="0"/>
          <w:w w:val="100"/>
          <w:kern w:val="0"/>
        </w:rPr>
      </w:pPr>
      <w:r w:rsidRPr="006E00E4">
        <w:rPr>
          <w:spacing w:val="0"/>
          <w:w w:val="100"/>
          <w:kern w:val="0"/>
        </w:rPr>
        <w:t>Пункт 19 предварительной повестки дня</w:t>
      </w:r>
    </w:p>
    <w:p w:rsidR="006E00E4" w:rsidRPr="006E00E4" w:rsidRDefault="006E00E4" w:rsidP="006E00E4">
      <w:pPr>
        <w:suppressAutoHyphens/>
        <w:rPr>
          <w:b/>
          <w:bCs/>
          <w:spacing w:val="0"/>
          <w:w w:val="100"/>
          <w:kern w:val="0"/>
        </w:rPr>
      </w:pPr>
      <w:r w:rsidRPr="006E00E4">
        <w:rPr>
          <w:b/>
          <w:bCs/>
          <w:spacing w:val="0"/>
          <w:w w:val="100"/>
          <w:kern w:val="0"/>
        </w:rPr>
        <w:t xml:space="preserve">Правила № 129 ООН (усовершенствованные </w:t>
      </w:r>
      <w:r w:rsidRPr="006E00E4">
        <w:rPr>
          <w:b/>
          <w:bCs/>
          <w:spacing w:val="0"/>
          <w:w w:val="100"/>
          <w:kern w:val="0"/>
        </w:rPr>
        <w:br/>
        <w:t>детские удерживающие системы)</w:t>
      </w:r>
    </w:p>
    <w:p w:rsidR="006E00E4" w:rsidRPr="006E00E4" w:rsidRDefault="006E00E4" w:rsidP="006E00E4">
      <w:pPr>
        <w:pStyle w:val="HChG"/>
        <w:rPr>
          <w:bCs/>
          <w:lang w:val="ru-RU"/>
        </w:rPr>
      </w:pPr>
      <w:r w:rsidRPr="006E00E4">
        <w:rPr>
          <w:lang w:val="ru-RU"/>
        </w:rPr>
        <w:tab/>
      </w:r>
      <w:r w:rsidRPr="006E00E4">
        <w:rPr>
          <w:lang w:val="ru-RU"/>
        </w:rPr>
        <w:tab/>
        <w:t>Предложение по дополнению 5 к поправкам серии 01 к</w:t>
      </w:r>
      <w:r w:rsidRPr="006E00E4">
        <w:rPr>
          <w:lang w:val="en-US"/>
        </w:rPr>
        <w:t> </w:t>
      </w:r>
      <w:r w:rsidRPr="006E00E4">
        <w:rPr>
          <w:lang w:val="ru-RU"/>
        </w:rPr>
        <w:t>Правилам № 129 ООН</w:t>
      </w:r>
    </w:p>
    <w:p w:rsidR="006E00E4" w:rsidRPr="006E00E4" w:rsidRDefault="006E00E4" w:rsidP="006E00E4">
      <w:pPr>
        <w:pStyle w:val="H1G"/>
        <w:rPr>
          <w:lang w:val="ru-RU"/>
        </w:rPr>
      </w:pPr>
      <w:r w:rsidRPr="006E00E4">
        <w:rPr>
          <w:lang w:val="ru-RU"/>
        </w:rPr>
        <w:tab/>
      </w:r>
      <w:r w:rsidRPr="006E00E4">
        <w:rPr>
          <w:lang w:val="ru-RU"/>
        </w:rPr>
        <w:tab/>
        <w:t>Представлено экспертом от Испании</w:t>
      </w:r>
      <w:r w:rsidRPr="006E00E4">
        <w:rPr>
          <w:rStyle w:val="FootnoteReference"/>
          <w:b w:val="0"/>
          <w:sz w:val="20"/>
          <w:vertAlign w:val="baseline"/>
          <w:lang w:val="ru-RU"/>
        </w:rPr>
        <w:footnoteReference w:customMarkFollows="1" w:id="1"/>
        <w:t>*</w:t>
      </w:r>
    </w:p>
    <w:p w:rsidR="006E00E4" w:rsidRPr="006E00E4" w:rsidRDefault="006E00E4" w:rsidP="006E00E4">
      <w:pPr>
        <w:pStyle w:val="SingleTxtG"/>
        <w:rPr>
          <w:lang w:val="ru-RU"/>
        </w:rPr>
      </w:pPr>
      <w:r w:rsidRPr="006E00E4">
        <w:rPr>
          <w:lang w:val="ru-RU"/>
        </w:rPr>
        <w:tab/>
      </w:r>
      <w:r w:rsidRPr="006E00E4">
        <w:rPr>
          <w:lang w:val="ru-RU"/>
        </w:rPr>
        <w:tab/>
        <w:t>Воспроизведенный ниже текст был подготовлен экспертом от Испании по поручению Группы технических служб (ГТС) по Правилам № 129 ООН. Изменения к нынешнему тексту Правил ООН выделены жирным шрифтом в случае новых положений или зачеркиванием в случае исключенных элементов.</w:t>
      </w:r>
    </w:p>
    <w:p w:rsidR="006E00E4" w:rsidRPr="006E00E4" w:rsidRDefault="006E00E4" w:rsidP="006E00E4">
      <w:pPr>
        <w:tabs>
          <w:tab w:val="left" w:pos="1560"/>
        </w:tabs>
        <w:suppressAutoHyphens/>
        <w:ind w:left="1560" w:hanging="1560"/>
        <w:jc w:val="both"/>
        <w:rPr>
          <w:spacing w:val="0"/>
          <w:w w:val="100"/>
          <w:kern w:val="0"/>
          <w:sz w:val="24"/>
          <w:szCs w:val="24"/>
        </w:rPr>
      </w:pPr>
      <w:r w:rsidRPr="006E00E4">
        <w:rPr>
          <w:spacing w:val="0"/>
          <w:w w:val="100"/>
          <w:kern w:val="0"/>
        </w:rPr>
        <w:br w:type="page"/>
      </w:r>
    </w:p>
    <w:p w:rsidR="006E00E4" w:rsidRPr="006E00E4" w:rsidRDefault="006E00E4" w:rsidP="006E00E4">
      <w:pPr>
        <w:pStyle w:val="HChG"/>
        <w:rPr>
          <w:lang w:val="ru-RU"/>
        </w:rPr>
      </w:pPr>
      <w:r w:rsidRPr="006E00E4">
        <w:rPr>
          <w:lang w:val="ru-RU"/>
        </w:rPr>
        <w:lastRenderedPageBreak/>
        <w:tab/>
        <w:t>I.</w:t>
      </w:r>
      <w:r w:rsidRPr="006E00E4">
        <w:rPr>
          <w:lang w:val="ru-RU"/>
        </w:rPr>
        <w:tab/>
        <w:t>Предложение</w:t>
      </w:r>
    </w:p>
    <w:p w:rsidR="006E00E4" w:rsidRPr="006E00E4" w:rsidRDefault="006E00E4" w:rsidP="006E00E4">
      <w:pPr>
        <w:tabs>
          <w:tab w:val="left" w:pos="2300"/>
          <w:tab w:val="left" w:pos="2800"/>
        </w:tabs>
        <w:suppressAutoHyphens/>
        <w:spacing w:after="120"/>
        <w:ind w:left="2302" w:right="1134" w:hanging="1168"/>
        <w:jc w:val="both"/>
        <w:rPr>
          <w:i/>
          <w:spacing w:val="0"/>
          <w:w w:val="100"/>
          <w:kern w:val="0"/>
        </w:rPr>
      </w:pPr>
      <w:r w:rsidRPr="006E00E4">
        <w:rPr>
          <w:i/>
          <w:iCs/>
          <w:spacing w:val="0"/>
          <w:w w:val="100"/>
          <w:kern w:val="0"/>
        </w:rPr>
        <w:t>Пункт 6.6.4.4.1.1</w:t>
      </w:r>
      <w:r w:rsidRPr="006E00E4">
        <w:rPr>
          <w:spacing w:val="0"/>
          <w:w w:val="100"/>
          <w:kern w:val="0"/>
        </w:rPr>
        <w:t xml:space="preserve"> изменить следующим образом:</w:t>
      </w:r>
    </w:p>
    <w:p w:rsidR="006E00E4" w:rsidRPr="006E00E4" w:rsidRDefault="003A5813" w:rsidP="006E00E4">
      <w:pPr>
        <w:pStyle w:val="SingleTxtG"/>
        <w:ind w:left="2268" w:hanging="1134"/>
        <w:rPr>
          <w:lang w:val="ru-RU"/>
        </w:rPr>
      </w:pPr>
      <w:r>
        <w:rPr>
          <w:lang w:val="ru-RU"/>
        </w:rPr>
        <w:t>«6.6.4.4.1.1</w:t>
      </w:r>
      <w:r>
        <w:rPr>
          <w:lang w:val="ru-RU"/>
        </w:rPr>
        <w:tab/>
      </w:r>
      <w:r w:rsidR="006E00E4" w:rsidRPr="006E00E4">
        <w:rPr>
          <w:lang w:val="ru-RU"/>
        </w:rPr>
        <w:t xml:space="preserve">Усовершенствованные детские удерживающие системы, установленные по направлению движения </w:t>
      </w:r>
    </w:p>
    <w:p w:rsidR="006E00E4" w:rsidRPr="006E00E4" w:rsidRDefault="006E00E4" w:rsidP="006E00E4">
      <w:pPr>
        <w:pStyle w:val="SingleTxtG"/>
        <w:ind w:left="2268"/>
        <w:rPr>
          <w:lang w:val="ru-RU"/>
        </w:rPr>
      </w:pPr>
      <w:r w:rsidRPr="006E00E4">
        <w:rPr>
          <w:lang w:val="ru-RU"/>
        </w:rPr>
        <w:t xml:space="preserve">Перемещение головы: никакая часть головы манекена не должна выступать за пределы плоскостей BA, DA и DE, показанных на рис. 1 ниже. </w:t>
      </w:r>
    </w:p>
    <w:p w:rsidR="006E00E4" w:rsidRPr="006E00E4" w:rsidRDefault="006E00E4" w:rsidP="006E00E4">
      <w:pPr>
        <w:pStyle w:val="SingleTxtG"/>
        <w:ind w:left="2268"/>
        <w:rPr>
          <w:lang w:val="ru-RU"/>
        </w:rPr>
      </w:pPr>
      <w:r w:rsidRPr="006E00E4">
        <w:rPr>
          <w:lang w:val="ru-RU"/>
        </w:rPr>
        <w:t xml:space="preserve">Этот момент определяют по результатам проверки с точностью до 300 мс или в момент окончательного возращения манекена в неподвижное состояние в зависимости от того, что происходит раньше. </w:t>
      </w:r>
    </w:p>
    <w:p w:rsidR="006E00E4" w:rsidRPr="006E00E4" w:rsidRDefault="006E00E4" w:rsidP="006E00E4">
      <w:pPr>
        <w:pStyle w:val="SingleTxtG"/>
        <w:ind w:left="2268"/>
        <w:rPr>
          <w:lang w:val="ru-RU"/>
        </w:rPr>
      </w:pPr>
      <w:r w:rsidRPr="006E00E4">
        <w:rPr>
          <w:b/>
          <w:bCs/>
          <w:lang w:val="ru-RU"/>
        </w:rPr>
        <w:t>В случае всех усовершенствованных детских удерживающих систем, установленных по направлению движения, голова манекена может выступать за пределы плоскости DE, если часть конструкции детского удерживающего устройства позади головы манекена, а именно</w:t>
      </w:r>
      <w:r w:rsidR="00543C06">
        <w:rPr>
          <w:b/>
          <w:bCs/>
          <w:lang w:val="ru-RU"/>
        </w:rPr>
        <w:t xml:space="preserve"> подушка или опора для головы</w:t>
      </w:r>
      <w:r w:rsidRPr="006E00E4">
        <w:rPr>
          <w:b/>
          <w:bCs/>
          <w:lang w:val="ru-RU"/>
        </w:rPr>
        <w:t xml:space="preserve"> находится в том месте, где голова пересекает плоскость DE</w:t>
      </w:r>
      <w:r w:rsidRPr="006E00E4">
        <w:rPr>
          <w:lang w:val="ru-RU"/>
        </w:rPr>
        <w:t>».</w:t>
      </w:r>
    </w:p>
    <w:p w:rsidR="006E00E4" w:rsidRPr="006E00E4" w:rsidRDefault="006E00E4" w:rsidP="006E00E4">
      <w:pPr>
        <w:pStyle w:val="HChG"/>
        <w:ind w:left="0" w:firstLine="0"/>
        <w:rPr>
          <w:lang w:val="ru-RU"/>
        </w:rPr>
      </w:pPr>
      <w:r w:rsidRPr="006E00E4">
        <w:rPr>
          <w:lang w:val="ru-RU"/>
        </w:rPr>
        <w:tab/>
        <w:t>II.</w:t>
      </w:r>
      <w:r w:rsidRPr="006E00E4">
        <w:rPr>
          <w:lang w:val="ru-RU"/>
        </w:rPr>
        <w:tab/>
        <w:t>Обоснование</w:t>
      </w:r>
    </w:p>
    <w:p w:rsidR="006E00E4" w:rsidRPr="006E00E4" w:rsidRDefault="006E00E4" w:rsidP="006E00E4">
      <w:pPr>
        <w:pStyle w:val="SingleTxtG"/>
        <w:rPr>
          <w:rFonts w:eastAsia="MS Mincho"/>
          <w:lang w:val="ru-RU"/>
        </w:rPr>
      </w:pPr>
      <w:r w:rsidRPr="006E00E4">
        <w:rPr>
          <w:lang w:val="ru-RU"/>
        </w:rPr>
        <w:t>1.</w:t>
      </w:r>
      <w:r w:rsidRPr="006E00E4">
        <w:rPr>
          <w:lang w:val="ru-RU"/>
        </w:rPr>
        <w:tab/>
        <w:t xml:space="preserve">В Правилах № 44 ООН оценка плоскости DE применяется только к детским удерживающим системам (ДУС), установленным против направления движения. Оценка плоскости DE остается актуальной и для установленных против направления движения детских удерживающих устройств в Правилах № 129 ООН. </w:t>
      </w:r>
    </w:p>
    <w:p w:rsidR="006E00E4" w:rsidRPr="006E00E4" w:rsidRDefault="006E00E4" w:rsidP="006E00E4">
      <w:pPr>
        <w:pStyle w:val="SingleTxtG"/>
        <w:rPr>
          <w:rFonts w:eastAsia="MS Mincho"/>
          <w:lang w:val="ru-RU"/>
        </w:rPr>
      </w:pPr>
      <w:r w:rsidRPr="006E00E4">
        <w:rPr>
          <w:lang w:val="ru-RU"/>
        </w:rPr>
        <w:t>2.</w:t>
      </w:r>
      <w:r w:rsidRPr="006E00E4">
        <w:rPr>
          <w:lang w:val="ru-RU"/>
        </w:rPr>
        <w:tab/>
        <w:t>Использование более жесткого пенопласта для испытательного сиденья и соответствующей конструкции манекена может привести к тому, что при испытаниях детских удерживающих устройств, установленных по направлению движения (включая бустерные сиденья), голова манекена зачастую пересекает плоскость DE. Нет доказательств того, что в ходе испытания на удар манекены серии Q отвечают требованиям биодостоверности в фазе отскока.</w:t>
      </w:r>
    </w:p>
    <w:p w:rsidR="006E00E4" w:rsidRPr="006E00E4" w:rsidRDefault="006E00E4" w:rsidP="006E00E4">
      <w:pPr>
        <w:pStyle w:val="SingleTxtG"/>
        <w:rPr>
          <w:rFonts w:eastAsia="MS Mincho"/>
          <w:lang w:val="ru-RU"/>
        </w:rPr>
      </w:pPr>
      <w:r w:rsidRPr="006E00E4">
        <w:rPr>
          <w:lang w:val="ru-RU"/>
        </w:rPr>
        <w:t>3.</w:t>
      </w:r>
      <w:r w:rsidRPr="006E00E4">
        <w:rPr>
          <w:lang w:val="ru-RU"/>
        </w:rPr>
        <w:tab/>
        <w:t>В случае установленных по направлению движения детских удерживающих устройств часть конструкции детского удерживающего устройства позади головы манекена (либо подушка, либо опора для головы) зачастую находится в том месте, где голова пересекает плоскость DE. Характеристики поглощения энергии устройства должны быть проверены с использованием метода испытания, описанного в Правилах</w:t>
      </w:r>
      <w:r w:rsidR="00543C06">
        <w:rPr>
          <w:lang w:val="en-US"/>
        </w:rPr>
        <w:t> </w:t>
      </w:r>
      <w:r w:rsidRPr="006E00E4">
        <w:rPr>
          <w:lang w:val="ru-RU"/>
        </w:rPr>
        <w:t>№ 129 ООН, с тем чтобы такая конструкция обеспечивала защиту головы ребенка.</w:t>
      </w:r>
    </w:p>
    <w:p w:rsidR="006E00E4" w:rsidRPr="006E00E4" w:rsidRDefault="006E00E4" w:rsidP="006E00E4">
      <w:pPr>
        <w:pStyle w:val="SingleTxtG"/>
        <w:rPr>
          <w:rFonts w:eastAsia="MS Mincho"/>
          <w:lang w:val="ru-RU"/>
        </w:rPr>
      </w:pPr>
      <w:r w:rsidRPr="006E00E4">
        <w:rPr>
          <w:lang w:val="ru-RU"/>
        </w:rPr>
        <w:t>4.</w:t>
      </w:r>
      <w:r w:rsidRPr="006E00E4">
        <w:rPr>
          <w:lang w:val="ru-RU"/>
        </w:rPr>
        <w:tab/>
        <w:t>Исходя из этого, нет необходимости в оценке плоскости DE для установленных по направлению движения детских удерживающих устройств, часть конструкции которых оказывается позади головы манекена.</w:t>
      </w:r>
    </w:p>
    <w:p w:rsidR="00E12C5F" w:rsidRPr="006E00E4" w:rsidRDefault="006E00E4" w:rsidP="006E00E4">
      <w:pPr>
        <w:pStyle w:val="SingleTxtGR"/>
        <w:suppressAutoHyphens/>
        <w:spacing w:before="240" w:after="0"/>
        <w:jc w:val="center"/>
        <w:rPr>
          <w:rFonts w:eastAsia="MS Mincho"/>
          <w:spacing w:val="0"/>
          <w:w w:val="100"/>
          <w:kern w:val="0"/>
          <w:u w:val="single"/>
        </w:rPr>
      </w:pPr>
      <w:r w:rsidRPr="006E00E4">
        <w:rPr>
          <w:rFonts w:eastAsia="MS Mincho"/>
          <w:spacing w:val="0"/>
          <w:w w:val="100"/>
          <w:kern w:val="0"/>
          <w:u w:val="single"/>
        </w:rPr>
        <w:tab/>
      </w:r>
      <w:r w:rsidRPr="006E00E4">
        <w:rPr>
          <w:rFonts w:eastAsia="MS Mincho"/>
          <w:spacing w:val="0"/>
          <w:w w:val="100"/>
          <w:kern w:val="0"/>
          <w:u w:val="single"/>
        </w:rPr>
        <w:tab/>
      </w:r>
      <w:r w:rsidRPr="006E00E4">
        <w:rPr>
          <w:rFonts w:eastAsia="MS Mincho"/>
          <w:spacing w:val="0"/>
          <w:w w:val="100"/>
          <w:kern w:val="0"/>
          <w:u w:val="single"/>
        </w:rPr>
        <w:tab/>
      </w:r>
    </w:p>
    <w:sectPr w:rsidR="00E12C5F" w:rsidRPr="006E00E4" w:rsidSect="006E00E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67B" w:rsidRPr="00A312BC" w:rsidRDefault="0035267B" w:rsidP="00A312BC"/>
  </w:endnote>
  <w:endnote w:type="continuationSeparator" w:id="0">
    <w:p w:rsidR="0035267B" w:rsidRPr="00A312BC" w:rsidRDefault="0035267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0E4" w:rsidRPr="006E00E4" w:rsidRDefault="006E00E4">
    <w:pPr>
      <w:pStyle w:val="Footer"/>
    </w:pPr>
    <w:r w:rsidRPr="006E00E4">
      <w:rPr>
        <w:b/>
        <w:sz w:val="18"/>
      </w:rPr>
      <w:fldChar w:fldCharType="begin"/>
    </w:r>
    <w:r w:rsidRPr="006E00E4">
      <w:rPr>
        <w:b/>
        <w:sz w:val="18"/>
      </w:rPr>
      <w:instrText xml:space="preserve"> PAGE  \* MERGEFORMAT </w:instrText>
    </w:r>
    <w:r w:rsidRPr="006E00E4">
      <w:rPr>
        <w:b/>
        <w:sz w:val="18"/>
      </w:rPr>
      <w:fldChar w:fldCharType="separate"/>
    </w:r>
    <w:r w:rsidR="005D6848">
      <w:rPr>
        <w:b/>
        <w:noProof/>
        <w:sz w:val="18"/>
      </w:rPr>
      <w:t>2</w:t>
    </w:r>
    <w:r w:rsidRPr="006E00E4">
      <w:rPr>
        <w:b/>
        <w:sz w:val="18"/>
      </w:rPr>
      <w:fldChar w:fldCharType="end"/>
    </w:r>
    <w:r>
      <w:rPr>
        <w:b/>
        <w:sz w:val="18"/>
      </w:rPr>
      <w:tab/>
    </w:r>
    <w:r>
      <w:t>GE.18-03205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0E4" w:rsidRPr="006E00E4" w:rsidRDefault="006E00E4" w:rsidP="006E00E4">
    <w:pPr>
      <w:pStyle w:val="Footer"/>
      <w:tabs>
        <w:tab w:val="clear" w:pos="9639"/>
        <w:tab w:val="right" w:pos="9638"/>
      </w:tabs>
      <w:rPr>
        <w:b/>
        <w:sz w:val="18"/>
      </w:rPr>
    </w:pPr>
    <w:r>
      <w:t>GE.18-03205</w:t>
    </w:r>
    <w:r>
      <w:tab/>
    </w:r>
    <w:r w:rsidRPr="006E00E4">
      <w:rPr>
        <w:b/>
        <w:sz w:val="18"/>
      </w:rPr>
      <w:fldChar w:fldCharType="begin"/>
    </w:r>
    <w:r w:rsidRPr="006E00E4">
      <w:rPr>
        <w:b/>
        <w:sz w:val="18"/>
      </w:rPr>
      <w:instrText xml:space="preserve"> PAGE  \* MERGEFORMAT </w:instrText>
    </w:r>
    <w:r w:rsidRPr="006E00E4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6E00E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6E00E4" w:rsidRDefault="006E00E4" w:rsidP="006E00E4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18-03205  (R)</w:t>
    </w:r>
    <w:r w:rsidR="00543C06">
      <w:rPr>
        <w:lang w:val="en-US"/>
      </w:rPr>
      <w:t xml:space="preserve">  120318  130318</w:t>
    </w:r>
    <w:r>
      <w:br/>
    </w:r>
    <w:r w:rsidRPr="006E00E4">
      <w:rPr>
        <w:rFonts w:ascii="C39T30Lfz" w:hAnsi="C39T30Lfz"/>
        <w:spacing w:val="0"/>
        <w:w w:val="100"/>
        <w:sz w:val="56"/>
      </w:rPr>
      <w:t></w:t>
    </w:r>
    <w:r w:rsidRPr="006E00E4">
      <w:rPr>
        <w:rFonts w:ascii="C39T30Lfz" w:hAnsi="C39T30Lfz"/>
        <w:spacing w:val="0"/>
        <w:w w:val="100"/>
        <w:sz w:val="56"/>
      </w:rPr>
      <w:t></w:t>
    </w:r>
    <w:r w:rsidRPr="006E00E4">
      <w:rPr>
        <w:rFonts w:ascii="C39T30Lfz" w:hAnsi="C39T30Lfz"/>
        <w:spacing w:val="0"/>
        <w:w w:val="100"/>
        <w:sz w:val="56"/>
      </w:rPr>
      <w:t></w:t>
    </w:r>
    <w:r w:rsidRPr="006E00E4">
      <w:rPr>
        <w:rFonts w:ascii="C39T30Lfz" w:hAnsi="C39T30Lfz"/>
        <w:spacing w:val="0"/>
        <w:w w:val="100"/>
        <w:sz w:val="56"/>
      </w:rPr>
      <w:t></w:t>
    </w:r>
    <w:r w:rsidRPr="006E00E4">
      <w:rPr>
        <w:rFonts w:ascii="C39T30Lfz" w:hAnsi="C39T30Lfz"/>
        <w:spacing w:val="0"/>
        <w:w w:val="100"/>
        <w:sz w:val="56"/>
      </w:rPr>
      <w:t></w:t>
    </w:r>
    <w:r w:rsidRPr="006E00E4">
      <w:rPr>
        <w:rFonts w:ascii="C39T30Lfz" w:hAnsi="C39T30Lfz"/>
        <w:spacing w:val="0"/>
        <w:w w:val="100"/>
        <w:sz w:val="56"/>
      </w:rPr>
      <w:t></w:t>
    </w:r>
    <w:r w:rsidRPr="006E00E4">
      <w:rPr>
        <w:rFonts w:ascii="C39T30Lfz" w:hAnsi="C39T30Lfz"/>
        <w:spacing w:val="0"/>
        <w:w w:val="100"/>
        <w:sz w:val="56"/>
      </w:rPr>
      <w:t></w:t>
    </w:r>
    <w:r w:rsidRPr="006E00E4">
      <w:rPr>
        <w:rFonts w:ascii="C39T30Lfz" w:hAnsi="C39T30Lfz"/>
        <w:spacing w:val="0"/>
        <w:w w:val="100"/>
        <w:sz w:val="56"/>
      </w:rPr>
      <w:t></w:t>
    </w:r>
    <w:r w:rsidRPr="006E00E4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SP/2018/20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8/20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67B" w:rsidRPr="001075E9" w:rsidRDefault="0035267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5267B" w:rsidRDefault="0035267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6E00E4" w:rsidRPr="006E00E4" w:rsidRDefault="006E00E4" w:rsidP="006E00E4">
      <w:pPr>
        <w:pStyle w:val="FootnoteText"/>
        <w:rPr>
          <w:spacing w:val="0"/>
          <w:w w:val="100"/>
          <w:kern w:val="0"/>
        </w:rPr>
      </w:pPr>
      <w:r w:rsidRPr="006E00E4">
        <w:rPr>
          <w:spacing w:val="0"/>
          <w:w w:val="100"/>
          <w:kern w:val="0"/>
          <w:lang w:val="ru-RU"/>
        </w:rPr>
        <w:tab/>
        <w:t>*</w:t>
      </w:r>
      <w:r w:rsidRPr="006E00E4">
        <w:rPr>
          <w:spacing w:val="0"/>
          <w:w w:val="100"/>
          <w:kern w:val="0"/>
          <w:lang w:val="ru-RU"/>
        </w:rPr>
        <w:tab/>
        <w:t>В соответствии с программой работы Комитета по внутреннему транспорту на 2014−2018 годы (ECE/TRANS/240, пункт 105, и ECE/TRANS/2014/26, направление работы 02.4)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0E4" w:rsidRPr="006E00E4" w:rsidRDefault="005D6848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35220C">
      <w:t>ECE/TRANS/WP.29/GRSP/2018/20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0E4" w:rsidRPr="006E00E4" w:rsidRDefault="005D6848" w:rsidP="006E00E4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35220C">
      <w:t>ECE/TRANS/WP.29/GRSP/2018/20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7B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5220C"/>
    <w:rsid w:val="0035267B"/>
    <w:rsid w:val="00381C24"/>
    <w:rsid w:val="00387CD4"/>
    <w:rsid w:val="003958D0"/>
    <w:rsid w:val="003A0D43"/>
    <w:rsid w:val="003A48CE"/>
    <w:rsid w:val="003A5813"/>
    <w:rsid w:val="003B00E5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3081"/>
    <w:rsid w:val="00517901"/>
    <w:rsid w:val="00526683"/>
    <w:rsid w:val="00543C06"/>
    <w:rsid w:val="005639C1"/>
    <w:rsid w:val="005709E0"/>
    <w:rsid w:val="00572E19"/>
    <w:rsid w:val="005961C8"/>
    <w:rsid w:val="005966F1"/>
    <w:rsid w:val="005D6848"/>
    <w:rsid w:val="005D7914"/>
    <w:rsid w:val="005E2B41"/>
    <w:rsid w:val="005F0B42"/>
    <w:rsid w:val="006345DB"/>
    <w:rsid w:val="00640F49"/>
    <w:rsid w:val="00677362"/>
    <w:rsid w:val="00680D03"/>
    <w:rsid w:val="00681A10"/>
    <w:rsid w:val="006A1ED8"/>
    <w:rsid w:val="006C2031"/>
    <w:rsid w:val="006D461A"/>
    <w:rsid w:val="006E00E4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6FE6"/>
    <w:rsid w:val="009D7E7D"/>
    <w:rsid w:val="00A14DA8"/>
    <w:rsid w:val="00A312BC"/>
    <w:rsid w:val="00A84021"/>
    <w:rsid w:val="00A84D35"/>
    <w:rsid w:val="00A917B3"/>
    <w:rsid w:val="00A92085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70B7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77EC7E5-7814-40F1-9C06-CF04C37D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,(Footnote Reference),-E Fußnotenzeichen,BVI fnr, BVI fnr,Footnote symbol,Footnote,Footnote Reference Superscript,SUPERS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customStyle="1" w:styleId="HChG">
    <w:name w:val="_ H _Ch_G"/>
    <w:basedOn w:val="Normal"/>
    <w:next w:val="Normal"/>
    <w:link w:val="HChGChar"/>
    <w:qFormat/>
    <w:rsid w:val="006E00E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8"/>
      <w:szCs w:val="20"/>
      <w:lang w:val="en-GB" w:eastAsia="en-US"/>
    </w:rPr>
  </w:style>
  <w:style w:type="character" w:customStyle="1" w:styleId="SingleTxtGChar">
    <w:name w:val="_ Single Txt_G Char"/>
    <w:basedOn w:val="DefaultParagraphFont"/>
    <w:link w:val="SingleTxtG"/>
    <w:qFormat/>
    <w:rsid w:val="006E00E4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6E00E4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6E00E4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4"/>
      <w:szCs w:val="20"/>
      <w:lang w:val="en-GB" w:eastAsia="en-US"/>
    </w:rPr>
  </w:style>
  <w:style w:type="character" w:customStyle="1" w:styleId="HChGChar">
    <w:name w:val="_ H _Ch_G Char"/>
    <w:link w:val="HChG"/>
    <w:rsid w:val="006E00E4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ECE/TRANS/WP.29/GRSP/2018/20</vt:lpstr>
      <vt:lpstr>ECE/TRANS/WP.29/GRSP/2018/20</vt:lpstr>
      <vt:lpstr>A/</vt:lpstr>
    </vt:vector>
  </TitlesOfParts>
  <Company>DCM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ECE/TRANS/WP.29/GRSP/2018/20</dc:title>
  <dc:subject/>
  <dc:creator>Tatiana SHARKINA</dc:creator>
  <cp:keywords/>
  <cp:lastModifiedBy>Benedicte Boudol</cp:lastModifiedBy>
  <cp:revision>2</cp:revision>
  <cp:lastPrinted>2018-03-13T10:51:00Z</cp:lastPrinted>
  <dcterms:created xsi:type="dcterms:W3CDTF">2018-03-21T09:14:00Z</dcterms:created>
  <dcterms:modified xsi:type="dcterms:W3CDTF">2018-03-21T09:14:00Z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