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:rsidR="00F35BAF" w:rsidRPr="00DB58B5" w:rsidRDefault="00F35BAF" w:rsidP="00B83285"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F35BAF" w:rsidRPr="00DB58B5" w:rsidRDefault="00B83285" w:rsidP="00B83285">
            <w:pPr>
              <w:jc w:val="right"/>
            </w:pPr>
            <w:r w:rsidRPr="00B83285">
              <w:rPr>
                <w:sz w:val="40"/>
              </w:rPr>
              <w:t>ECE</w:t>
            </w:r>
            <w:r>
              <w:t>/TRANS/WP.29/GRSP/2018/19</w:t>
            </w:r>
          </w:p>
        </w:tc>
      </w:tr>
      <w:tr w:rsidR="00F35BAF" w:rsidRPr="00DB58B5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5DD7C114" wp14:editId="39170DA2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F35BAF" w:rsidRDefault="00B83285" w:rsidP="00C97039">
            <w:pPr>
              <w:spacing w:before="240"/>
            </w:pPr>
            <w:r>
              <w:t>Distr. générale</w:t>
            </w:r>
          </w:p>
          <w:p w:rsidR="00B83285" w:rsidRDefault="00B83285" w:rsidP="00B83285">
            <w:pPr>
              <w:spacing w:line="240" w:lineRule="exact"/>
            </w:pPr>
            <w:r>
              <w:t>1</w:t>
            </w:r>
            <w:r w:rsidRPr="00DF0811">
              <w:rPr>
                <w:vertAlign w:val="superscript"/>
              </w:rPr>
              <w:t>er</w:t>
            </w:r>
            <w:r>
              <w:t xml:space="preserve"> mars 2018</w:t>
            </w:r>
          </w:p>
          <w:p w:rsidR="00B83285" w:rsidRDefault="00B83285" w:rsidP="00B83285">
            <w:pPr>
              <w:spacing w:line="240" w:lineRule="exact"/>
            </w:pPr>
            <w:r>
              <w:t>Français</w:t>
            </w:r>
          </w:p>
          <w:p w:rsidR="00B83285" w:rsidRPr="00DB58B5" w:rsidRDefault="00B83285" w:rsidP="00B83285">
            <w:pPr>
              <w:spacing w:line="240" w:lineRule="exact"/>
            </w:pPr>
            <w:r>
              <w:t>Original : anglais</w:t>
            </w:r>
          </w:p>
        </w:tc>
      </w:tr>
    </w:tbl>
    <w:p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</w:t>
      </w:r>
      <w:r w:rsidR="007E0241">
        <w:rPr>
          <w:b/>
          <w:sz w:val="28"/>
          <w:szCs w:val="28"/>
        </w:rPr>
        <w:t>’</w:t>
      </w:r>
      <w:r w:rsidRPr="000312C0">
        <w:rPr>
          <w:b/>
          <w:sz w:val="28"/>
          <w:szCs w:val="28"/>
        </w:rPr>
        <w:t>Europe</w:t>
      </w:r>
    </w:p>
    <w:p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:rsidR="00D8662F" w:rsidRDefault="00D8662F" w:rsidP="00AF0CB5">
      <w:pPr>
        <w:spacing w:before="120"/>
        <w:rPr>
          <w:b/>
          <w:sz w:val="24"/>
          <w:szCs w:val="24"/>
        </w:rPr>
      </w:pPr>
      <w:r w:rsidRPr="00685843">
        <w:rPr>
          <w:b/>
          <w:sz w:val="24"/>
          <w:szCs w:val="24"/>
        </w:rPr>
        <w:t>Forum mondial de l</w:t>
      </w:r>
      <w:r w:rsidR="007E0241">
        <w:rPr>
          <w:b/>
          <w:sz w:val="24"/>
          <w:szCs w:val="24"/>
        </w:rPr>
        <w:t>’</w:t>
      </w:r>
      <w:r w:rsidRPr="00685843">
        <w:rPr>
          <w:b/>
          <w:sz w:val="24"/>
          <w:szCs w:val="24"/>
        </w:rPr>
        <w:t>harmonisation</w:t>
      </w:r>
      <w:r>
        <w:rPr>
          <w:b/>
          <w:sz w:val="24"/>
          <w:szCs w:val="24"/>
        </w:rPr>
        <w:br/>
      </w:r>
      <w:r w:rsidRPr="00685843">
        <w:rPr>
          <w:b/>
          <w:sz w:val="24"/>
          <w:szCs w:val="24"/>
        </w:rPr>
        <w:t>des Règlements</w:t>
      </w:r>
      <w:r>
        <w:rPr>
          <w:b/>
          <w:sz w:val="24"/>
          <w:szCs w:val="24"/>
        </w:rPr>
        <w:t xml:space="preserve"> </w:t>
      </w:r>
      <w:r w:rsidRPr="00685843">
        <w:rPr>
          <w:b/>
          <w:sz w:val="24"/>
          <w:szCs w:val="24"/>
        </w:rPr>
        <w:t>concernant les véhicules</w:t>
      </w:r>
    </w:p>
    <w:p w:rsidR="00D8662F" w:rsidRDefault="00D8662F" w:rsidP="00257168">
      <w:pPr>
        <w:spacing w:before="120" w:after="120" w:line="240" w:lineRule="exact"/>
        <w:rPr>
          <w:b/>
        </w:rPr>
      </w:pPr>
      <w:r>
        <w:rPr>
          <w:b/>
        </w:rPr>
        <w:t>Groupe de travail de la sécurité passive</w:t>
      </w:r>
    </w:p>
    <w:p w:rsidR="00D8662F" w:rsidRPr="001820B4" w:rsidRDefault="00D8662F" w:rsidP="00D8662F">
      <w:pPr>
        <w:spacing w:before="120"/>
        <w:rPr>
          <w:b/>
        </w:rPr>
      </w:pPr>
      <w:r>
        <w:rPr>
          <w:b/>
        </w:rPr>
        <w:t>Soixante-troisième session</w:t>
      </w:r>
    </w:p>
    <w:p w:rsidR="00D8662F" w:rsidRPr="001820B4" w:rsidRDefault="00D8662F" w:rsidP="00D8662F">
      <w:pPr>
        <w:rPr>
          <w:bCs/>
        </w:rPr>
      </w:pPr>
      <w:r>
        <w:t>Genève, 14-18 mai 2018</w:t>
      </w:r>
    </w:p>
    <w:p w:rsidR="00D8662F" w:rsidRPr="00592D56" w:rsidRDefault="00D8662F" w:rsidP="00D8662F">
      <w:pPr>
        <w:rPr>
          <w:bCs/>
        </w:rPr>
      </w:pPr>
      <w:r>
        <w:t>Point 19 de l</w:t>
      </w:r>
      <w:r w:rsidR="007E0241">
        <w:t>’</w:t>
      </w:r>
      <w:r>
        <w:t>ordre du jour provisoire</w:t>
      </w:r>
    </w:p>
    <w:p w:rsidR="00D8662F" w:rsidRDefault="00D8662F" w:rsidP="00D8662F">
      <w:pPr>
        <w:spacing w:line="240" w:lineRule="exact"/>
      </w:pPr>
      <w:r>
        <w:rPr>
          <w:b/>
          <w:bCs/>
        </w:rPr>
        <w:t xml:space="preserve">Règlement </w:t>
      </w:r>
      <w:r w:rsidRPr="004E3705">
        <w:rPr>
          <w:rFonts w:eastAsia="MS Mincho"/>
          <w:b/>
          <w:bCs/>
        </w:rPr>
        <w:t>n</w:t>
      </w:r>
      <w:r w:rsidRPr="004E3705">
        <w:rPr>
          <w:rFonts w:eastAsia="MS Mincho"/>
          <w:b/>
          <w:bCs/>
          <w:vertAlign w:val="superscript"/>
        </w:rPr>
        <w:t>o</w:t>
      </w:r>
      <w:r>
        <w:rPr>
          <w:b/>
          <w:bCs/>
        </w:rPr>
        <w:t> 129 (Dispositifs améliorés de retenue pour enfants)</w:t>
      </w:r>
    </w:p>
    <w:p w:rsidR="00D8662F" w:rsidRPr="00592D56" w:rsidRDefault="00D8662F" w:rsidP="00D8662F">
      <w:pPr>
        <w:pStyle w:val="HChG"/>
        <w:rPr>
          <w:bCs/>
        </w:rPr>
      </w:pPr>
      <w:r>
        <w:tab/>
      </w:r>
      <w:r>
        <w:tab/>
      </w:r>
      <w:r w:rsidRPr="00D8662F">
        <w:t>Proposition</w:t>
      </w:r>
      <w:r>
        <w:t xml:space="preserve"> de complément 8 à la série 00 d</w:t>
      </w:r>
      <w:r w:rsidR="007E0241">
        <w:t>’</w:t>
      </w:r>
      <w:r>
        <w:t xml:space="preserve">amendements au Règlement </w:t>
      </w:r>
      <w:r>
        <w:rPr>
          <w:rFonts w:eastAsia="MS Mincho"/>
        </w:rPr>
        <w:t>n</w:t>
      </w:r>
      <w:r>
        <w:rPr>
          <w:rFonts w:eastAsia="MS Mincho"/>
          <w:vertAlign w:val="superscript"/>
        </w:rPr>
        <w:t>o</w:t>
      </w:r>
      <w:r>
        <w:t> 129</w:t>
      </w:r>
    </w:p>
    <w:p w:rsidR="00D8662F" w:rsidRPr="00D8662F" w:rsidRDefault="00D8662F" w:rsidP="00D8662F">
      <w:pPr>
        <w:pStyle w:val="H1G"/>
        <w:rPr>
          <w:rStyle w:val="FootnoteReference"/>
          <w:b w:val="0"/>
          <w:sz w:val="20"/>
          <w:vertAlign w:val="baseline"/>
        </w:rPr>
      </w:pPr>
      <w:r w:rsidRPr="004E3705">
        <w:tab/>
      </w:r>
      <w:r w:rsidRPr="004E3705">
        <w:tab/>
        <w:t>Communication de l</w:t>
      </w:r>
      <w:r w:rsidR="007E0241">
        <w:t>’</w:t>
      </w:r>
      <w:r w:rsidRPr="004E3705">
        <w:t xml:space="preserve">expert de </w:t>
      </w:r>
      <w:r>
        <w:t>l</w:t>
      </w:r>
      <w:r w:rsidR="007E0241">
        <w:t>’</w:t>
      </w:r>
      <w:r>
        <w:t>Espagne</w:t>
      </w:r>
      <w:r w:rsidRPr="00D8662F">
        <w:rPr>
          <w:rStyle w:val="FootnoteReference"/>
          <w:b w:val="0"/>
          <w:sz w:val="20"/>
          <w:vertAlign w:val="baseline"/>
        </w:rPr>
        <w:footnoteReference w:customMarkFollows="1" w:id="2"/>
        <w:t>*</w:t>
      </w:r>
    </w:p>
    <w:p w:rsidR="00F9573C" w:rsidRDefault="00D8662F" w:rsidP="00D8662F">
      <w:pPr>
        <w:pStyle w:val="SingleTxtG"/>
        <w:ind w:firstLine="567"/>
      </w:pPr>
      <w:r>
        <w:t>Le texte reproduit ci-après a été établi par l</w:t>
      </w:r>
      <w:r w:rsidR="007E0241">
        <w:t>’</w:t>
      </w:r>
      <w:r>
        <w:t>expert de l</w:t>
      </w:r>
      <w:r w:rsidR="007E0241">
        <w:t>’</w:t>
      </w:r>
      <w:r>
        <w:t xml:space="preserve">Espagne au nom du Groupe des services techniques du Règlement </w:t>
      </w:r>
      <w:r>
        <w:rPr>
          <w:rFonts w:eastAsia="MS Mincho"/>
        </w:rPr>
        <w:t>n</w:t>
      </w:r>
      <w:r>
        <w:rPr>
          <w:rFonts w:eastAsia="MS Mincho"/>
          <w:vertAlign w:val="superscript"/>
        </w:rPr>
        <w:t>o</w:t>
      </w:r>
      <w:r>
        <w:t> 129. Les modifications qu</w:t>
      </w:r>
      <w:r w:rsidR="007E0241">
        <w:t>’</w:t>
      </w:r>
      <w:r>
        <w:t>il est proposé d</w:t>
      </w:r>
      <w:r w:rsidR="007E0241">
        <w:t>’</w:t>
      </w:r>
      <w:r>
        <w:t xml:space="preserve">apporter au texte actuel du Règlement </w:t>
      </w:r>
      <w:r>
        <w:rPr>
          <w:rFonts w:eastAsia="MS Mincho"/>
        </w:rPr>
        <w:t>n</w:t>
      </w:r>
      <w:r>
        <w:rPr>
          <w:rFonts w:eastAsia="MS Mincho"/>
          <w:vertAlign w:val="superscript"/>
        </w:rPr>
        <w:t>o</w:t>
      </w:r>
      <w:r>
        <w:t> 129 sont signalées en caractères gras pour les ajouts ou biffés pour les suppressions.</w:t>
      </w:r>
    </w:p>
    <w:p w:rsidR="0074582B" w:rsidRPr="0074582B" w:rsidRDefault="00D8662F" w:rsidP="0074582B">
      <w:pPr>
        <w:pStyle w:val="HChG"/>
      </w:pPr>
      <w:r>
        <w:br w:type="page"/>
      </w:r>
      <w:r w:rsidR="0074582B">
        <w:lastRenderedPageBreak/>
        <w:tab/>
      </w:r>
      <w:r w:rsidR="0074582B">
        <w:rPr>
          <w:snapToGrid w:val="0"/>
        </w:rPr>
        <w:t>I.</w:t>
      </w:r>
      <w:r w:rsidR="0074582B">
        <w:rPr>
          <w:snapToGrid w:val="0"/>
        </w:rPr>
        <w:tab/>
        <w:t>Proposition</w:t>
      </w:r>
    </w:p>
    <w:p w:rsidR="0074582B" w:rsidRDefault="0074582B" w:rsidP="0074582B">
      <w:pPr>
        <w:pStyle w:val="SingleTxtG"/>
      </w:pPr>
      <w:r>
        <w:rPr>
          <w:i/>
        </w:rPr>
        <w:t>Paragraphe 6.6.4.4.1.1</w:t>
      </w:r>
      <w:r>
        <w:t>, modifier comme suit :</w:t>
      </w:r>
    </w:p>
    <w:p w:rsidR="0074582B" w:rsidRDefault="0074582B" w:rsidP="0074582B">
      <w:pPr>
        <w:pStyle w:val="SingleTxtG"/>
        <w:ind w:left="2268" w:hanging="1134"/>
      </w:pPr>
      <w:r>
        <w:t>« 6.6.4.4.1.1</w:t>
      </w:r>
      <w:r>
        <w:tab/>
        <w:t>Dispositifs améliorés de retenue pour enfants</w:t>
      </w:r>
    </w:p>
    <w:p w:rsidR="0074582B" w:rsidRDefault="0074582B" w:rsidP="0074582B">
      <w:pPr>
        <w:pStyle w:val="SingleTxtG"/>
        <w:ind w:left="2268"/>
      </w:pPr>
      <w:r>
        <w:tab/>
        <w:t>Déplacement de la tête : aucune partie de la tête du mannequin ne doit franchir les plans BA, DA ou DE, tels qu</w:t>
      </w:r>
      <w:r w:rsidR="007E0241">
        <w:t>’</w:t>
      </w:r>
      <w:r>
        <w:t>ils sont définis à la figure 1 ci</w:t>
      </w:r>
      <w:r>
        <w:noBreakHyphen/>
        <w:t>dessous.</w:t>
      </w:r>
    </w:p>
    <w:p w:rsidR="0074582B" w:rsidRDefault="0074582B" w:rsidP="0074582B">
      <w:pPr>
        <w:pStyle w:val="SingleTxtG"/>
        <w:ind w:left="2268"/>
      </w:pPr>
      <w:r>
        <w:tab/>
        <w:t>Cette constatation doit intervenir dans les 300</w:t>
      </w:r>
      <w:r w:rsidR="00AC502D">
        <w:t> </w:t>
      </w:r>
      <w:r>
        <w:t>ms qui suivent le choc ou lorsque le mannequin s</w:t>
      </w:r>
      <w:r w:rsidR="007E0241">
        <w:t>’</w:t>
      </w:r>
      <w:r>
        <w:t>immobilise définitivement, si cette immobilisation survient avant.</w:t>
      </w:r>
    </w:p>
    <w:p w:rsidR="0074582B" w:rsidRPr="00AC502D" w:rsidRDefault="0074582B" w:rsidP="00AC502D">
      <w:pPr>
        <w:pStyle w:val="SingleTxtG"/>
        <w:ind w:left="2268"/>
      </w:pPr>
      <w:r>
        <w:tab/>
      </w:r>
      <w:r>
        <w:rPr>
          <w:b/>
        </w:rPr>
        <w:t>Sur tous les dispositifs améliorés de retenue pour enfants faisant</w:t>
      </w:r>
      <w:r w:rsidR="00AC502D">
        <w:rPr>
          <w:b/>
        </w:rPr>
        <w:t xml:space="preserve"> face vers l</w:t>
      </w:r>
      <w:r w:rsidR="007E0241">
        <w:rPr>
          <w:b/>
        </w:rPr>
        <w:t>’</w:t>
      </w:r>
      <w:r w:rsidR="00AC502D">
        <w:rPr>
          <w:b/>
        </w:rPr>
        <w:t xml:space="preserve">avant, la tête du </w:t>
      </w:r>
      <w:r>
        <w:rPr>
          <w:b/>
        </w:rPr>
        <w:t>mannequin peut franchir le plan DE si une partie du dispositif de retenue, c</w:t>
      </w:r>
      <w:r w:rsidR="007E0241">
        <w:rPr>
          <w:b/>
        </w:rPr>
        <w:t>’</w:t>
      </w:r>
      <w:r>
        <w:rPr>
          <w:b/>
        </w:rPr>
        <w:t>est-à-dire le repose-tête ou le dossier, derrière la tête du mannequin, se trouve à l</w:t>
      </w:r>
      <w:r w:rsidR="007E0241">
        <w:rPr>
          <w:b/>
        </w:rPr>
        <w:t>’</w:t>
      </w:r>
      <w:r>
        <w:rPr>
          <w:b/>
        </w:rPr>
        <w:t xml:space="preserve">endroit où la tête franchit ledit </w:t>
      </w:r>
      <w:r>
        <w:rPr>
          <w:b/>
        </w:rPr>
        <w:tab/>
        <w:t>plan</w:t>
      </w:r>
      <w:r w:rsidRPr="00AC502D">
        <w:t>.</w:t>
      </w:r>
      <w:r w:rsidR="00AC502D">
        <w:t> </w:t>
      </w:r>
      <w:r w:rsidRPr="00AC502D">
        <w:t>».</w:t>
      </w:r>
    </w:p>
    <w:p w:rsidR="0074582B" w:rsidRDefault="00AC502D" w:rsidP="00AC502D">
      <w:pPr>
        <w:pStyle w:val="HChG"/>
      </w:pPr>
      <w:r>
        <w:tab/>
      </w:r>
      <w:r w:rsidR="0074582B">
        <w:t>II.</w:t>
      </w:r>
      <w:r w:rsidR="0074582B">
        <w:tab/>
        <w:t>Justification</w:t>
      </w:r>
    </w:p>
    <w:p w:rsidR="0074582B" w:rsidRDefault="0074582B" w:rsidP="00AC502D">
      <w:pPr>
        <w:pStyle w:val="SingleTxtG"/>
      </w:pPr>
      <w:r>
        <w:t>1.</w:t>
      </w:r>
      <w:r>
        <w:tab/>
        <w:t>L</w:t>
      </w:r>
      <w:r w:rsidR="007E0241">
        <w:t>’</w:t>
      </w:r>
      <w:r>
        <w:t>évaluation du franchissement du plan DE s</w:t>
      </w:r>
      <w:r w:rsidR="007E0241">
        <w:t>’</w:t>
      </w:r>
      <w:r>
        <w:t>applique avant tout aux dispositifs de retenue pour enfants faisant face vers l</w:t>
      </w:r>
      <w:r w:rsidR="007E0241">
        <w:t>’</w:t>
      </w:r>
      <w:r>
        <w:t xml:space="preserve">arrière visés dans le Règlement </w:t>
      </w:r>
      <w:r w:rsidR="0057105A" w:rsidRPr="002D76F4">
        <w:rPr>
          <w:rFonts w:eastAsia="MS Mincho"/>
          <w:szCs w:val="22"/>
        </w:rPr>
        <w:t>n</w:t>
      </w:r>
      <w:r w:rsidR="0057105A" w:rsidRPr="002D76F4">
        <w:rPr>
          <w:rFonts w:eastAsia="MS Mincho"/>
          <w:szCs w:val="22"/>
          <w:vertAlign w:val="superscript"/>
        </w:rPr>
        <w:t>o</w:t>
      </w:r>
      <w:r w:rsidR="0057105A">
        <w:t> </w:t>
      </w:r>
      <w:r>
        <w:t xml:space="preserve">44, mais aussi à ceux visés dans le Règlement </w:t>
      </w:r>
      <w:r w:rsidR="000B568F" w:rsidRPr="002D76F4">
        <w:rPr>
          <w:rFonts w:eastAsia="MS Mincho"/>
          <w:szCs w:val="22"/>
        </w:rPr>
        <w:t>n</w:t>
      </w:r>
      <w:r w:rsidR="000B568F" w:rsidRPr="002D76F4">
        <w:rPr>
          <w:rFonts w:eastAsia="MS Mincho"/>
          <w:szCs w:val="22"/>
          <w:vertAlign w:val="superscript"/>
        </w:rPr>
        <w:t>o</w:t>
      </w:r>
      <w:r w:rsidR="000B568F">
        <w:t> </w:t>
      </w:r>
      <w:r>
        <w:t>129.</w:t>
      </w:r>
    </w:p>
    <w:p w:rsidR="0074582B" w:rsidRDefault="0074582B" w:rsidP="00AC502D">
      <w:pPr>
        <w:pStyle w:val="SingleTxtG"/>
      </w:pPr>
      <w:r>
        <w:t>2.</w:t>
      </w:r>
      <w:r>
        <w:tab/>
        <w:t>L</w:t>
      </w:r>
      <w:r w:rsidR="007E0241">
        <w:t>’</w:t>
      </w:r>
      <w:r>
        <w:t>utilisation d</w:t>
      </w:r>
      <w:r w:rsidR="007E0241">
        <w:t>’</w:t>
      </w:r>
      <w:r>
        <w:t>un siège ou d</w:t>
      </w:r>
      <w:r w:rsidR="007E0241">
        <w:t>’</w:t>
      </w:r>
      <w:r>
        <w:t>une banquette en mousse plus ferme et la conception du mannequin font que, lors des essais des dispositifs de retenue pour enfants faisant face vers l</w:t>
      </w:r>
      <w:r w:rsidR="007E0241">
        <w:t>’</w:t>
      </w:r>
      <w:r>
        <w:t>avant (y</w:t>
      </w:r>
      <w:r w:rsidR="000B568F">
        <w:t> </w:t>
      </w:r>
      <w:r>
        <w:t>compris les rehausseurs), la tête du mannequin franchit souvent le plan DE. Il n</w:t>
      </w:r>
      <w:r w:rsidR="007E0241">
        <w:t>’</w:t>
      </w:r>
      <w:r>
        <w:t>existe pas de preuve que les mannequins de la série Q se comportent de façon biocompatible pendant la phase de rebond de l</w:t>
      </w:r>
      <w:r w:rsidR="007E0241">
        <w:t>’</w:t>
      </w:r>
      <w:r>
        <w:t>essai de choc.</w:t>
      </w:r>
    </w:p>
    <w:p w:rsidR="0074582B" w:rsidRDefault="0074582B" w:rsidP="00AC502D">
      <w:pPr>
        <w:pStyle w:val="SingleTxtG"/>
      </w:pPr>
      <w:r>
        <w:t>3.</w:t>
      </w:r>
      <w:r>
        <w:tab/>
        <w:t>Sur les dispositifs de retenue pour enfants faisant face vers l</w:t>
      </w:r>
      <w:r w:rsidR="007E0241">
        <w:t>’</w:t>
      </w:r>
      <w:r>
        <w:t>avant, il arrive souvent qu</w:t>
      </w:r>
      <w:r w:rsidR="007E0241">
        <w:t>’</w:t>
      </w:r>
      <w:r>
        <w:t>une partie du dispositif (repose-tête ou dossier), derrière la tête du mannequin, se trouve à l</w:t>
      </w:r>
      <w:r w:rsidR="007E0241">
        <w:t>’</w:t>
      </w:r>
      <w:r>
        <w:t>endroit où la tête franchit le plan DE. Les propriétés d</w:t>
      </w:r>
      <w:r w:rsidR="007E0241">
        <w:t>’</w:t>
      </w:r>
      <w:r>
        <w:t>absorption de l</w:t>
      </w:r>
      <w:r w:rsidR="007E0241">
        <w:t>’</w:t>
      </w:r>
      <w:r>
        <w:t>énergie du dispositif devront avoir été éprouvées en utilisant la méthode d</w:t>
      </w:r>
      <w:r w:rsidR="007E0241">
        <w:t>’</w:t>
      </w:r>
      <w:r>
        <w:t xml:space="preserve">essai décrite dans le Règlement </w:t>
      </w:r>
      <w:r w:rsidR="000B568F" w:rsidRPr="002D76F4">
        <w:rPr>
          <w:rFonts w:eastAsia="MS Mincho"/>
          <w:szCs w:val="22"/>
        </w:rPr>
        <w:t>n</w:t>
      </w:r>
      <w:r w:rsidR="000B568F" w:rsidRPr="002D76F4">
        <w:rPr>
          <w:rFonts w:eastAsia="MS Mincho"/>
          <w:szCs w:val="22"/>
          <w:vertAlign w:val="superscript"/>
        </w:rPr>
        <w:t>o</w:t>
      </w:r>
      <w:r w:rsidR="000B568F">
        <w:t> </w:t>
      </w:r>
      <w:r>
        <w:t>129, de façon que la structure protège la tête de l</w:t>
      </w:r>
      <w:r w:rsidR="007E0241">
        <w:t>’</w:t>
      </w:r>
      <w:r>
        <w:t>enfant.</w:t>
      </w:r>
    </w:p>
    <w:p w:rsidR="00D8662F" w:rsidRDefault="0074582B" w:rsidP="000B568F">
      <w:pPr>
        <w:pStyle w:val="SingleTxtG"/>
      </w:pPr>
      <w:r>
        <w:t>4.</w:t>
      </w:r>
      <w:r>
        <w:tab/>
        <w:t>Il est donc inutile de savoir si la tête du mannequin franchit le plan DE sur les dispositifs faisant face vers l</w:t>
      </w:r>
      <w:r w:rsidR="007E0241">
        <w:t>’</w:t>
      </w:r>
      <w:r>
        <w:t>avant dont la structure reste derrière la tête du mannequin.</w:t>
      </w:r>
    </w:p>
    <w:p w:rsidR="007E0241" w:rsidRPr="007E0241" w:rsidRDefault="007E0241" w:rsidP="007E0241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7E0241" w:rsidRPr="007E0241" w:rsidSect="00B8328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1DE" w:rsidRDefault="00B351DE" w:rsidP="00F95C08">
      <w:pPr>
        <w:spacing w:line="240" w:lineRule="auto"/>
      </w:pPr>
    </w:p>
  </w:endnote>
  <w:endnote w:type="continuationSeparator" w:id="0">
    <w:p w:rsidR="00B351DE" w:rsidRPr="00AC3823" w:rsidRDefault="00B351DE" w:rsidP="00AC3823">
      <w:pPr>
        <w:pStyle w:val="Footer"/>
      </w:pPr>
    </w:p>
  </w:endnote>
  <w:endnote w:type="continuationNotice" w:id="1">
    <w:p w:rsidR="00B351DE" w:rsidRDefault="00B351D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285" w:rsidRPr="00B83285" w:rsidRDefault="00B83285" w:rsidP="00B83285">
    <w:pPr>
      <w:pStyle w:val="Footer"/>
      <w:tabs>
        <w:tab w:val="right" w:pos="9638"/>
      </w:tabs>
    </w:pPr>
    <w:r w:rsidRPr="00B83285">
      <w:rPr>
        <w:b/>
        <w:sz w:val="18"/>
      </w:rPr>
      <w:fldChar w:fldCharType="begin"/>
    </w:r>
    <w:r w:rsidRPr="00B83285">
      <w:rPr>
        <w:b/>
        <w:sz w:val="18"/>
      </w:rPr>
      <w:instrText xml:space="preserve"> PAGE  \* MERGEFORMAT </w:instrText>
    </w:r>
    <w:r w:rsidRPr="00B83285">
      <w:rPr>
        <w:b/>
        <w:sz w:val="18"/>
      </w:rPr>
      <w:fldChar w:fldCharType="separate"/>
    </w:r>
    <w:r w:rsidR="000003A2">
      <w:rPr>
        <w:b/>
        <w:noProof/>
        <w:sz w:val="18"/>
      </w:rPr>
      <w:t>2</w:t>
    </w:r>
    <w:r w:rsidRPr="00B83285">
      <w:rPr>
        <w:b/>
        <w:sz w:val="18"/>
      </w:rPr>
      <w:fldChar w:fldCharType="end"/>
    </w:r>
    <w:r>
      <w:rPr>
        <w:b/>
        <w:sz w:val="18"/>
      </w:rPr>
      <w:tab/>
    </w:r>
    <w:r>
      <w:t>GE.18-03194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285" w:rsidRPr="00B83285" w:rsidRDefault="00B83285" w:rsidP="00B83285">
    <w:pPr>
      <w:pStyle w:val="Footer"/>
      <w:tabs>
        <w:tab w:val="right" w:pos="9638"/>
      </w:tabs>
      <w:rPr>
        <w:b/>
        <w:sz w:val="18"/>
      </w:rPr>
    </w:pPr>
    <w:r>
      <w:t>GE.18-03194</w:t>
    </w:r>
    <w:r>
      <w:tab/>
    </w:r>
    <w:r w:rsidRPr="00B83285">
      <w:rPr>
        <w:b/>
        <w:sz w:val="18"/>
      </w:rPr>
      <w:fldChar w:fldCharType="begin"/>
    </w:r>
    <w:r w:rsidRPr="00B83285">
      <w:rPr>
        <w:b/>
        <w:sz w:val="18"/>
      </w:rPr>
      <w:instrText xml:space="preserve"> PAGE  \* MERGEFORMAT </w:instrText>
    </w:r>
    <w:r w:rsidRPr="00B83285">
      <w:rPr>
        <w:b/>
        <w:sz w:val="18"/>
      </w:rPr>
      <w:fldChar w:fldCharType="separate"/>
    </w:r>
    <w:r w:rsidR="00731683">
      <w:rPr>
        <w:b/>
        <w:noProof/>
        <w:sz w:val="18"/>
      </w:rPr>
      <w:t>2</w:t>
    </w:r>
    <w:r w:rsidRPr="00B83285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0FA" w:rsidRPr="00B83285" w:rsidRDefault="00B83285" w:rsidP="00B83285">
    <w:pPr>
      <w:pStyle w:val="Footer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16F634A7" wp14:editId="7E4EAD80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18-03194  (F)</w:t>
    </w:r>
    <w:r w:rsidR="006741DC">
      <w:rPr>
        <w:sz w:val="20"/>
      </w:rPr>
      <w:t xml:space="preserve">    060318    210318</w:t>
    </w:r>
    <w:r>
      <w:rPr>
        <w:sz w:val="20"/>
      </w:rPr>
      <w:br/>
    </w:r>
    <w:r w:rsidRPr="00B83285">
      <w:rPr>
        <w:rFonts w:ascii="C39T30Lfz" w:hAnsi="C39T30Lfz"/>
        <w:sz w:val="56"/>
      </w:rPr>
      <w:t></w:t>
    </w:r>
    <w:r w:rsidRPr="00B83285">
      <w:rPr>
        <w:rFonts w:ascii="C39T30Lfz" w:hAnsi="C39T30Lfz"/>
        <w:sz w:val="56"/>
      </w:rPr>
      <w:t></w:t>
    </w:r>
    <w:r w:rsidRPr="00B83285">
      <w:rPr>
        <w:rFonts w:ascii="C39T30Lfz" w:hAnsi="C39T30Lfz"/>
        <w:sz w:val="56"/>
      </w:rPr>
      <w:t></w:t>
    </w:r>
    <w:r w:rsidRPr="00B83285">
      <w:rPr>
        <w:rFonts w:ascii="C39T30Lfz" w:hAnsi="C39T30Lfz"/>
        <w:sz w:val="56"/>
      </w:rPr>
      <w:t></w:t>
    </w:r>
    <w:r w:rsidRPr="00B83285">
      <w:rPr>
        <w:rFonts w:ascii="C39T30Lfz" w:hAnsi="C39T30Lfz"/>
        <w:sz w:val="56"/>
      </w:rPr>
      <w:t></w:t>
    </w:r>
    <w:r w:rsidRPr="00B83285">
      <w:rPr>
        <w:rFonts w:ascii="C39T30Lfz" w:hAnsi="C39T30Lfz"/>
        <w:sz w:val="56"/>
      </w:rPr>
      <w:t></w:t>
    </w:r>
    <w:r w:rsidRPr="00B83285">
      <w:rPr>
        <w:rFonts w:ascii="C39T30Lfz" w:hAnsi="C39T30Lfz"/>
        <w:sz w:val="56"/>
      </w:rPr>
      <w:t></w:t>
    </w:r>
    <w:r w:rsidRPr="00B83285">
      <w:rPr>
        <w:rFonts w:ascii="C39T30Lfz" w:hAnsi="C39T30Lfz"/>
        <w:sz w:val="56"/>
      </w:rPr>
      <w:t></w:t>
    </w:r>
    <w:r w:rsidRPr="00B83285">
      <w:rPr>
        <w:rFonts w:ascii="C39T30Lfz" w:hAnsi="C39T30Lfz"/>
        <w:sz w:val="56"/>
      </w:rPr>
      <w:t></w:t>
    </w:r>
    <w:r>
      <w:rPr>
        <w:noProof/>
        <w:sz w:val="20"/>
        <w:lang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3" name="Image 1" descr="https://undocs.org/m2/QRCode.ashx?DS=ECE/TRANS/WP.29/GRSP/2018/19&amp;Size=2&amp;Lang=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TRANS/WP.29/GRSP/2018/19&amp;Size=2&amp;Lang=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1DE" w:rsidRPr="00AC3823" w:rsidRDefault="00B351DE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B351DE" w:rsidRPr="00AC3823" w:rsidRDefault="00B351DE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B351DE" w:rsidRPr="00AC3823" w:rsidRDefault="00B351DE">
      <w:pPr>
        <w:spacing w:line="240" w:lineRule="auto"/>
        <w:rPr>
          <w:sz w:val="2"/>
          <w:szCs w:val="2"/>
        </w:rPr>
      </w:pPr>
    </w:p>
  </w:footnote>
  <w:footnote w:id="2">
    <w:p w:rsidR="00D8662F" w:rsidRPr="002232AF" w:rsidRDefault="00D8662F" w:rsidP="00D8662F">
      <w:pPr>
        <w:pStyle w:val="FootnoteText"/>
      </w:pPr>
      <w:r>
        <w:tab/>
      </w:r>
      <w:r w:rsidRPr="00D8662F">
        <w:rPr>
          <w:rStyle w:val="FootnoteReference"/>
          <w:sz w:val="20"/>
          <w:vertAlign w:val="baseline"/>
        </w:rPr>
        <w:t>*</w:t>
      </w:r>
      <w:r>
        <w:tab/>
      </w:r>
      <w:r w:rsidRPr="006741DC">
        <w:rPr>
          <w:spacing w:val="-2"/>
        </w:rPr>
        <w:t>Conformément au programme de travail du Comité des transports intérieurs pour la période 2014</w:t>
      </w:r>
      <w:r w:rsidR="006741DC">
        <w:rPr>
          <w:spacing w:val="-2"/>
        </w:rPr>
        <w:t>-</w:t>
      </w:r>
      <w:r w:rsidRPr="006741DC">
        <w:rPr>
          <w:spacing w:val="-2"/>
        </w:rPr>
        <w:t>2018</w:t>
      </w:r>
      <w:r>
        <w:t xml:space="preserve"> (ECE/TRANS/240, par. 105, et ECE/TRANS/2014/26, activité 02.4), le Forum mondial a pour mission d</w:t>
      </w:r>
      <w:r w:rsidR="00AC502D">
        <w:t>’</w:t>
      </w:r>
      <w:r>
        <w:t>élaborer, d</w:t>
      </w:r>
      <w:r w:rsidR="00AC502D">
        <w:t>’</w:t>
      </w:r>
      <w:r>
        <w:t>harmoniser et de mettre à jour les Règlements en vue d</w:t>
      </w:r>
      <w:r w:rsidR="00AC502D">
        <w:t>’</w:t>
      </w:r>
      <w:r>
        <w:t>améliorer les caractéristiques fonctionnelles des véhicules. Le présent document est soumis en vertu</w:t>
      </w:r>
      <w:r w:rsidR="006741DC">
        <w:t xml:space="preserve"> </w:t>
      </w:r>
      <w:r>
        <w:t>de ce mandat.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285" w:rsidRPr="00B83285" w:rsidRDefault="000003A2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731683">
      <w:t>ECE/TRANS/WP.29/GRSP/2018/19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285" w:rsidRPr="00B83285" w:rsidRDefault="000003A2" w:rsidP="00B83285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731683">
      <w:t>ECE/TRANS/WP.29/GRSP/2018/19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567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DE"/>
    <w:rsid w:val="000003A2"/>
    <w:rsid w:val="00017F94"/>
    <w:rsid w:val="00023842"/>
    <w:rsid w:val="000334F9"/>
    <w:rsid w:val="00045FEB"/>
    <w:rsid w:val="0007796D"/>
    <w:rsid w:val="000B568F"/>
    <w:rsid w:val="000B7790"/>
    <w:rsid w:val="000F1E22"/>
    <w:rsid w:val="00111F2F"/>
    <w:rsid w:val="0014365E"/>
    <w:rsid w:val="00143C66"/>
    <w:rsid w:val="00176178"/>
    <w:rsid w:val="001F525A"/>
    <w:rsid w:val="00223272"/>
    <w:rsid w:val="0024779E"/>
    <w:rsid w:val="00257168"/>
    <w:rsid w:val="002744B8"/>
    <w:rsid w:val="002832AC"/>
    <w:rsid w:val="002D7C93"/>
    <w:rsid w:val="00305801"/>
    <w:rsid w:val="003916DE"/>
    <w:rsid w:val="003B0B46"/>
    <w:rsid w:val="00441C3B"/>
    <w:rsid w:val="00446FE5"/>
    <w:rsid w:val="00452396"/>
    <w:rsid w:val="004837D8"/>
    <w:rsid w:val="004E468C"/>
    <w:rsid w:val="005505B7"/>
    <w:rsid w:val="0057105A"/>
    <w:rsid w:val="00573BE5"/>
    <w:rsid w:val="0058400C"/>
    <w:rsid w:val="00586ED3"/>
    <w:rsid w:val="00596AA9"/>
    <w:rsid w:val="006741DC"/>
    <w:rsid w:val="006A50E4"/>
    <w:rsid w:val="0071601D"/>
    <w:rsid w:val="00731683"/>
    <w:rsid w:val="0074582B"/>
    <w:rsid w:val="007A62E6"/>
    <w:rsid w:val="007E0241"/>
    <w:rsid w:val="007F20FA"/>
    <w:rsid w:val="0080684C"/>
    <w:rsid w:val="00871C75"/>
    <w:rsid w:val="008776DC"/>
    <w:rsid w:val="009446C0"/>
    <w:rsid w:val="009705C8"/>
    <w:rsid w:val="009C1CF4"/>
    <w:rsid w:val="009F6B74"/>
    <w:rsid w:val="00A30353"/>
    <w:rsid w:val="00AC3823"/>
    <w:rsid w:val="00AC502D"/>
    <w:rsid w:val="00AE323C"/>
    <w:rsid w:val="00AF0CB5"/>
    <w:rsid w:val="00B00181"/>
    <w:rsid w:val="00B00B0D"/>
    <w:rsid w:val="00B351DE"/>
    <w:rsid w:val="00B765F7"/>
    <w:rsid w:val="00B83285"/>
    <w:rsid w:val="00B94520"/>
    <w:rsid w:val="00BA0CA9"/>
    <w:rsid w:val="00C02897"/>
    <w:rsid w:val="00C54BDF"/>
    <w:rsid w:val="00C97039"/>
    <w:rsid w:val="00D068C8"/>
    <w:rsid w:val="00D3439C"/>
    <w:rsid w:val="00D8662F"/>
    <w:rsid w:val="00DB1831"/>
    <w:rsid w:val="00DD3BFD"/>
    <w:rsid w:val="00DF0811"/>
    <w:rsid w:val="00DF6678"/>
    <w:rsid w:val="00E0299A"/>
    <w:rsid w:val="00E20591"/>
    <w:rsid w:val="00E85C74"/>
    <w:rsid w:val="00EA6547"/>
    <w:rsid w:val="00EF2E22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947429B-1BC9-41BA-B3A4-83F2E116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next w:val="Normal"/>
    <w:link w:val="HeaderCh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next w:val="Normal"/>
    <w:link w:val="FooterChar"/>
    <w:qFormat/>
    <w:rsid w:val="00E0299A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qFormat/>
    <w:rsid w:val="00E0299A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E0299A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FootnoteReference">
    <w:name w:val="footnote reference"/>
    <w:aliases w:val="4_G,(Footnote Reference),-E Fußnotenzeichen,BVI fnr, BVI fnr,Footnote symbol,Footnote,Footnote Reference Superscript,SUPERS"/>
    <w:basedOn w:val="DefaultParagraphFon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E0299A"/>
    <w:rPr>
      <w:color w:val="0000FF"/>
      <w:u w:val="none"/>
    </w:rPr>
  </w:style>
  <w:style w:type="character" w:styleId="FollowedHyperlink">
    <w:name w:val="FollowedHyperlink"/>
    <w:basedOn w:val="DefaultParagraphFont"/>
    <w:unhideWhenUsed/>
    <w:rsid w:val="00E0299A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E0299A"/>
  </w:style>
  <w:style w:type="character" w:customStyle="1" w:styleId="EndnoteTextChar">
    <w:name w:val="Endnote Text Char"/>
    <w:aliases w:val="2_G Char"/>
    <w:basedOn w:val="DefaultParagraphFont"/>
    <w:link w:val="EndnoteText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uiPriority w:val="99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HChGChar">
    <w:name w:val="_ H _Ch_G Char"/>
    <w:link w:val="HChG"/>
    <w:rsid w:val="00D8662F"/>
    <w:rPr>
      <w:rFonts w:ascii="Times New Roman" w:eastAsiaTheme="minorHAnsi" w:hAnsi="Times New Roman" w:cs="Times New Roman"/>
      <w:b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ECE/TRANS/WP.29/GRSP/2018/19</vt:lpstr>
      <vt:lpstr>ECE/TRANS/WP.29/GRSP/2018/19</vt:lpstr>
    </vt:vector>
  </TitlesOfParts>
  <Company>DCM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ECE/TRANS/WP.29/GRSP/2018/19</dc:title>
  <dc:subject/>
  <dc:creator>Corinne ROBERT</dc:creator>
  <cp:keywords/>
  <cp:lastModifiedBy>Benedicte Boudol</cp:lastModifiedBy>
  <cp:revision>2</cp:revision>
  <cp:lastPrinted>2018-03-21T06:41:00Z</cp:lastPrinted>
  <dcterms:created xsi:type="dcterms:W3CDTF">2018-03-21T09:06:00Z</dcterms:created>
  <dcterms:modified xsi:type="dcterms:W3CDTF">2018-03-21T09:06:00Z</dcterms:modified>
</cp:coreProperties>
</file>