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B175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B1755" w:rsidP="000B1755">
            <w:pPr>
              <w:jc w:val="right"/>
            </w:pPr>
            <w:r w:rsidRPr="000B1755">
              <w:rPr>
                <w:sz w:val="40"/>
              </w:rPr>
              <w:t>ECE</w:t>
            </w:r>
            <w:r>
              <w:t>/TRANS/WP.29/GRSP/2018/10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B1755" w:rsidP="00C97039">
            <w:pPr>
              <w:spacing w:before="240"/>
            </w:pPr>
            <w:proofErr w:type="spellStart"/>
            <w:r>
              <w:t>Distr</w:t>
            </w:r>
            <w:proofErr w:type="spellEnd"/>
            <w:r>
              <w:t>. générale</w:t>
            </w:r>
          </w:p>
          <w:p w:rsidR="000B1755" w:rsidRDefault="000B1755" w:rsidP="000B1755">
            <w:pPr>
              <w:spacing w:line="240" w:lineRule="exact"/>
            </w:pPr>
            <w:r>
              <w:t>28 février 2018</w:t>
            </w:r>
          </w:p>
          <w:p w:rsidR="000B1755" w:rsidRDefault="000B1755" w:rsidP="000B1755">
            <w:pPr>
              <w:spacing w:line="240" w:lineRule="exact"/>
            </w:pPr>
            <w:r>
              <w:t>Français</w:t>
            </w:r>
          </w:p>
          <w:p w:rsidR="000B1755" w:rsidRPr="00DB58B5" w:rsidRDefault="000B1755" w:rsidP="000B175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B1755" w:rsidRPr="00AC17DA" w:rsidRDefault="000B1755" w:rsidP="00AC17DA">
      <w:pPr>
        <w:spacing w:before="120"/>
        <w:rPr>
          <w:b/>
          <w:sz w:val="24"/>
          <w:szCs w:val="24"/>
          <w:lang w:val="fr-FR"/>
        </w:rPr>
      </w:pPr>
      <w:r w:rsidRPr="00AC17DA">
        <w:rPr>
          <w:b/>
          <w:sz w:val="24"/>
          <w:szCs w:val="24"/>
          <w:lang w:val="fr-FR"/>
        </w:rPr>
        <w:t xml:space="preserve">Forum mondial de l’harmonisation </w:t>
      </w:r>
      <w:r w:rsidR="00AC17DA">
        <w:rPr>
          <w:b/>
          <w:sz w:val="24"/>
          <w:szCs w:val="24"/>
          <w:lang w:val="fr-FR"/>
        </w:rPr>
        <w:br/>
      </w:r>
      <w:r w:rsidRPr="00AC17DA">
        <w:rPr>
          <w:b/>
          <w:sz w:val="24"/>
          <w:szCs w:val="24"/>
          <w:lang w:val="fr-FR"/>
        </w:rPr>
        <w:t>des Règlements concernant les véhicules</w:t>
      </w:r>
    </w:p>
    <w:p w:rsidR="000B1755" w:rsidRPr="00AC17DA" w:rsidRDefault="000B1755" w:rsidP="00AC17DA">
      <w:pPr>
        <w:spacing w:before="120"/>
        <w:rPr>
          <w:b/>
          <w:bCs/>
          <w:lang w:val="fr-FR"/>
        </w:rPr>
      </w:pPr>
      <w:r w:rsidRPr="00AC17DA">
        <w:rPr>
          <w:b/>
          <w:lang w:val="fr-FR"/>
        </w:rPr>
        <w:t>Groupe de travail de la sécurité passive</w:t>
      </w:r>
    </w:p>
    <w:p w:rsidR="000B1755" w:rsidRPr="00792AEC" w:rsidRDefault="000B1755" w:rsidP="00792AEC">
      <w:pPr>
        <w:spacing w:before="120"/>
        <w:rPr>
          <w:b/>
          <w:lang w:val="fr-FR"/>
        </w:rPr>
      </w:pPr>
      <w:r w:rsidRPr="00792AEC">
        <w:rPr>
          <w:b/>
          <w:lang w:val="fr-FR"/>
        </w:rPr>
        <w:t>Soixante-troisième session</w:t>
      </w:r>
    </w:p>
    <w:p w:rsidR="000B1755" w:rsidRPr="00AC17DA" w:rsidRDefault="000B1755" w:rsidP="000B1755">
      <w:pPr>
        <w:rPr>
          <w:bCs/>
          <w:lang w:val="fr-FR"/>
        </w:rPr>
      </w:pPr>
      <w:r w:rsidRPr="00AC17DA">
        <w:rPr>
          <w:lang w:val="fr-FR"/>
        </w:rPr>
        <w:t>Genève, 14-18 mai 2018</w:t>
      </w:r>
    </w:p>
    <w:p w:rsidR="000B1755" w:rsidRPr="00AC17DA" w:rsidRDefault="000B1755" w:rsidP="000B1755">
      <w:pPr>
        <w:rPr>
          <w:bCs/>
          <w:lang w:val="fr-FR"/>
        </w:rPr>
      </w:pPr>
      <w:r w:rsidRPr="00AC17DA">
        <w:rPr>
          <w:lang w:val="fr-FR"/>
        </w:rPr>
        <w:t>Point 14 de l’ordre du jour provisoire</w:t>
      </w:r>
    </w:p>
    <w:p w:rsidR="000B1755" w:rsidRPr="00AC17DA" w:rsidRDefault="000B1755" w:rsidP="00AC17DA">
      <w:pPr>
        <w:rPr>
          <w:b/>
          <w:lang w:val="fr-FR"/>
        </w:rPr>
      </w:pPr>
      <w:r w:rsidRPr="00AC17DA">
        <w:rPr>
          <w:b/>
          <w:lang w:val="fr-FR"/>
        </w:rPr>
        <w:t>Règlement n</w:t>
      </w:r>
      <w:r w:rsidRPr="00AC17DA">
        <w:rPr>
          <w:b/>
          <w:vertAlign w:val="superscript"/>
          <w:lang w:val="fr-FR"/>
        </w:rPr>
        <w:t>o</w:t>
      </w:r>
      <w:r w:rsidR="00AC17DA" w:rsidRPr="00AC17DA">
        <w:rPr>
          <w:b/>
          <w:lang w:val="fr-FR"/>
        </w:rPr>
        <w:t> </w:t>
      </w:r>
      <w:r w:rsidRPr="00AC17DA">
        <w:rPr>
          <w:b/>
          <w:lang w:val="fr-FR"/>
        </w:rPr>
        <w:t xml:space="preserve">80 (Résistance des sièges </w:t>
      </w:r>
      <w:r w:rsidR="00AC17DA">
        <w:rPr>
          <w:b/>
          <w:lang w:val="fr-FR"/>
        </w:rPr>
        <w:br/>
      </w:r>
      <w:r w:rsidRPr="00AC17DA">
        <w:rPr>
          <w:b/>
          <w:lang w:val="fr-FR"/>
        </w:rPr>
        <w:t>et de leurs ancrages (autobus))</w:t>
      </w:r>
    </w:p>
    <w:p w:rsidR="000B1755" w:rsidRPr="007F0E02" w:rsidRDefault="000B1755" w:rsidP="00AC17DA">
      <w:pPr>
        <w:pStyle w:val="HChG"/>
        <w:rPr>
          <w:bCs/>
          <w:lang w:val="fr-FR"/>
        </w:rPr>
      </w:pPr>
      <w:r w:rsidRPr="007F0E02">
        <w:rPr>
          <w:lang w:val="fr-FR"/>
        </w:rPr>
        <w:tab/>
      </w:r>
      <w:r w:rsidRPr="007F0E02">
        <w:rPr>
          <w:lang w:val="fr-FR"/>
        </w:rPr>
        <w:tab/>
        <w:t>Proposition de série 04 d</w:t>
      </w:r>
      <w:r>
        <w:rPr>
          <w:lang w:val="fr-FR"/>
        </w:rPr>
        <w:t>’</w:t>
      </w:r>
      <w:r w:rsidRPr="007F0E02">
        <w:rPr>
          <w:lang w:val="fr-FR"/>
        </w:rPr>
        <w:t>amendements au Règlement n</w:t>
      </w:r>
      <w:r w:rsidRPr="007F0E02">
        <w:rPr>
          <w:vertAlign w:val="superscript"/>
          <w:lang w:val="fr-FR"/>
        </w:rPr>
        <w:t>o</w:t>
      </w:r>
      <w:r w:rsidR="00AC17DA">
        <w:rPr>
          <w:lang w:val="fr-FR"/>
        </w:rPr>
        <w:t> </w:t>
      </w:r>
      <w:r w:rsidRPr="007F0E02">
        <w:rPr>
          <w:lang w:val="fr-FR"/>
        </w:rPr>
        <w:t xml:space="preserve">80 </w:t>
      </w:r>
      <w:r w:rsidR="00AC17DA">
        <w:rPr>
          <w:lang w:val="fr-FR"/>
        </w:rPr>
        <w:br/>
      </w:r>
      <w:r w:rsidRPr="007F0E02">
        <w:rPr>
          <w:lang w:val="fr-FR"/>
        </w:rPr>
        <w:t>(Résistance des sièges et de leurs ancrages (autobus))</w:t>
      </w:r>
    </w:p>
    <w:p w:rsidR="000B1755" w:rsidRPr="007F0E02" w:rsidRDefault="000B1755" w:rsidP="00AC17DA">
      <w:pPr>
        <w:pStyle w:val="H1G"/>
        <w:rPr>
          <w:lang w:val="fr-FR"/>
        </w:rPr>
      </w:pPr>
      <w:r w:rsidRPr="007F0E02">
        <w:rPr>
          <w:lang w:val="fr-FR"/>
        </w:rPr>
        <w:tab/>
      </w:r>
      <w:r w:rsidRPr="007F0E02">
        <w:rPr>
          <w:lang w:val="fr-FR"/>
        </w:rPr>
        <w:tab/>
        <w:t>Communication de l</w:t>
      </w:r>
      <w:r>
        <w:rPr>
          <w:lang w:val="fr-FR"/>
        </w:rPr>
        <w:t>’</w:t>
      </w:r>
      <w:r w:rsidRPr="007F0E02">
        <w:rPr>
          <w:lang w:val="fr-FR"/>
        </w:rPr>
        <w:t>expert de l</w:t>
      </w:r>
      <w:r>
        <w:rPr>
          <w:lang w:val="fr-FR"/>
        </w:rPr>
        <w:t>’</w:t>
      </w:r>
      <w:r w:rsidRPr="007F0E02">
        <w:rPr>
          <w:lang w:val="fr-FR"/>
        </w:rPr>
        <w:t>Allemagne</w:t>
      </w:r>
      <w:r w:rsidR="00AC17DA" w:rsidRPr="000E110D">
        <w:rPr>
          <w:rStyle w:val="FootnoteReference"/>
          <w:b w:val="0"/>
          <w:sz w:val="20"/>
          <w:vertAlign w:val="baseline"/>
        </w:rPr>
        <w:footnoteReference w:customMarkFollows="1" w:id="2"/>
        <w:t>*</w:t>
      </w:r>
    </w:p>
    <w:p w:rsidR="000E110D" w:rsidRDefault="000B1755" w:rsidP="000E110D">
      <w:pPr>
        <w:pStyle w:val="SingleTxtG"/>
        <w:ind w:firstLine="567"/>
        <w:rPr>
          <w:lang w:val="fr-FR"/>
        </w:rPr>
      </w:pPr>
      <w:r w:rsidRPr="007F0E02">
        <w:rPr>
          <w:lang w:val="fr-FR"/>
        </w:rPr>
        <w:t>Le texte reproduit ci-après, établi par l</w:t>
      </w:r>
      <w:r>
        <w:rPr>
          <w:lang w:val="fr-FR"/>
        </w:rPr>
        <w:t>’</w:t>
      </w:r>
      <w:r w:rsidRPr="007F0E02">
        <w:rPr>
          <w:lang w:val="fr-FR"/>
        </w:rPr>
        <w:t>expert de l</w:t>
      </w:r>
      <w:r>
        <w:rPr>
          <w:lang w:val="fr-FR"/>
        </w:rPr>
        <w:t>’</w:t>
      </w:r>
      <w:r w:rsidRPr="007F0E02">
        <w:rPr>
          <w:lang w:val="fr-FR"/>
        </w:rPr>
        <w:t>Allemagne, a pour objet d</w:t>
      </w:r>
      <w:r>
        <w:rPr>
          <w:lang w:val="fr-FR"/>
        </w:rPr>
        <w:t>’</w:t>
      </w:r>
      <w:r w:rsidRPr="007F0E02">
        <w:rPr>
          <w:lang w:val="fr-FR"/>
        </w:rPr>
        <w:t>apporter des modifications aux prescriptions applicables aux sièges et à leurs ancrages. Il</w:t>
      </w:r>
      <w:r w:rsidR="000E110D">
        <w:rPr>
          <w:lang w:val="fr-FR"/>
        </w:rPr>
        <w:t> </w:t>
      </w:r>
      <w:r w:rsidRPr="007F0E02">
        <w:rPr>
          <w:lang w:val="fr-FR"/>
        </w:rPr>
        <w:t>est fondé sur le document GRSP-62-12, distribué à la soixante-deuxième session du</w:t>
      </w:r>
      <w:r w:rsidR="000E110D">
        <w:rPr>
          <w:lang w:val="fr-FR"/>
        </w:rPr>
        <w:t> </w:t>
      </w:r>
      <w:r w:rsidRPr="007F0E02">
        <w:rPr>
          <w:lang w:val="fr-FR"/>
        </w:rPr>
        <w:t>Groupe de travail de la sécurité passive (GRSP) (ECE/TRANS/WP.29/GRSP/62, par.</w:t>
      </w:r>
      <w:r w:rsidR="000E110D">
        <w:rPr>
          <w:lang w:val="fr-FR"/>
        </w:rPr>
        <w:t> </w:t>
      </w:r>
      <w:r w:rsidRPr="007F0E02">
        <w:rPr>
          <w:lang w:val="fr-FR"/>
        </w:rPr>
        <w:t>51). Les modifications qu</w:t>
      </w:r>
      <w:r>
        <w:rPr>
          <w:lang w:val="fr-FR"/>
        </w:rPr>
        <w:t>’</w:t>
      </w:r>
      <w:r w:rsidRPr="007F0E02">
        <w:rPr>
          <w:lang w:val="fr-FR"/>
        </w:rPr>
        <w:t>il est proposé d</w:t>
      </w:r>
      <w:r>
        <w:rPr>
          <w:lang w:val="fr-FR"/>
        </w:rPr>
        <w:t>’</w:t>
      </w:r>
      <w:r w:rsidRPr="007F0E02">
        <w:rPr>
          <w:lang w:val="fr-FR"/>
        </w:rPr>
        <w:t>apporter au texte actuel du Règlement figurent en caractères gras pour les ajouts ou biffés pour les suppressions.</w:t>
      </w:r>
    </w:p>
    <w:p w:rsidR="000B1755" w:rsidRPr="007F0E02" w:rsidRDefault="000E110D" w:rsidP="000E110D">
      <w:pPr>
        <w:pStyle w:val="HChG"/>
        <w:rPr>
          <w:lang w:val="fr-FR"/>
        </w:rPr>
      </w:pPr>
      <w:r>
        <w:rPr>
          <w:lang w:val="fr-FR"/>
        </w:rPr>
        <w:br w:type="page"/>
      </w:r>
      <w:r w:rsidR="000B1755" w:rsidRPr="007F0E02">
        <w:rPr>
          <w:lang w:val="fr-FR"/>
        </w:rPr>
        <w:lastRenderedPageBreak/>
        <w:tab/>
        <w:t>I.</w:t>
      </w:r>
      <w:r w:rsidR="000B1755" w:rsidRPr="007F0E02">
        <w:rPr>
          <w:lang w:val="fr-FR"/>
        </w:rPr>
        <w:tab/>
        <w:t>Proposition</w:t>
      </w:r>
    </w:p>
    <w:p w:rsidR="000B1755" w:rsidRPr="007F0E02" w:rsidRDefault="000B1755" w:rsidP="000E110D">
      <w:pPr>
        <w:pStyle w:val="SingleTxtG"/>
        <w:rPr>
          <w:i/>
          <w:lang w:val="fr-FR"/>
        </w:rPr>
      </w:pPr>
      <w:r w:rsidRPr="007F0E02">
        <w:rPr>
          <w:i/>
          <w:lang w:val="fr-FR"/>
        </w:rPr>
        <w:t>Table des matières</w:t>
      </w:r>
      <w:r w:rsidRPr="007F0E02">
        <w:rPr>
          <w:lang w:val="fr-FR"/>
        </w:rPr>
        <w:t>, modifier comme suit</w:t>
      </w:r>
      <w:r w:rsidR="000E110D">
        <w:rPr>
          <w:lang w:val="fr-FR"/>
        </w:rPr>
        <w:t> </w:t>
      </w:r>
      <w:r>
        <w:rPr>
          <w:lang w:val="fr-FR"/>
        </w:rPr>
        <w:t>:</w:t>
      </w:r>
    </w:p>
    <w:p w:rsidR="000B1755" w:rsidRPr="007F0E02" w:rsidRDefault="000B1755" w:rsidP="000E110D">
      <w:pPr>
        <w:pStyle w:val="SingleTxtG"/>
        <w:rPr>
          <w:lang w:val="fr-FR"/>
        </w:rPr>
      </w:pPr>
      <w:r>
        <w:rPr>
          <w:lang w:val="fr-FR"/>
        </w:rPr>
        <w:t>«</w:t>
      </w:r>
      <w:r w:rsidR="00792AEC">
        <w:rPr>
          <w:lang w:val="fr-FR"/>
        </w:rPr>
        <w:t> </w:t>
      </w:r>
      <w:r w:rsidRPr="007F0E02">
        <w:rPr>
          <w:lang w:val="fr-FR"/>
        </w:rPr>
        <w:t>…</w:t>
      </w:r>
    </w:p>
    <w:p w:rsidR="000B1755" w:rsidRPr="007F0E02" w:rsidRDefault="000B1755" w:rsidP="000E110D">
      <w:pPr>
        <w:pStyle w:val="SingleTxtG"/>
        <w:rPr>
          <w:lang w:val="fr-FR"/>
        </w:rPr>
      </w:pPr>
      <w:r w:rsidRPr="007F0E02">
        <w:rPr>
          <w:lang w:val="fr-FR"/>
        </w:rPr>
        <w:t>Appendices</w:t>
      </w:r>
    </w:p>
    <w:p w:rsidR="000B1755" w:rsidRPr="007F0E02" w:rsidRDefault="000B1755" w:rsidP="000E110D">
      <w:pPr>
        <w:pStyle w:val="SingleTxtG"/>
        <w:rPr>
          <w:rFonts w:eastAsia="Arial"/>
          <w:spacing w:val="8"/>
          <w:lang w:val="fr-FR"/>
        </w:rPr>
      </w:pPr>
      <w:r w:rsidRPr="007F0E02">
        <w:rPr>
          <w:lang w:val="fr-FR"/>
        </w:rPr>
        <w:t>…</w:t>
      </w:r>
    </w:p>
    <w:p w:rsidR="000B1755" w:rsidRPr="007F0E02" w:rsidRDefault="000B1755" w:rsidP="000E110D">
      <w:pPr>
        <w:pStyle w:val="SingleTxtG"/>
        <w:rPr>
          <w:lang w:val="fr-FR"/>
        </w:rPr>
      </w:pPr>
      <w:r w:rsidRPr="007F0E02">
        <w:rPr>
          <w:lang w:val="fr-FR"/>
        </w:rPr>
        <w:t>5</w:t>
      </w:r>
      <w:r w:rsidRPr="007F0E02">
        <w:rPr>
          <w:lang w:val="fr-FR"/>
        </w:rPr>
        <w:tab/>
        <w:t>Prescriptions et procédure relatives à l</w:t>
      </w:r>
      <w:r>
        <w:rPr>
          <w:lang w:val="fr-FR"/>
        </w:rPr>
        <w:t>’</w:t>
      </w:r>
      <w:r w:rsidRPr="007F0E02">
        <w:rPr>
          <w:lang w:val="fr-FR"/>
        </w:rPr>
        <w:t xml:space="preserve">essai statique </w:t>
      </w:r>
      <w:r w:rsidRPr="00792AEC">
        <w:rPr>
          <w:b/>
          <w:lang w:val="fr-FR"/>
        </w:rPr>
        <w:t>réservé</w:t>
      </w:r>
    </w:p>
    <w:p w:rsidR="000B1755" w:rsidRPr="007F0E02" w:rsidRDefault="000B1755" w:rsidP="000E110D">
      <w:pPr>
        <w:pStyle w:val="SingleTxtG"/>
        <w:rPr>
          <w:rFonts w:eastAsia="Arial"/>
          <w:spacing w:val="8"/>
          <w:lang w:val="fr-FR"/>
        </w:rPr>
      </w:pPr>
      <w:r w:rsidRPr="007F0E02">
        <w:rPr>
          <w:lang w:val="fr-FR"/>
        </w:rPr>
        <w:t>…</w:t>
      </w:r>
      <w:r w:rsidR="00994396">
        <w:rPr>
          <w:lang w:val="fr-FR"/>
        </w:rPr>
        <w:t> </w:t>
      </w:r>
      <w:r>
        <w:rPr>
          <w:lang w:val="fr-FR"/>
        </w:rPr>
        <w:t>»</w:t>
      </w:r>
      <w:r w:rsidRPr="007F0E02">
        <w:rPr>
          <w:lang w:val="fr-FR"/>
        </w:rPr>
        <w:t>.</w:t>
      </w:r>
    </w:p>
    <w:p w:rsidR="000B1755" w:rsidRPr="007F0E02" w:rsidRDefault="000B1755" w:rsidP="000E110D">
      <w:pPr>
        <w:pStyle w:val="SingleTxtG"/>
        <w:rPr>
          <w:i/>
          <w:spacing w:val="9"/>
          <w:lang w:val="fr-FR"/>
        </w:rPr>
      </w:pPr>
      <w:r w:rsidRPr="007F0E02">
        <w:rPr>
          <w:i/>
          <w:lang w:val="fr-FR"/>
        </w:rPr>
        <w:t>Texte du Règlement</w:t>
      </w:r>
      <w:r w:rsidRPr="007F0E02">
        <w:rPr>
          <w:lang w:val="fr-FR"/>
        </w:rPr>
        <w:t>,</w:t>
      </w:r>
    </w:p>
    <w:p w:rsidR="000B1755" w:rsidRPr="007F0E02" w:rsidRDefault="000B1755" w:rsidP="000E110D">
      <w:pPr>
        <w:pStyle w:val="SingleTxtG"/>
        <w:rPr>
          <w:lang w:val="fr-FR"/>
        </w:rPr>
      </w:pPr>
      <w:r w:rsidRPr="007F0E02">
        <w:rPr>
          <w:i/>
          <w:lang w:val="fr-FR"/>
        </w:rPr>
        <w:t>Paragraphe 4.3</w:t>
      </w:r>
      <w:r w:rsidRPr="007F0E02">
        <w:rPr>
          <w:lang w:val="fr-FR"/>
        </w:rPr>
        <w:t>, modifier comme suit</w:t>
      </w:r>
      <w:r w:rsidR="00994396">
        <w:rPr>
          <w:lang w:val="fr-FR"/>
        </w:rPr>
        <w:t> </w:t>
      </w:r>
      <w:r>
        <w:rPr>
          <w:lang w:val="fr-FR"/>
        </w:rPr>
        <w:t>:</w:t>
      </w:r>
    </w:p>
    <w:p w:rsidR="000B1755" w:rsidRPr="007F0E02" w:rsidRDefault="000B1755" w:rsidP="00E45E59">
      <w:pPr>
        <w:pStyle w:val="SingleTxtG"/>
        <w:tabs>
          <w:tab w:val="left" w:pos="2268"/>
        </w:tabs>
        <w:ind w:left="2268" w:hanging="1134"/>
        <w:rPr>
          <w:lang w:val="fr-FR"/>
        </w:rPr>
      </w:pPr>
      <w:r>
        <w:rPr>
          <w:lang w:val="fr-FR"/>
        </w:rPr>
        <w:t>«</w:t>
      </w:r>
      <w:r w:rsidR="00994396">
        <w:rPr>
          <w:lang w:val="fr-FR"/>
        </w:rPr>
        <w:t> </w:t>
      </w:r>
      <w:r w:rsidRPr="007F0E02">
        <w:rPr>
          <w:lang w:val="fr-FR"/>
        </w:rPr>
        <w:t>4.3</w:t>
      </w:r>
      <w:r w:rsidRPr="007F0E02">
        <w:rPr>
          <w:lang w:val="fr-FR"/>
        </w:rPr>
        <w:tab/>
        <w:t>Chaque homologation comporte l</w:t>
      </w:r>
      <w:r>
        <w:rPr>
          <w:lang w:val="fr-FR"/>
        </w:rPr>
        <w:t>’</w:t>
      </w:r>
      <w:r w:rsidRPr="007F0E02">
        <w:rPr>
          <w:lang w:val="fr-FR"/>
        </w:rPr>
        <w:t>attribution d</w:t>
      </w:r>
      <w:r>
        <w:rPr>
          <w:lang w:val="fr-FR"/>
        </w:rPr>
        <w:t>’</w:t>
      </w:r>
      <w:r w:rsidRPr="007F0E02">
        <w:rPr>
          <w:lang w:val="fr-FR"/>
        </w:rPr>
        <w:t>un numéro d</w:t>
      </w:r>
      <w:r>
        <w:rPr>
          <w:lang w:val="fr-FR"/>
        </w:rPr>
        <w:t>’</w:t>
      </w:r>
      <w:r w:rsidRPr="007F0E02">
        <w:rPr>
          <w:lang w:val="fr-FR"/>
        </w:rPr>
        <w:t xml:space="preserve">homologation dont les deux premiers chiffres (actuellement </w:t>
      </w:r>
      <w:r w:rsidRPr="007F0E02">
        <w:rPr>
          <w:strike/>
          <w:lang w:val="fr-FR"/>
        </w:rPr>
        <w:t>03</w:t>
      </w:r>
      <w:r w:rsidRPr="007F0E02">
        <w:rPr>
          <w:lang w:val="fr-FR"/>
        </w:rPr>
        <w:t xml:space="preserve"> </w:t>
      </w:r>
      <w:r w:rsidRPr="00E45E59">
        <w:rPr>
          <w:b/>
          <w:lang w:val="fr-FR"/>
        </w:rPr>
        <w:t>04</w:t>
      </w:r>
      <w:r w:rsidRPr="007F0E02">
        <w:rPr>
          <w:lang w:val="fr-FR"/>
        </w:rPr>
        <w:t xml:space="preserve">, ce qui correspond à la série </w:t>
      </w:r>
      <w:r w:rsidRPr="007F0E02">
        <w:rPr>
          <w:strike/>
          <w:lang w:val="fr-FR"/>
        </w:rPr>
        <w:t>03</w:t>
      </w:r>
      <w:r w:rsidRPr="007F0E02">
        <w:rPr>
          <w:lang w:val="fr-FR"/>
        </w:rPr>
        <w:t xml:space="preserve"> </w:t>
      </w:r>
      <w:r w:rsidRPr="00E45E59">
        <w:rPr>
          <w:b/>
          <w:lang w:val="fr-FR"/>
        </w:rPr>
        <w:t>04</w:t>
      </w:r>
      <w:r w:rsidRPr="007F0E02">
        <w:rPr>
          <w:lang w:val="fr-FR"/>
        </w:rPr>
        <w:t xml:space="preserve"> d</w:t>
      </w:r>
      <w:r>
        <w:rPr>
          <w:lang w:val="fr-FR"/>
        </w:rPr>
        <w:t>’</w:t>
      </w:r>
      <w:r w:rsidRPr="007F0E02">
        <w:rPr>
          <w:lang w:val="fr-FR"/>
        </w:rPr>
        <w:t>amendements)</w:t>
      </w:r>
      <w:r w:rsidR="001401A3">
        <w:rPr>
          <w:lang w:val="fr-FR"/>
        </w:rPr>
        <w:t xml:space="preserve"> </w:t>
      </w:r>
      <w:r w:rsidRPr="007F0E02">
        <w:rPr>
          <w:lang w:val="fr-FR"/>
        </w:rPr>
        <w:t>…</w:t>
      </w:r>
      <w:r w:rsidR="00994396">
        <w:rPr>
          <w:lang w:val="fr-FR"/>
        </w:rPr>
        <w:t> </w:t>
      </w:r>
      <w:r>
        <w:rPr>
          <w:lang w:val="fr-FR"/>
        </w:rPr>
        <w:t>»</w:t>
      </w:r>
      <w:r w:rsidRPr="007F0E02">
        <w:rPr>
          <w:lang w:val="fr-FR"/>
        </w:rPr>
        <w:t>.</w:t>
      </w:r>
    </w:p>
    <w:p w:rsidR="000B1755" w:rsidRPr="007F0E02" w:rsidRDefault="000B1755" w:rsidP="000E110D">
      <w:pPr>
        <w:pStyle w:val="SingleTxtG"/>
        <w:rPr>
          <w:lang w:val="fr-FR"/>
        </w:rPr>
      </w:pPr>
      <w:r w:rsidRPr="007F0E02">
        <w:rPr>
          <w:i/>
          <w:lang w:val="fr-FR"/>
        </w:rPr>
        <w:t>Paragraphe 5.1</w:t>
      </w:r>
      <w:r w:rsidRPr="007F0E02">
        <w:rPr>
          <w:lang w:val="fr-FR"/>
        </w:rPr>
        <w:t>, modifier comme suit</w:t>
      </w:r>
      <w:r w:rsidR="00994396">
        <w:rPr>
          <w:lang w:val="fr-FR"/>
        </w:rPr>
        <w:t> </w:t>
      </w:r>
      <w:r w:rsidRPr="007F0E02">
        <w:rPr>
          <w:lang w:val="fr-FR"/>
        </w:rPr>
        <w:t>:</w:t>
      </w:r>
    </w:p>
    <w:p w:rsidR="000B1755" w:rsidRPr="007F0E02" w:rsidRDefault="000B1755" w:rsidP="00E45E59">
      <w:pPr>
        <w:pStyle w:val="SingleTxtG"/>
        <w:tabs>
          <w:tab w:val="left" w:pos="2268"/>
        </w:tabs>
        <w:ind w:left="2268" w:hanging="1134"/>
        <w:rPr>
          <w:rFonts w:eastAsia="Arial"/>
          <w:lang w:val="fr-FR"/>
        </w:rPr>
      </w:pPr>
      <w:r>
        <w:rPr>
          <w:lang w:val="fr-FR"/>
        </w:rPr>
        <w:t>«</w:t>
      </w:r>
      <w:r w:rsidR="00994396">
        <w:rPr>
          <w:lang w:val="fr-FR"/>
        </w:rPr>
        <w:t> </w:t>
      </w:r>
      <w:r w:rsidRPr="007F0E02">
        <w:rPr>
          <w:lang w:val="fr-FR"/>
        </w:rPr>
        <w:t>5.1</w:t>
      </w:r>
      <w:r w:rsidRPr="007F0E02">
        <w:rPr>
          <w:lang w:val="fr-FR"/>
        </w:rPr>
        <w:tab/>
        <w:t>Chaque type de siège faisant face vers l</w:t>
      </w:r>
      <w:r>
        <w:rPr>
          <w:lang w:val="fr-FR"/>
        </w:rPr>
        <w:t>’</w:t>
      </w:r>
      <w:r w:rsidRPr="007F0E02">
        <w:rPr>
          <w:lang w:val="fr-FR"/>
        </w:rPr>
        <w:t>avant doit satisfaire aux prescriptions d</w:t>
      </w:r>
      <w:r>
        <w:rPr>
          <w:lang w:val="fr-FR"/>
        </w:rPr>
        <w:t>’</w:t>
      </w:r>
      <w:r w:rsidRPr="007F0E02">
        <w:rPr>
          <w:lang w:val="fr-FR"/>
        </w:rPr>
        <w:t>essai soit de l</w:t>
      </w:r>
      <w:r>
        <w:rPr>
          <w:lang w:val="fr-FR"/>
        </w:rPr>
        <w:t>’</w:t>
      </w:r>
      <w:r w:rsidRPr="007F0E02">
        <w:rPr>
          <w:lang w:val="fr-FR"/>
        </w:rPr>
        <w:t xml:space="preserve">appendice 1 (essai dynamique), soit, </w:t>
      </w:r>
      <w:r w:rsidRPr="007F0E02">
        <w:rPr>
          <w:strike/>
          <w:lang w:val="fr-FR"/>
        </w:rPr>
        <w:t>des appendices 5 et</w:t>
      </w:r>
      <w:r w:rsidRPr="007F0E02">
        <w:rPr>
          <w:lang w:val="fr-FR"/>
        </w:rPr>
        <w:t xml:space="preserve"> </w:t>
      </w:r>
      <w:r w:rsidRPr="00E45E59">
        <w:rPr>
          <w:b/>
          <w:lang w:val="fr-FR"/>
        </w:rPr>
        <w:t xml:space="preserve">s’il y a lieu, de l’appendice 1 en combinaison avec l’annexe 6 </w:t>
      </w:r>
      <w:r w:rsidRPr="007F0E02">
        <w:rPr>
          <w:lang w:val="fr-FR"/>
        </w:rPr>
        <w:t>(essai statique), au choix du constructeur.</w:t>
      </w:r>
      <w:r w:rsidR="00994396">
        <w:rPr>
          <w:lang w:val="fr-FR"/>
        </w:rPr>
        <w:t> </w:t>
      </w:r>
      <w:r w:rsidRPr="007F0E02">
        <w:rPr>
          <w:lang w:val="fr-FR"/>
        </w:rPr>
        <w:t>».</w:t>
      </w:r>
    </w:p>
    <w:p w:rsidR="000B1755" w:rsidRPr="007F0E02" w:rsidRDefault="000B1755" w:rsidP="00994396">
      <w:pPr>
        <w:pStyle w:val="SingleTxtG"/>
        <w:rPr>
          <w:lang w:val="fr-FR"/>
        </w:rPr>
      </w:pPr>
      <w:r w:rsidRPr="007F0E02">
        <w:rPr>
          <w:i/>
          <w:lang w:val="fr-FR"/>
        </w:rPr>
        <w:t>Ajouter les nouveaux paragraphes 7.1.3 à 7.1.3.2</w:t>
      </w:r>
      <w:r w:rsidRPr="007F0E02">
        <w:rPr>
          <w:lang w:val="fr-FR"/>
        </w:rPr>
        <w:t>, libellés comme suit</w:t>
      </w:r>
      <w:r w:rsidR="00994396">
        <w:rPr>
          <w:lang w:val="fr-FR"/>
        </w:rPr>
        <w:t> </w:t>
      </w:r>
      <w:r>
        <w:rPr>
          <w:lang w:val="fr-FR"/>
        </w:rPr>
        <w:t>:</w:t>
      </w:r>
    </w:p>
    <w:p w:rsidR="000B1755" w:rsidRPr="006027FA" w:rsidRDefault="000B1755" w:rsidP="00E45E59">
      <w:pPr>
        <w:pStyle w:val="SingleTxtG"/>
        <w:tabs>
          <w:tab w:val="left" w:pos="2268"/>
        </w:tabs>
        <w:ind w:left="2268" w:hanging="1134"/>
        <w:rPr>
          <w:b/>
          <w:lang w:val="fr-FR"/>
        </w:rPr>
      </w:pPr>
      <w:r>
        <w:rPr>
          <w:lang w:val="fr-FR"/>
        </w:rPr>
        <w:t>«</w:t>
      </w:r>
      <w:r w:rsidR="00C137A0">
        <w:rPr>
          <w:lang w:val="fr-FR"/>
        </w:rPr>
        <w:t> </w:t>
      </w:r>
      <w:r w:rsidRPr="00C137A0">
        <w:rPr>
          <w:b/>
          <w:lang w:val="fr-FR"/>
        </w:rPr>
        <w:t>7.1.3</w:t>
      </w:r>
      <w:r w:rsidRPr="007F0E02">
        <w:rPr>
          <w:lang w:val="fr-FR"/>
        </w:rPr>
        <w:tab/>
      </w:r>
      <w:r w:rsidRPr="006027FA">
        <w:rPr>
          <w:b/>
          <w:lang w:val="fr-FR"/>
        </w:rPr>
        <w:t>Le couple de serrage pour la fixation des ancrages des sièges conformément aux prescriptions de l’appendice 1 doit être spécifié par le constructeur du véhicule. Cette disposition ne s’applique toutefois pas aux fixations de sièges qui s’enclenchent les unes dans les autres et aux fixations pour lesquelles une force donnée doit être appliquée.</w:t>
      </w:r>
    </w:p>
    <w:p w:rsidR="000B1755" w:rsidRPr="006027FA" w:rsidRDefault="000B1755" w:rsidP="00E45E59">
      <w:pPr>
        <w:pStyle w:val="SingleTxtG"/>
        <w:tabs>
          <w:tab w:val="left" w:pos="2268"/>
        </w:tabs>
        <w:ind w:left="2268" w:hanging="1134"/>
        <w:rPr>
          <w:rFonts w:eastAsia="Arial"/>
          <w:b/>
          <w:lang w:val="fr-FR"/>
        </w:rPr>
      </w:pPr>
      <w:r w:rsidRPr="006027FA">
        <w:rPr>
          <w:b/>
          <w:lang w:val="fr-FR"/>
        </w:rPr>
        <w:t>7.1.3.1</w:t>
      </w:r>
      <w:r w:rsidRPr="007F0E02">
        <w:rPr>
          <w:lang w:val="fr-FR"/>
        </w:rPr>
        <w:tab/>
      </w:r>
      <w:r w:rsidRPr="006027FA">
        <w:rPr>
          <w:b/>
          <w:lang w:val="fr-FR"/>
        </w:rPr>
        <w:t>S’il y a lieu, le couple de serrage pour la fixation des ancrages des sièges tel que spécifié par le constructeur du véhicule doit être indiqué sur un pictogramme fixé sur le siège.</w:t>
      </w:r>
    </w:p>
    <w:p w:rsidR="000B1755" w:rsidRPr="007F0E02" w:rsidRDefault="000B1755" w:rsidP="006027FA">
      <w:pPr>
        <w:pStyle w:val="SingleTxtG"/>
        <w:tabs>
          <w:tab w:val="left" w:pos="2268"/>
        </w:tabs>
        <w:ind w:left="2268" w:hanging="1134"/>
        <w:rPr>
          <w:rFonts w:eastAsia="Arial"/>
          <w:spacing w:val="9"/>
          <w:lang w:val="fr-FR"/>
        </w:rPr>
      </w:pPr>
      <w:r w:rsidRPr="00792AEC">
        <w:rPr>
          <w:b/>
          <w:lang w:val="fr-FR"/>
        </w:rPr>
        <w:t>7.1.3.2</w:t>
      </w:r>
      <w:r w:rsidRPr="007F0E02">
        <w:rPr>
          <w:lang w:val="fr-FR"/>
        </w:rPr>
        <w:tab/>
      </w:r>
      <w:r w:rsidRPr="006027FA">
        <w:rPr>
          <w:b/>
          <w:lang w:val="fr-FR"/>
        </w:rPr>
        <w:t>La procédure de fixation du siège et, s’il y a lieu, le couple de serrage des fixations du siège doivent être indiqués dans le manuel d’utilisation du véhicule.</w:t>
      </w:r>
      <w:r w:rsidR="001401A3">
        <w:rPr>
          <w:b/>
          <w:lang w:val="fr-FR"/>
        </w:rPr>
        <w:t> </w:t>
      </w:r>
      <w:r>
        <w:rPr>
          <w:lang w:val="fr-FR"/>
        </w:rPr>
        <w:t>»</w:t>
      </w:r>
      <w:r w:rsidRPr="007F0E02">
        <w:rPr>
          <w:lang w:val="fr-FR"/>
        </w:rPr>
        <w:t>.</w:t>
      </w:r>
    </w:p>
    <w:p w:rsidR="000B1755" w:rsidRPr="007F0E02" w:rsidRDefault="000B1755" w:rsidP="00994396">
      <w:pPr>
        <w:pStyle w:val="SingleTxtG"/>
        <w:rPr>
          <w:lang w:val="fr-FR"/>
        </w:rPr>
      </w:pPr>
      <w:r w:rsidRPr="007F0E02">
        <w:rPr>
          <w:i/>
          <w:lang w:val="fr-FR"/>
        </w:rPr>
        <w:t>Paragraphes 7.3 à 7.3.2.2</w:t>
      </w:r>
      <w:r w:rsidRPr="007F0E02">
        <w:rPr>
          <w:lang w:val="fr-FR"/>
        </w:rPr>
        <w:t>, supprimer.</w:t>
      </w:r>
    </w:p>
    <w:p w:rsidR="000B1755" w:rsidRPr="007F0E02" w:rsidRDefault="000B1755" w:rsidP="00994396">
      <w:pPr>
        <w:pStyle w:val="SingleTxtG"/>
        <w:rPr>
          <w:i/>
          <w:lang w:val="fr-FR"/>
        </w:rPr>
      </w:pPr>
      <w:r w:rsidRPr="007F0E02">
        <w:rPr>
          <w:i/>
          <w:lang w:val="fr-FR"/>
        </w:rPr>
        <w:t>Les paragraphes 7.4 à 7.4.4</w:t>
      </w:r>
      <w:r w:rsidRPr="007F0E02">
        <w:rPr>
          <w:lang w:val="fr-FR"/>
        </w:rPr>
        <w:t xml:space="preserve"> deviennent les paragraphes 7.3 à 7.3.4.</w:t>
      </w:r>
    </w:p>
    <w:p w:rsidR="000B1755" w:rsidRPr="007F0E02" w:rsidRDefault="000B1755" w:rsidP="00994396">
      <w:pPr>
        <w:pStyle w:val="SingleTxtG"/>
        <w:rPr>
          <w:lang w:val="fr-FR"/>
        </w:rPr>
      </w:pPr>
      <w:r w:rsidRPr="007F0E02">
        <w:rPr>
          <w:i/>
          <w:lang w:val="fr-FR"/>
        </w:rPr>
        <w:t>Ajouter les nouveaux paragraphes 12.10 à 12.14</w:t>
      </w:r>
      <w:r w:rsidRPr="007F0E02">
        <w:rPr>
          <w:lang w:val="fr-FR"/>
        </w:rPr>
        <w:t>, libellés comme suit</w:t>
      </w:r>
      <w:r w:rsidR="006027FA">
        <w:rPr>
          <w:lang w:val="fr-FR"/>
        </w:rPr>
        <w:t> </w:t>
      </w:r>
      <w:r>
        <w:rPr>
          <w:lang w:val="fr-FR"/>
        </w:rPr>
        <w:t>:</w:t>
      </w:r>
    </w:p>
    <w:p w:rsidR="000B1755" w:rsidRPr="00602800" w:rsidRDefault="000B1755" w:rsidP="00602800">
      <w:pPr>
        <w:pStyle w:val="SingleTxtG"/>
        <w:tabs>
          <w:tab w:val="left" w:pos="2268"/>
        </w:tabs>
        <w:ind w:left="2268" w:hanging="1134"/>
        <w:rPr>
          <w:rFonts w:eastAsia="Arial"/>
          <w:b/>
          <w:lang w:val="fr-FR"/>
        </w:rPr>
      </w:pPr>
      <w:r>
        <w:rPr>
          <w:lang w:val="fr-FR"/>
        </w:rPr>
        <w:t>«</w:t>
      </w:r>
      <w:r w:rsidR="00602800">
        <w:rPr>
          <w:lang w:val="fr-FR"/>
        </w:rPr>
        <w:t> </w:t>
      </w:r>
      <w:r w:rsidRPr="00602800">
        <w:rPr>
          <w:b/>
          <w:lang w:val="fr-FR"/>
        </w:rPr>
        <w:t>12.10</w:t>
      </w:r>
      <w:r w:rsidRPr="007F0E02">
        <w:rPr>
          <w:lang w:val="fr-FR"/>
        </w:rPr>
        <w:tab/>
      </w:r>
      <w:r w:rsidRPr="00602800">
        <w:rPr>
          <w:b/>
          <w:lang w:val="fr-FR"/>
        </w:rPr>
        <w:t>À compter de la date officielle d’entrée en vigueur de la série 04 d’amendements, aucune Partie contractante appliquant le présent Règlement ne peut refuser d’accorder ou refuser d’accepter des homologations de type délivrées en vertu du présent Règlement tel que modifié par la série 04 d’amendements.</w:t>
      </w:r>
    </w:p>
    <w:p w:rsidR="000B1755" w:rsidRPr="007F0E02" w:rsidRDefault="000B1755" w:rsidP="00602800">
      <w:pPr>
        <w:pStyle w:val="SingleTxtG"/>
        <w:tabs>
          <w:tab w:val="left" w:pos="2268"/>
        </w:tabs>
        <w:ind w:left="2268" w:hanging="1134"/>
        <w:rPr>
          <w:rFonts w:eastAsia="Arial"/>
          <w:lang w:val="fr-FR"/>
        </w:rPr>
      </w:pPr>
      <w:r w:rsidRPr="00602800">
        <w:rPr>
          <w:b/>
          <w:lang w:val="fr-FR"/>
        </w:rPr>
        <w:t>12.11</w:t>
      </w:r>
      <w:r w:rsidRPr="00602800">
        <w:rPr>
          <w:b/>
          <w:lang w:val="fr-FR"/>
        </w:rPr>
        <w:tab/>
        <w:t>À compter du 1</w:t>
      </w:r>
      <w:r w:rsidRPr="00602800">
        <w:rPr>
          <w:b/>
          <w:vertAlign w:val="superscript"/>
          <w:lang w:val="fr-FR"/>
        </w:rPr>
        <w:t>er</w:t>
      </w:r>
      <w:r w:rsidR="00602800">
        <w:rPr>
          <w:b/>
          <w:lang w:val="fr-FR"/>
        </w:rPr>
        <w:t> </w:t>
      </w:r>
      <w:r w:rsidRPr="00602800">
        <w:rPr>
          <w:b/>
          <w:lang w:val="fr-FR"/>
        </w:rPr>
        <w:t>septembre [2019], les Parties contractantes appliquant le présent Règlement ne seront pas tenues d’accepter les homologations de type accordées au titre de la série précédente d’amendements, qui auront été émises après le 1</w:t>
      </w:r>
      <w:r w:rsidRPr="00602800">
        <w:rPr>
          <w:b/>
          <w:vertAlign w:val="superscript"/>
          <w:lang w:val="fr-FR"/>
        </w:rPr>
        <w:t>er</w:t>
      </w:r>
      <w:r w:rsidR="00602800">
        <w:rPr>
          <w:b/>
          <w:lang w:val="fr-FR"/>
        </w:rPr>
        <w:t> </w:t>
      </w:r>
      <w:r w:rsidRPr="00602800">
        <w:rPr>
          <w:b/>
          <w:lang w:val="fr-FR"/>
        </w:rPr>
        <w:t>septembre [2019].</w:t>
      </w:r>
    </w:p>
    <w:p w:rsidR="000B1755" w:rsidRPr="00602800" w:rsidRDefault="000B1755" w:rsidP="00602800">
      <w:pPr>
        <w:pStyle w:val="SingleTxtG"/>
        <w:tabs>
          <w:tab w:val="left" w:pos="2268"/>
        </w:tabs>
        <w:ind w:left="2268" w:hanging="1134"/>
        <w:rPr>
          <w:rFonts w:eastAsia="Arial"/>
          <w:b/>
          <w:lang w:val="fr-FR"/>
        </w:rPr>
      </w:pPr>
      <w:r w:rsidRPr="00602800">
        <w:rPr>
          <w:b/>
          <w:lang w:val="fr-FR"/>
        </w:rPr>
        <w:t>12.12</w:t>
      </w:r>
      <w:r w:rsidRPr="00602800">
        <w:rPr>
          <w:b/>
          <w:lang w:val="fr-FR"/>
        </w:rPr>
        <w:tab/>
        <w:t>Jusqu’au 1</w:t>
      </w:r>
      <w:r w:rsidRPr="00602800">
        <w:rPr>
          <w:b/>
          <w:vertAlign w:val="superscript"/>
          <w:lang w:val="fr-FR"/>
        </w:rPr>
        <w:t>er</w:t>
      </w:r>
      <w:r w:rsidR="00602800">
        <w:rPr>
          <w:b/>
          <w:lang w:val="fr-FR"/>
        </w:rPr>
        <w:t> </w:t>
      </w:r>
      <w:r w:rsidRPr="00602800">
        <w:rPr>
          <w:b/>
          <w:lang w:val="fr-FR"/>
        </w:rPr>
        <w:t>septembre [2020], les Parties contractantes appliquant le présent Règlement devront accepter les homologations de type accordées au titre de la série précédente d’amendements, qui auront été émises avant le 1</w:t>
      </w:r>
      <w:r w:rsidRPr="00602800">
        <w:rPr>
          <w:b/>
          <w:vertAlign w:val="superscript"/>
          <w:lang w:val="fr-FR"/>
        </w:rPr>
        <w:t>er</w:t>
      </w:r>
      <w:r w:rsidR="001401A3">
        <w:rPr>
          <w:b/>
          <w:lang w:val="fr-FR"/>
        </w:rPr>
        <w:t> </w:t>
      </w:r>
      <w:r w:rsidRPr="00602800">
        <w:rPr>
          <w:b/>
          <w:lang w:val="fr-FR"/>
        </w:rPr>
        <w:t>septembre 20[19].</w:t>
      </w:r>
    </w:p>
    <w:p w:rsidR="000B1755" w:rsidRPr="001401A3" w:rsidRDefault="000B1755" w:rsidP="00602800">
      <w:pPr>
        <w:pStyle w:val="SingleTxtG"/>
        <w:tabs>
          <w:tab w:val="left" w:pos="2268"/>
        </w:tabs>
        <w:ind w:left="2268" w:hanging="1134"/>
        <w:rPr>
          <w:rFonts w:eastAsia="Arial"/>
          <w:b/>
          <w:lang w:val="fr-FR"/>
        </w:rPr>
      </w:pPr>
      <w:r w:rsidRPr="00602800">
        <w:rPr>
          <w:b/>
          <w:lang w:val="fr-FR"/>
        </w:rPr>
        <w:lastRenderedPageBreak/>
        <w:t>12.13</w:t>
      </w:r>
      <w:r w:rsidRPr="00602800">
        <w:rPr>
          <w:b/>
          <w:lang w:val="fr-FR"/>
        </w:rPr>
        <w:tab/>
      </w:r>
      <w:r w:rsidRPr="001401A3">
        <w:rPr>
          <w:b/>
          <w:lang w:val="fr-FR"/>
        </w:rPr>
        <w:t>À compter du 1</w:t>
      </w:r>
      <w:r w:rsidRPr="001401A3">
        <w:rPr>
          <w:b/>
          <w:vertAlign w:val="superscript"/>
          <w:lang w:val="fr-FR"/>
        </w:rPr>
        <w:t>er</w:t>
      </w:r>
      <w:r w:rsidR="001401A3">
        <w:rPr>
          <w:b/>
          <w:lang w:val="fr-FR"/>
        </w:rPr>
        <w:t> </w:t>
      </w:r>
      <w:r w:rsidRPr="001401A3">
        <w:rPr>
          <w:b/>
          <w:lang w:val="fr-FR"/>
        </w:rPr>
        <w:t>septembre [2020], les Parties contractantes appliquant le présent Règlement ne seront plus tenues d’accepter les homologations de type délivrées en vertu des précédentes séries d’amendements audit Règlement.</w:t>
      </w:r>
    </w:p>
    <w:p w:rsidR="000B1755" w:rsidRPr="001401A3" w:rsidRDefault="000B1755" w:rsidP="00602800">
      <w:pPr>
        <w:pStyle w:val="SingleTxtG"/>
        <w:tabs>
          <w:tab w:val="left" w:pos="2268"/>
        </w:tabs>
        <w:ind w:left="2268" w:hanging="1134"/>
        <w:rPr>
          <w:rFonts w:eastAsia="Arial"/>
          <w:b/>
          <w:lang w:val="fr-FR"/>
        </w:rPr>
      </w:pPr>
      <w:r w:rsidRPr="00602800">
        <w:rPr>
          <w:b/>
          <w:lang w:val="fr-FR"/>
        </w:rPr>
        <w:t>12.14</w:t>
      </w:r>
      <w:r w:rsidRPr="00602800">
        <w:rPr>
          <w:b/>
          <w:lang w:val="fr-FR"/>
        </w:rPr>
        <w:tab/>
      </w:r>
      <w:r w:rsidRPr="001401A3">
        <w:rPr>
          <w:b/>
          <w:lang w:val="fr-FR"/>
        </w:rPr>
        <w:t>Les Parties contractantes appliquant le présent Règlement ne doivent pas refuser d’accorder des homologations de type au titre de l’une quelconque des séries précédentes d’amendements audit Règlement, ni des extensions de telles homologations.</w:t>
      </w:r>
      <w:r w:rsidR="001401A3" w:rsidRPr="001401A3">
        <w:rPr>
          <w:b/>
          <w:lang w:val="fr-FR"/>
        </w:rPr>
        <w:t> </w:t>
      </w:r>
      <w:r w:rsidRPr="001401A3">
        <w:rPr>
          <w:b/>
          <w:lang w:val="fr-FR"/>
        </w:rPr>
        <w:t>».</w:t>
      </w:r>
    </w:p>
    <w:p w:rsidR="000B1755" w:rsidRPr="007F0E02" w:rsidRDefault="000B1755" w:rsidP="00994396">
      <w:pPr>
        <w:pStyle w:val="SingleTxtG"/>
        <w:rPr>
          <w:i/>
          <w:lang w:val="fr-FR"/>
        </w:rPr>
      </w:pPr>
      <w:r w:rsidRPr="007F0E02">
        <w:rPr>
          <w:i/>
          <w:lang w:val="fr-FR"/>
        </w:rPr>
        <w:t>Appendice 1</w:t>
      </w:r>
      <w:r w:rsidRPr="00602800">
        <w:rPr>
          <w:lang w:val="fr-FR"/>
        </w:rPr>
        <w:t xml:space="preserve">, </w:t>
      </w:r>
    </w:p>
    <w:p w:rsidR="000B1755" w:rsidRPr="007F0E02" w:rsidRDefault="000B1755" w:rsidP="00602800">
      <w:pPr>
        <w:pStyle w:val="SingleTxtG"/>
        <w:keepNext/>
        <w:rPr>
          <w:lang w:val="fr-FR"/>
        </w:rPr>
      </w:pPr>
      <w:r w:rsidRPr="007F0E02">
        <w:rPr>
          <w:i/>
          <w:lang w:val="fr-FR"/>
        </w:rPr>
        <w:t>Paragraphe 1.1.1.1</w:t>
      </w:r>
      <w:r w:rsidRPr="007F0E02">
        <w:rPr>
          <w:lang w:val="fr-FR"/>
        </w:rPr>
        <w:t>, modifier comme suit</w:t>
      </w:r>
      <w:r w:rsidR="00602800">
        <w:rPr>
          <w:lang w:val="fr-FR"/>
        </w:rPr>
        <w:t> </w:t>
      </w:r>
      <w:r>
        <w:rPr>
          <w:lang w:val="fr-FR"/>
        </w:rPr>
        <w:t>:</w:t>
      </w:r>
    </w:p>
    <w:p w:rsidR="000B1755" w:rsidRPr="007F0E02" w:rsidRDefault="000B1755" w:rsidP="00602800">
      <w:pPr>
        <w:pStyle w:val="SingleTxtG"/>
        <w:tabs>
          <w:tab w:val="left" w:pos="2268"/>
        </w:tabs>
        <w:ind w:left="2268" w:hanging="1134"/>
        <w:rPr>
          <w:lang w:val="fr-FR"/>
        </w:rPr>
      </w:pPr>
      <w:r>
        <w:rPr>
          <w:lang w:val="fr-FR"/>
        </w:rPr>
        <w:t>«</w:t>
      </w:r>
      <w:r w:rsidR="00602800">
        <w:rPr>
          <w:lang w:val="fr-FR"/>
        </w:rPr>
        <w:t> </w:t>
      </w:r>
      <w:r w:rsidRPr="007F0E02">
        <w:rPr>
          <w:lang w:val="fr-FR"/>
        </w:rPr>
        <w:t>1.1.1.1</w:t>
      </w:r>
      <w:r w:rsidRPr="007F0E02">
        <w:rPr>
          <w:lang w:val="fr-FR"/>
        </w:rPr>
        <w:tab/>
        <w:t>Cette condition est réputée satisfaite si le mouvement du mannequin vers l</w:t>
      </w:r>
      <w:r>
        <w:rPr>
          <w:lang w:val="fr-FR"/>
        </w:rPr>
        <w:t>’</w:t>
      </w:r>
      <w:r w:rsidRPr="007F0E02">
        <w:rPr>
          <w:lang w:val="fr-FR"/>
        </w:rPr>
        <w:t>avant est tel qu</w:t>
      </w:r>
      <w:r>
        <w:rPr>
          <w:lang w:val="fr-FR"/>
        </w:rPr>
        <w:t>’</w:t>
      </w:r>
      <w:r w:rsidRPr="007F0E02">
        <w:rPr>
          <w:lang w:val="fr-FR"/>
        </w:rPr>
        <w:t xml:space="preserve">aucune partie du tronc ou de la tête ne dépasse un plan vertical transversal situé à </w:t>
      </w:r>
      <w:r w:rsidRPr="007F0E02">
        <w:rPr>
          <w:strike/>
          <w:lang w:val="fr-FR"/>
        </w:rPr>
        <w:t>1,6 m</w:t>
      </w:r>
      <w:r w:rsidRPr="007F0E02">
        <w:rPr>
          <w:lang w:val="fr-FR"/>
        </w:rPr>
        <w:t xml:space="preserve"> </w:t>
      </w:r>
      <w:r w:rsidRPr="00602800">
        <w:rPr>
          <w:b/>
          <w:lang w:val="fr-FR"/>
        </w:rPr>
        <w:t>1,2 m</w:t>
      </w:r>
      <w:r w:rsidRPr="007F0E02">
        <w:rPr>
          <w:lang w:val="fr-FR"/>
        </w:rPr>
        <w:t xml:space="preserve"> du point R du siège auxiliaire</w:t>
      </w:r>
      <w:r w:rsidR="00602800">
        <w:rPr>
          <w:lang w:val="fr-FR"/>
        </w:rPr>
        <w:t> </w:t>
      </w:r>
      <w:r w:rsidRPr="007F0E02">
        <w:rPr>
          <w:lang w:val="fr-FR"/>
        </w:rPr>
        <w:t>;</w:t>
      </w:r>
      <w:r w:rsidR="00602800">
        <w:rPr>
          <w:lang w:val="fr-FR"/>
        </w:rPr>
        <w:t> </w:t>
      </w:r>
      <w:r>
        <w:rPr>
          <w:lang w:val="fr-FR"/>
        </w:rPr>
        <w:t>»</w:t>
      </w:r>
      <w:r w:rsidRPr="007F0E02">
        <w:rPr>
          <w:lang w:val="fr-FR"/>
        </w:rPr>
        <w:t>.</w:t>
      </w:r>
    </w:p>
    <w:p w:rsidR="000B1755" w:rsidRPr="007F0E02" w:rsidRDefault="000B1755" w:rsidP="00994396">
      <w:pPr>
        <w:pStyle w:val="SingleTxtG"/>
        <w:rPr>
          <w:lang w:val="fr-FR"/>
        </w:rPr>
      </w:pPr>
      <w:r w:rsidRPr="007F0E02">
        <w:rPr>
          <w:i/>
          <w:lang w:val="fr-FR"/>
        </w:rPr>
        <w:t>Paragraphe 1.1.3.1.2</w:t>
      </w:r>
      <w:r w:rsidRPr="007F0E02">
        <w:rPr>
          <w:lang w:val="fr-FR"/>
        </w:rPr>
        <w:t>, modifier comme suit</w:t>
      </w:r>
      <w:r w:rsidR="00602800">
        <w:rPr>
          <w:lang w:val="fr-FR"/>
        </w:rPr>
        <w:t> </w:t>
      </w:r>
      <w:r>
        <w:rPr>
          <w:lang w:val="fr-FR"/>
        </w:rPr>
        <w:t>:</w:t>
      </w:r>
    </w:p>
    <w:p w:rsidR="000B1755" w:rsidRPr="007F0E02" w:rsidRDefault="000B1755" w:rsidP="00602800">
      <w:pPr>
        <w:pStyle w:val="SingleTxtG"/>
        <w:tabs>
          <w:tab w:val="left" w:pos="2268"/>
        </w:tabs>
        <w:ind w:left="2268" w:hanging="1134"/>
        <w:rPr>
          <w:lang w:val="fr-FR"/>
        </w:rPr>
      </w:pPr>
      <w:r>
        <w:rPr>
          <w:lang w:val="fr-FR"/>
        </w:rPr>
        <w:t>«</w:t>
      </w:r>
      <w:r w:rsidR="00602800">
        <w:rPr>
          <w:lang w:val="fr-FR"/>
        </w:rPr>
        <w:t> 1.1.3.1.2</w:t>
      </w:r>
      <w:r w:rsidR="00602800">
        <w:rPr>
          <w:lang w:val="fr-FR"/>
        </w:rPr>
        <w:tab/>
      </w:r>
      <w:r w:rsidRPr="007F0E02">
        <w:rPr>
          <w:lang w:val="fr-FR"/>
        </w:rPr>
        <w:t>Le siège demeure solidement fixé, même si un ou plusieurs de ses ancrages se détachent en partie, et tous les dispositifs de verrouillage demeurent enclenchés pendant toute la durée de l</w:t>
      </w:r>
      <w:r>
        <w:rPr>
          <w:lang w:val="fr-FR"/>
        </w:rPr>
        <w:t>’</w:t>
      </w:r>
      <w:r w:rsidRPr="007F0E02">
        <w:rPr>
          <w:lang w:val="fr-FR"/>
        </w:rPr>
        <w:t>essai</w:t>
      </w:r>
      <w:r w:rsidR="00237880">
        <w:rPr>
          <w:lang w:val="fr-FR"/>
        </w:rPr>
        <w:t> </w:t>
      </w:r>
      <w:r w:rsidRPr="007F0E02">
        <w:rPr>
          <w:strike/>
          <w:lang w:val="fr-FR"/>
        </w:rPr>
        <w:t>;</w:t>
      </w:r>
      <w:r w:rsidRPr="007F0E02">
        <w:rPr>
          <w:lang w:val="fr-FR"/>
        </w:rPr>
        <w:t>.</w:t>
      </w:r>
    </w:p>
    <w:p w:rsidR="000B1755" w:rsidRPr="007F0E02" w:rsidRDefault="000B1755" w:rsidP="00602800">
      <w:pPr>
        <w:pStyle w:val="SingleTxtG"/>
        <w:ind w:left="2268"/>
        <w:rPr>
          <w:rFonts w:eastAsia="Arial"/>
          <w:lang w:val="fr-FR"/>
        </w:rPr>
      </w:pPr>
      <w:r w:rsidRPr="007F0E02">
        <w:rPr>
          <w:rFonts w:eastAsia="Arial"/>
          <w:lang w:val="fr-FR"/>
        </w:rPr>
        <w:tab/>
      </w:r>
      <w:r w:rsidRPr="00602800">
        <w:rPr>
          <w:b/>
          <w:lang w:val="fr-FR"/>
        </w:rPr>
        <w:t xml:space="preserve">Cette condition est réputée satisfaite si aucune partie de l’ancrage du siège ne se déplace de plus de </w:t>
      </w:r>
      <w:r w:rsidRPr="00602800">
        <w:rPr>
          <w:rFonts w:eastAsia="Arial"/>
          <w:b/>
          <w:lang w:val="fr-FR"/>
        </w:rPr>
        <w:t>100 mm dans la direction de l’essai</w:t>
      </w:r>
      <w:r w:rsidR="00602800">
        <w:rPr>
          <w:rFonts w:eastAsia="Arial"/>
          <w:b/>
          <w:lang w:val="fr-FR"/>
        </w:rPr>
        <w:t> </w:t>
      </w:r>
      <w:r w:rsidRPr="00602800">
        <w:rPr>
          <w:rFonts w:eastAsia="Arial"/>
          <w:b/>
          <w:lang w:val="fr-FR"/>
        </w:rPr>
        <w:t>;</w:t>
      </w:r>
      <w:r w:rsidR="00602800">
        <w:rPr>
          <w:rFonts w:eastAsia="Arial"/>
          <w:b/>
          <w:lang w:val="fr-FR"/>
        </w:rPr>
        <w:t> </w:t>
      </w:r>
      <w:r>
        <w:rPr>
          <w:lang w:val="fr-FR"/>
        </w:rPr>
        <w:t>»</w:t>
      </w:r>
      <w:r w:rsidRPr="007F0E02">
        <w:rPr>
          <w:lang w:val="fr-FR"/>
        </w:rPr>
        <w:t>.</w:t>
      </w:r>
    </w:p>
    <w:p w:rsidR="000B1755" w:rsidRPr="007F0E02" w:rsidRDefault="000B1755" w:rsidP="00994396">
      <w:pPr>
        <w:pStyle w:val="SingleTxtG"/>
        <w:rPr>
          <w:lang w:val="fr-FR"/>
        </w:rPr>
      </w:pPr>
      <w:r w:rsidRPr="007F0E02">
        <w:rPr>
          <w:i/>
          <w:lang w:val="fr-FR"/>
        </w:rPr>
        <w:t>Paragraphes 2.1 et 2.1.1</w:t>
      </w:r>
      <w:r w:rsidRPr="007F0E02">
        <w:rPr>
          <w:lang w:val="fr-FR"/>
        </w:rPr>
        <w:t>, modifier comme suit</w:t>
      </w:r>
      <w:r w:rsidR="00602800">
        <w:rPr>
          <w:lang w:val="fr-FR"/>
        </w:rPr>
        <w:t> </w:t>
      </w:r>
      <w:r w:rsidRPr="007F0E02">
        <w:rPr>
          <w:lang w:val="fr-FR"/>
        </w:rPr>
        <w:t>:</w:t>
      </w:r>
    </w:p>
    <w:p w:rsidR="000B1755" w:rsidRPr="007F0E02" w:rsidRDefault="000B1755" w:rsidP="00602800">
      <w:pPr>
        <w:pStyle w:val="SingleTxtG"/>
        <w:tabs>
          <w:tab w:val="left" w:pos="2268"/>
        </w:tabs>
        <w:ind w:left="2268" w:hanging="1134"/>
        <w:rPr>
          <w:lang w:val="fr-FR"/>
        </w:rPr>
      </w:pPr>
      <w:r>
        <w:rPr>
          <w:lang w:val="fr-FR"/>
        </w:rPr>
        <w:t>«</w:t>
      </w:r>
      <w:r w:rsidR="00602800">
        <w:rPr>
          <w:lang w:val="fr-FR"/>
        </w:rPr>
        <w:t> </w:t>
      </w:r>
      <w:r w:rsidRPr="007F0E02">
        <w:rPr>
          <w:lang w:val="fr-FR"/>
        </w:rPr>
        <w:t>2.1</w:t>
      </w:r>
      <w:r w:rsidRPr="007F0E02">
        <w:rPr>
          <w:lang w:val="fr-FR"/>
        </w:rPr>
        <w:tab/>
      </w:r>
      <w:r w:rsidRPr="007F0E02">
        <w:rPr>
          <w:lang w:val="fr-FR"/>
        </w:rPr>
        <w:tab/>
        <w:t>Le siège soumis à l</w:t>
      </w:r>
      <w:r>
        <w:rPr>
          <w:lang w:val="fr-FR"/>
        </w:rPr>
        <w:t>’</w:t>
      </w:r>
      <w:r w:rsidRPr="007F0E02">
        <w:rPr>
          <w:lang w:val="fr-FR"/>
        </w:rPr>
        <w:t>essai doit être monté</w:t>
      </w:r>
      <w:r w:rsidR="00237880">
        <w:rPr>
          <w:lang w:val="fr-FR"/>
        </w:rPr>
        <w:t> </w:t>
      </w:r>
      <w:r w:rsidRPr="007F0E02">
        <w:rPr>
          <w:strike/>
          <w:lang w:val="fr-FR"/>
        </w:rPr>
        <w:t>:</w:t>
      </w:r>
    </w:p>
    <w:p w:rsidR="000B1755" w:rsidRPr="007F0E02" w:rsidRDefault="000B1755" w:rsidP="00602800">
      <w:pPr>
        <w:pStyle w:val="SingleTxtG"/>
        <w:tabs>
          <w:tab w:val="left" w:pos="2268"/>
        </w:tabs>
        <w:ind w:left="2268" w:hanging="1134"/>
        <w:rPr>
          <w:lang w:val="fr-FR"/>
        </w:rPr>
      </w:pPr>
      <w:r w:rsidRPr="007F0E02">
        <w:rPr>
          <w:strike/>
          <w:lang w:val="fr-FR"/>
        </w:rPr>
        <w:t>2.1.1</w:t>
      </w:r>
      <w:r w:rsidRPr="007F0E02">
        <w:rPr>
          <w:strike/>
          <w:lang w:val="fr-FR"/>
        </w:rPr>
        <w:tab/>
      </w:r>
      <w:r w:rsidRPr="007F0E02">
        <w:rPr>
          <w:strike/>
          <w:lang w:val="fr-FR"/>
        </w:rPr>
        <w:tab/>
        <w:t>Soit</w:t>
      </w:r>
      <w:r w:rsidR="00C137A0">
        <w:rPr>
          <w:lang w:val="fr-FR"/>
        </w:rPr>
        <w:t xml:space="preserve"> sur une plate</w:t>
      </w:r>
      <w:r w:rsidRPr="007F0E02">
        <w:rPr>
          <w:lang w:val="fr-FR"/>
        </w:rPr>
        <w:t>forme d</w:t>
      </w:r>
      <w:r>
        <w:rPr>
          <w:lang w:val="fr-FR"/>
        </w:rPr>
        <w:t>’</w:t>
      </w:r>
      <w:r w:rsidRPr="007F0E02">
        <w:rPr>
          <w:lang w:val="fr-FR"/>
        </w:rPr>
        <w:t>essai représentative de la carrosserie d</w:t>
      </w:r>
      <w:r>
        <w:rPr>
          <w:lang w:val="fr-FR"/>
        </w:rPr>
        <w:t>’</w:t>
      </w:r>
      <w:r w:rsidRPr="007F0E02">
        <w:rPr>
          <w:lang w:val="fr-FR"/>
        </w:rPr>
        <w:t>un véhicule.</w:t>
      </w:r>
      <w:r w:rsidR="00602800">
        <w:rPr>
          <w:lang w:val="fr-FR"/>
        </w:rPr>
        <w:t> </w:t>
      </w:r>
      <w:r>
        <w:rPr>
          <w:lang w:val="fr-FR"/>
        </w:rPr>
        <w:t>»</w:t>
      </w:r>
      <w:r w:rsidRPr="007F0E02">
        <w:rPr>
          <w:lang w:val="fr-FR"/>
        </w:rPr>
        <w:t>.</w:t>
      </w:r>
    </w:p>
    <w:p w:rsidR="000B1755" w:rsidRPr="007F0E02" w:rsidRDefault="000B1755" w:rsidP="00994396">
      <w:pPr>
        <w:pStyle w:val="SingleTxtG"/>
        <w:rPr>
          <w:lang w:val="fr-FR"/>
        </w:rPr>
      </w:pPr>
      <w:r w:rsidRPr="007F0E02">
        <w:rPr>
          <w:i/>
          <w:lang w:val="fr-FR"/>
        </w:rPr>
        <w:t>Paragraphes 2.1.2 et 2.2</w:t>
      </w:r>
      <w:r w:rsidRPr="007F0E02">
        <w:rPr>
          <w:lang w:val="fr-FR"/>
        </w:rPr>
        <w:t>, supprimer.</w:t>
      </w:r>
    </w:p>
    <w:p w:rsidR="000B1755" w:rsidRPr="007F0E02" w:rsidRDefault="000B1755" w:rsidP="00994396">
      <w:pPr>
        <w:pStyle w:val="SingleTxtG"/>
        <w:rPr>
          <w:i/>
          <w:lang w:val="fr-FR"/>
        </w:rPr>
      </w:pPr>
      <w:r w:rsidRPr="007F0E02">
        <w:rPr>
          <w:i/>
          <w:lang w:val="fr-FR"/>
        </w:rPr>
        <w:t>Les paragraphes 2.3 à 2.7</w:t>
      </w:r>
      <w:r w:rsidRPr="007F0E02">
        <w:rPr>
          <w:lang w:val="fr-FR"/>
        </w:rPr>
        <w:t xml:space="preserve"> deviennent les paragraphes 2.2 à 2.6.</w:t>
      </w:r>
    </w:p>
    <w:p w:rsidR="000B1755" w:rsidRPr="007F0E02" w:rsidRDefault="000B1755" w:rsidP="00994396">
      <w:pPr>
        <w:pStyle w:val="SingleTxtG"/>
        <w:rPr>
          <w:lang w:val="fr-FR"/>
        </w:rPr>
      </w:pPr>
      <w:r w:rsidRPr="007F0E02">
        <w:rPr>
          <w:i/>
          <w:lang w:val="fr-FR"/>
        </w:rPr>
        <w:t>Paragraphe 3.1</w:t>
      </w:r>
      <w:r w:rsidRPr="007F0E02">
        <w:rPr>
          <w:lang w:val="fr-FR"/>
        </w:rPr>
        <w:t>, modifier comme suit</w:t>
      </w:r>
      <w:r w:rsidR="00602800">
        <w:rPr>
          <w:lang w:val="fr-FR"/>
        </w:rPr>
        <w:t> </w:t>
      </w:r>
      <w:r w:rsidRPr="007F0E02">
        <w:rPr>
          <w:lang w:val="fr-FR"/>
        </w:rPr>
        <w:t>:</w:t>
      </w:r>
    </w:p>
    <w:p w:rsidR="000B1755" w:rsidRPr="007F0E02" w:rsidRDefault="000B1755" w:rsidP="00602800">
      <w:pPr>
        <w:pStyle w:val="SingleTxtG"/>
        <w:tabs>
          <w:tab w:val="left" w:pos="2268"/>
        </w:tabs>
        <w:ind w:left="2268" w:hanging="1134"/>
        <w:rPr>
          <w:rFonts w:eastAsia="Arial"/>
          <w:lang w:val="fr-FR"/>
        </w:rPr>
      </w:pPr>
      <w:r>
        <w:rPr>
          <w:lang w:val="fr-FR"/>
        </w:rPr>
        <w:t>«</w:t>
      </w:r>
      <w:r w:rsidR="00602800">
        <w:rPr>
          <w:lang w:val="fr-FR"/>
        </w:rPr>
        <w:t> </w:t>
      </w:r>
      <w:r w:rsidRPr="007F0E02">
        <w:rPr>
          <w:lang w:val="fr-FR"/>
        </w:rPr>
        <w:t>3.1</w:t>
      </w:r>
      <w:r w:rsidRPr="007F0E02">
        <w:rPr>
          <w:lang w:val="fr-FR"/>
        </w:rPr>
        <w:tab/>
      </w:r>
      <w:r w:rsidRPr="007F0E02">
        <w:rPr>
          <w:lang w:val="fr-FR"/>
        </w:rPr>
        <w:tab/>
        <w:t>Essai 1</w:t>
      </w:r>
    </w:p>
    <w:p w:rsidR="000B1755" w:rsidRPr="007F0E02" w:rsidRDefault="00C137A0" w:rsidP="002D7AE8">
      <w:pPr>
        <w:pStyle w:val="SingleTxtG"/>
        <w:tabs>
          <w:tab w:val="left" w:pos="2268"/>
        </w:tabs>
        <w:ind w:left="2268" w:hanging="1134"/>
        <w:rPr>
          <w:lang w:val="fr-FR"/>
        </w:rPr>
      </w:pPr>
      <w:r>
        <w:rPr>
          <w:lang w:val="fr-FR"/>
        </w:rPr>
        <w:t>3.1.1</w:t>
      </w:r>
      <w:r>
        <w:rPr>
          <w:lang w:val="fr-FR"/>
        </w:rPr>
        <w:tab/>
        <w:t>La plate</w:t>
      </w:r>
      <w:r w:rsidR="000B1755" w:rsidRPr="007F0E02">
        <w:rPr>
          <w:lang w:val="fr-FR"/>
        </w:rPr>
        <w:t>forme d</w:t>
      </w:r>
      <w:r w:rsidR="000B1755">
        <w:rPr>
          <w:lang w:val="fr-FR"/>
        </w:rPr>
        <w:t>’</w:t>
      </w:r>
      <w:r w:rsidR="000B1755" w:rsidRPr="007F0E02">
        <w:rPr>
          <w:lang w:val="fr-FR"/>
        </w:rPr>
        <w:t xml:space="preserve">essai doit être montée sur un chariot. </w:t>
      </w:r>
      <w:r w:rsidR="000B1755" w:rsidRPr="002D7AE8">
        <w:rPr>
          <w:b/>
          <w:lang w:val="fr-FR"/>
        </w:rPr>
        <w:t>S’il y a lieu, les siège</w:t>
      </w:r>
      <w:r>
        <w:rPr>
          <w:b/>
          <w:lang w:val="fr-FR"/>
        </w:rPr>
        <w:t>s doivent être fixés à la plate</w:t>
      </w:r>
      <w:r w:rsidR="000B1755" w:rsidRPr="002D7AE8">
        <w:rPr>
          <w:b/>
          <w:lang w:val="fr-FR"/>
        </w:rPr>
        <w:t>forme d’essai conformément au couple spécifié par le constructeur.</w:t>
      </w:r>
      <w:r w:rsidR="002D7AE8">
        <w:rPr>
          <w:lang w:val="fr-FR"/>
        </w:rPr>
        <w:t> </w:t>
      </w:r>
      <w:r w:rsidR="000B1755">
        <w:rPr>
          <w:lang w:val="fr-FR"/>
        </w:rPr>
        <w:t>»</w:t>
      </w:r>
      <w:r w:rsidR="000B1755" w:rsidRPr="007F0E02">
        <w:rPr>
          <w:lang w:val="fr-FR"/>
        </w:rPr>
        <w:t>.</w:t>
      </w:r>
    </w:p>
    <w:p w:rsidR="000B1755" w:rsidRPr="007F0E02" w:rsidRDefault="000B1755" w:rsidP="00994396">
      <w:pPr>
        <w:pStyle w:val="SingleTxtG"/>
        <w:rPr>
          <w:lang w:val="fr-FR"/>
        </w:rPr>
      </w:pPr>
      <w:r w:rsidRPr="007F0E02">
        <w:rPr>
          <w:i/>
          <w:lang w:val="fr-FR"/>
        </w:rPr>
        <w:t>Section 7</w:t>
      </w:r>
      <w:r w:rsidRPr="007F0E02">
        <w:rPr>
          <w:lang w:val="fr-FR"/>
        </w:rPr>
        <w:t>, modifier comme suit</w:t>
      </w:r>
      <w:r w:rsidR="002D7AE8">
        <w:rPr>
          <w:lang w:val="fr-FR"/>
        </w:rPr>
        <w:t> </w:t>
      </w:r>
      <w:r>
        <w:rPr>
          <w:lang w:val="fr-FR"/>
        </w:rPr>
        <w:t>:</w:t>
      </w:r>
    </w:p>
    <w:p w:rsidR="000B1755" w:rsidRPr="007F0E02" w:rsidRDefault="000B1755" w:rsidP="002D7AE8">
      <w:pPr>
        <w:pStyle w:val="HChG"/>
        <w:ind w:left="2268"/>
        <w:rPr>
          <w:lang w:val="fr-FR"/>
        </w:rPr>
      </w:pPr>
      <w:r w:rsidRPr="002D7AE8">
        <w:rPr>
          <w:b w:val="0"/>
          <w:sz w:val="20"/>
          <w:lang w:val="fr-FR"/>
        </w:rPr>
        <w:t>«</w:t>
      </w:r>
      <w:r w:rsidR="002D7AE8">
        <w:rPr>
          <w:lang w:val="fr-FR"/>
        </w:rPr>
        <w:t> </w:t>
      </w:r>
      <w:r w:rsidRPr="007F0E02">
        <w:rPr>
          <w:lang w:val="fr-FR"/>
        </w:rPr>
        <w:t>7.</w:t>
      </w:r>
      <w:r w:rsidRPr="007F0E02">
        <w:rPr>
          <w:lang w:val="fr-FR"/>
        </w:rPr>
        <w:tab/>
      </w:r>
      <w:r w:rsidRPr="007F0E02">
        <w:rPr>
          <w:lang w:val="fr-FR"/>
        </w:rPr>
        <w:tab/>
        <w:t>Conformité de la production</w:t>
      </w:r>
    </w:p>
    <w:p w:rsidR="000B1755" w:rsidRPr="007F0E02" w:rsidRDefault="000B1755" w:rsidP="002D7AE8">
      <w:pPr>
        <w:pStyle w:val="SingleTxtG"/>
        <w:ind w:left="2268"/>
        <w:rPr>
          <w:lang w:val="fr-FR"/>
        </w:rPr>
      </w:pPr>
      <w:r w:rsidRPr="007F0E02">
        <w:rPr>
          <w:lang w:val="fr-FR"/>
        </w:rPr>
        <w:tab/>
        <w:t xml:space="preserve">Les procédures de contrôle de la conformité de la production doivent être conformes à celles indiquées dans </w:t>
      </w:r>
      <w:r w:rsidRPr="007F0E02">
        <w:rPr>
          <w:strike/>
          <w:lang w:val="fr-FR"/>
        </w:rPr>
        <w:t>l</w:t>
      </w:r>
      <w:r>
        <w:rPr>
          <w:strike/>
          <w:lang w:val="fr-FR"/>
        </w:rPr>
        <w:t>’</w:t>
      </w:r>
      <w:r w:rsidRPr="007F0E02">
        <w:rPr>
          <w:strike/>
          <w:lang w:val="fr-FR"/>
        </w:rPr>
        <w:t>appendice</w:t>
      </w:r>
      <w:r w:rsidR="002D7AE8">
        <w:rPr>
          <w:strike/>
          <w:lang w:val="fr-FR"/>
        </w:rPr>
        <w:t> </w:t>
      </w:r>
      <w:r w:rsidRPr="007F0E02">
        <w:rPr>
          <w:strike/>
          <w:lang w:val="fr-FR"/>
        </w:rPr>
        <w:t>2 de</w:t>
      </w:r>
      <w:r w:rsidRPr="007F0E02">
        <w:rPr>
          <w:lang w:val="fr-FR"/>
        </w:rPr>
        <w:t xml:space="preserve"> l</w:t>
      </w:r>
      <w:r>
        <w:rPr>
          <w:lang w:val="fr-FR"/>
        </w:rPr>
        <w:t>’</w:t>
      </w:r>
      <w:r w:rsidRPr="007F0E02">
        <w:rPr>
          <w:lang w:val="fr-FR"/>
        </w:rPr>
        <w:t>Accord (</w:t>
      </w:r>
      <w:r w:rsidRPr="002D7AE8">
        <w:rPr>
          <w:b/>
          <w:lang w:val="fr-FR"/>
        </w:rPr>
        <w:t>annexe</w:t>
      </w:r>
      <w:r w:rsidR="002D7AE8">
        <w:rPr>
          <w:b/>
          <w:lang w:val="fr-FR"/>
        </w:rPr>
        <w:t> </w:t>
      </w:r>
      <w:r w:rsidRPr="002D7AE8">
        <w:rPr>
          <w:b/>
          <w:lang w:val="fr-FR"/>
        </w:rPr>
        <w:t>1</w:t>
      </w:r>
      <w:r w:rsidRPr="007F0E02">
        <w:rPr>
          <w:lang w:val="fr-FR"/>
        </w:rPr>
        <w:t>, E/ECE/TRANS/505/Rev.</w:t>
      </w:r>
      <w:r w:rsidRPr="002D7AE8">
        <w:rPr>
          <w:b/>
          <w:lang w:val="fr-FR"/>
        </w:rPr>
        <w:t>3</w:t>
      </w:r>
      <w:r w:rsidRPr="007F0E02">
        <w:rPr>
          <w:lang w:val="fr-FR"/>
        </w:rPr>
        <w:t>), et satisfaire aux prescriptions ci-après</w:t>
      </w:r>
      <w:r w:rsidR="002D7AE8">
        <w:rPr>
          <w:lang w:val="fr-FR"/>
        </w:rPr>
        <w:t> </w:t>
      </w:r>
      <w:r>
        <w:rPr>
          <w:lang w:val="fr-FR"/>
        </w:rPr>
        <w:t>:</w:t>
      </w:r>
      <w:r w:rsidR="002D7AE8">
        <w:rPr>
          <w:lang w:val="fr-FR"/>
        </w:rPr>
        <w:t> </w:t>
      </w:r>
      <w:r>
        <w:rPr>
          <w:lang w:val="fr-FR"/>
        </w:rPr>
        <w:t>»</w:t>
      </w:r>
      <w:r w:rsidRPr="007F0E02">
        <w:rPr>
          <w:lang w:val="fr-FR"/>
        </w:rPr>
        <w:t>.</w:t>
      </w:r>
    </w:p>
    <w:p w:rsidR="000B1755" w:rsidRPr="007F0E02" w:rsidRDefault="000B1755" w:rsidP="00994396">
      <w:pPr>
        <w:pStyle w:val="SingleTxtG"/>
        <w:rPr>
          <w:i/>
          <w:lang w:val="fr-FR"/>
        </w:rPr>
      </w:pPr>
      <w:r w:rsidRPr="007F0E02">
        <w:rPr>
          <w:i/>
          <w:lang w:val="fr-FR"/>
        </w:rPr>
        <w:t>Appendice 5</w:t>
      </w:r>
      <w:r w:rsidRPr="002D7AE8">
        <w:rPr>
          <w:lang w:val="fr-FR"/>
        </w:rPr>
        <w:t>,</w:t>
      </w:r>
      <w:r w:rsidRPr="007F0E02">
        <w:rPr>
          <w:i/>
          <w:lang w:val="fr-FR"/>
        </w:rPr>
        <w:t xml:space="preserve"> </w:t>
      </w:r>
      <w:r w:rsidRPr="007F0E02">
        <w:rPr>
          <w:lang w:val="fr-FR"/>
        </w:rPr>
        <w:t>supprimer tous les paragraphes et réserver l</w:t>
      </w:r>
      <w:r>
        <w:rPr>
          <w:lang w:val="fr-FR"/>
        </w:rPr>
        <w:t>’</w:t>
      </w:r>
      <w:r w:rsidRPr="007F0E02">
        <w:rPr>
          <w:lang w:val="fr-FR"/>
        </w:rPr>
        <w:t>appendice à des amendements ultérieurs.</w:t>
      </w:r>
    </w:p>
    <w:p w:rsidR="000B1755" w:rsidRPr="007F0E02" w:rsidRDefault="000B1755" w:rsidP="00994396">
      <w:pPr>
        <w:pStyle w:val="SingleTxtG"/>
        <w:rPr>
          <w:i/>
          <w:lang w:val="fr-FR"/>
        </w:rPr>
      </w:pPr>
      <w:r w:rsidRPr="007F0E02">
        <w:rPr>
          <w:i/>
          <w:lang w:val="fr-FR"/>
        </w:rPr>
        <w:t>Annexe 1</w:t>
      </w:r>
      <w:r w:rsidRPr="007F0E02">
        <w:rPr>
          <w:lang w:val="fr-FR"/>
        </w:rPr>
        <w:t xml:space="preserve">, </w:t>
      </w:r>
    </w:p>
    <w:p w:rsidR="000B1755" w:rsidRPr="007F0E02" w:rsidRDefault="000B1755" w:rsidP="00994396">
      <w:pPr>
        <w:pStyle w:val="SingleTxtG"/>
        <w:rPr>
          <w:i/>
          <w:lang w:val="fr-FR"/>
        </w:rPr>
      </w:pPr>
      <w:r w:rsidRPr="007F0E02">
        <w:rPr>
          <w:i/>
          <w:lang w:val="fr-FR"/>
        </w:rPr>
        <w:t>Point 5.1</w:t>
      </w:r>
      <w:r w:rsidRPr="007F0E02">
        <w:rPr>
          <w:lang w:val="fr-FR"/>
        </w:rPr>
        <w:t>, modifier comme suit</w:t>
      </w:r>
      <w:r w:rsidR="002D7AE8">
        <w:rPr>
          <w:lang w:val="fr-FR"/>
        </w:rPr>
        <w:t> </w:t>
      </w:r>
      <w:r>
        <w:rPr>
          <w:lang w:val="fr-FR"/>
        </w:rPr>
        <w:t>:</w:t>
      </w:r>
    </w:p>
    <w:p w:rsidR="000B1755" w:rsidRPr="007F0E02" w:rsidRDefault="000B1755" w:rsidP="009A789E">
      <w:pPr>
        <w:pStyle w:val="SingleTxtG"/>
        <w:tabs>
          <w:tab w:val="left" w:pos="2268"/>
        </w:tabs>
        <w:ind w:left="2268" w:hanging="1134"/>
        <w:rPr>
          <w:rFonts w:eastAsia="Arial"/>
          <w:lang w:val="fr-FR"/>
        </w:rPr>
      </w:pPr>
      <w:r>
        <w:rPr>
          <w:lang w:val="fr-FR"/>
        </w:rPr>
        <w:t>«</w:t>
      </w:r>
      <w:r w:rsidR="002D7AE8">
        <w:rPr>
          <w:lang w:val="fr-FR"/>
        </w:rPr>
        <w:t> </w:t>
      </w:r>
      <w:r w:rsidRPr="007F0E02">
        <w:rPr>
          <w:lang w:val="fr-FR"/>
        </w:rPr>
        <w:t>5.1</w:t>
      </w:r>
      <w:r w:rsidRPr="007F0E02">
        <w:rPr>
          <w:lang w:val="fr-FR"/>
        </w:rPr>
        <w:tab/>
        <w:t xml:space="preserve">Description succincte du type de siège, de sa fixation et de ses systèmes de réglage, de déplacement et de verrouillage, y compris la distance minimale entre les points de fixation </w:t>
      </w:r>
      <w:r w:rsidRPr="002D7AE8">
        <w:rPr>
          <w:b/>
          <w:lang w:val="fr-FR"/>
        </w:rPr>
        <w:t>et, s’il y a lieu, le couple de serrage aux fins de la fixation du siège</w:t>
      </w:r>
      <w:r w:rsidR="002D7AE8">
        <w:rPr>
          <w:b/>
          <w:lang w:val="fr-FR"/>
        </w:rPr>
        <w:t> </w:t>
      </w:r>
      <w:r w:rsidR="002D7AE8" w:rsidRPr="00D61DDF">
        <w:rPr>
          <w:b/>
          <w:lang w:val="fr-FR"/>
        </w:rPr>
        <w:t>:</w:t>
      </w:r>
      <w:r w:rsidR="00237880">
        <w:rPr>
          <w:b/>
          <w:lang w:val="fr-FR"/>
        </w:rPr>
        <w:t xml:space="preserve"> </w:t>
      </w:r>
      <w:r w:rsidR="002D7AE8" w:rsidRPr="00D61DDF">
        <w:rPr>
          <w:b/>
          <w:lang w:val="fr-FR"/>
        </w:rPr>
        <w:t>……………………………………………………..</w:t>
      </w:r>
      <w:r w:rsidR="002D7AE8">
        <w:rPr>
          <w:lang w:val="fr-FR"/>
        </w:rPr>
        <w:t> »</w:t>
      </w:r>
      <w:r w:rsidRPr="007F0E02">
        <w:rPr>
          <w:lang w:val="fr-FR"/>
        </w:rPr>
        <w:t>.</w:t>
      </w:r>
      <w:r>
        <w:rPr>
          <w:lang w:val="fr-FR"/>
        </w:rPr>
        <w:t xml:space="preserve"> </w:t>
      </w:r>
    </w:p>
    <w:p w:rsidR="000B1755" w:rsidRPr="007F0E02" w:rsidRDefault="000B1755" w:rsidP="00994396">
      <w:pPr>
        <w:pStyle w:val="SingleTxtG"/>
        <w:rPr>
          <w:i/>
          <w:lang w:val="fr-FR"/>
        </w:rPr>
      </w:pPr>
      <w:r w:rsidRPr="007F0E02">
        <w:rPr>
          <w:i/>
          <w:lang w:val="fr-FR"/>
        </w:rPr>
        <w:t>Points</w:t>
      </w:r>
      <w:r>
        <w:rPr>
          <w:i/>
          <w:lang w:val="fr-FR"/>
        </w:rPr>
        <w:t xml:space="preserve"> </w:t>
      </w:r>
      <w:r w:rsidRPr="007F0E02">
        <w:rPr>
          <w:i/>
          <w:lang w:val="fr-FR"/>
        </w:rPr>
        <w:t>5.7 et 5.8</w:t>
      </w:r>
      <w:r w:rsidRPr="007F0E02">
        <w:rPr>
          <w:lang w:val="fr-FR"/>
        </w:rPr>
        <w:t>, supprimer.</w:t>
      </w:r>
    </w:p>
    <w:p w:rsidR="000B1755" w:rsidRPr="007F0E02" w:rsidRDefault="000B1755" w:rsidP="00D61DDF">
      <w:pPr>
        <w:pStyle w:val="SingleTxtG"/>
        <w:keepNext/>
        <w:rPr>
          <w:i/>
          <w:lang w:val="fr-FR"/>
        </w:rPr>
      </w:pPr>
      <w:r w:rsidRPr="007F0E02">
        <w:rPr>
          <w:i/>
          <w:lang w:val="fr-FR"/>
        </w:rPr>
        <w:lastRenderedPageBreak/>
        <w:t>Annexe 2, point 5.1</w:t>
      </w:r>
      <w:r w:rsidRPr="007F0E02">
        <w:rPr>
          <w:lang w:val="fr-FR"/>
        </w:rPr>
        <w:t>, modifier comme suit</w:t>
      </w:r>
      <w:r w:rsidR="00D61DDF">
        <w:rPr>
          <w:lang w:val="fr-FR"/>
        </w:rPr>
        <w:t> </w:t>
      </w:r>
      <w:r>
        <w:rPr>
          <w:lang w:val="fr-FR"/>
        </w:rPr>
        <w:t>:</w:t>
      </w:r>
    </w:p>
    <w:p w:rsidR="000B1755" w:rsidRPr="007F0E02" w:rsidRDefault="000B1755" w:rsidP="00D61DDF">
      <w:pPr>
        <w:pStyle w:val="SingleTxtG"/>
        <w:tabs>
          <w:tab w:val="left" w:pos="2268"/>
        </w:tabs>
        <w:ind w:left="2268" w:hanging="1134"/>
        <w:rPr>
          <w:lang w:val="fr-FR"/>
        </w:rPr>
      </w:pPr>
      <w:r>
        <w:rPr>
          <w:lang w:val="fr-FR"/>
        </w:rPr>
        <w:t>«</w:t>
      </w:r>
      <w:r w:rsidR="00D61DDF">
        <w:rPr>
          <w:lang w:val="fr-FR"/>
        </w:rPr>
        <w:t> </w:t>
      </w:r>
      <w:r w:rsidRPr="007F0E02">
        <w:rPr>
          <w:lang w:val="fr-FR"/>
        </w:rPr>
        <w:t>5.1</w:t>
      </w:r>
      <w:r w:rsidRPr="007F0E02">
        <w:rPr>
          <w:lang w:val="fr-FR"/>
        </w:rPr>
        <w:tab/>
        <w:t>Description succincte du type de véhicule selon ses ancrages et valeur minimale de l</w:t>
      </w:r>
      <w:r>
        <w:rPr>
          <w:lang w:val="fr-FR"/>
        </w:rPr>
        <w:t>’</w:t>
      </w:r>
      <w:r w:rsidRPr="007F0E02">
        <w:rPr>
          <w:lang w:val="fr-FR"/>
        </w:rPr>
        <w:t xml:space="preserve">empattement des ancrages </w:t>
      </w:r>
      <w:r w:rsidRPr="00D61DDF">
        <w:rPr>
          <w:b/>
          <w:lang w:val="fr-FR"/>
        </w:rPr>
        <w:t>et, s’il y a lieu, couple de serrage aux fins de la fixation du siège</w:t>
      </w:r>
      <w:r w:rsidR="00EB3FAB">
        <w:rPr>
          <w:b/>
          <w:lang w:val="fr-FR"/>
        </w:rPr>
        <w:t> </w:t>
      </w:r>
      <w:r w:rsidRPr="00D61DDF">
        <w:rPr>
          <w:b/>
          <w:lang w:val="fr-FR"/>
        </w:rPr>
        <w:t>:</w:t>
      </w:r>
      <w:r w:rsidR="00D61DDF">
        <w:rPr>
          <w:lang w:val="fr-FR"/>
        </w:rPr>
        <w:t> </w:t>
      </w:r>
      <w:r>
        <w:rPr>
          <w:lang w:val="fr-FR"/>
        </w:rPr>
        <w:t>»</w:t>
      </w:r>
      <w:r w:rsidRPr="007F0E02">
        <w:rPr>
          <w:lang w:val="fr-FR"/>
        </w:rPr>
        <w:t>.</w:t>
      </w:r>
    </w:p>
    <w:p w:rsidR="000B1755" w:rsidRPr="007F0E02" w:rsidRDefault="000B1755" w:rsidP="00994396">
      <w:pPr>
        <w:pStyle w:val="SingleTxtG"/>
        <w:rPr>
          <w:rFonts w:eastAsia="Arial"/>
          <w:i/>
          <w:lang w:val="fr-FR"/>
        </w:rPr>
      </w:pPr>
      <w:r w:rsidRPr="007F0E02">
        <w:rPr>
          <w:i/>
          <w:lang w:val="fr-FR"/>
        </w:rPr>
        <w:t>Annexe 3</w:t>
      </w:r>
      <w:r w:rsidRPr="007F0E02">
        <w:rPr>
          <w:lang w:val="fr-FR"/>
        </w:rPr>
        <w:t xml:space="preserve">, </w:t>
      </w:r>
      <w:r w:rsidRPr="007F0E02">
        <w:rPr>
          <w:szCs w:val="24"/>
          <w:lang w:val="fr-FR"/>
        </w:rPr>
        <w:t>modifier comme suit</w:t>
      </w:r>
      <w:r w:rsidR="00D61DDF">
        <w:rPr>
          <w:szCs w:val="24"/>
          <w:lang w:val="fr-FR"/>
        </w:rPr>
        <w:t> </w:t>
      </w:r>
      <w:r w:rsidRPr="007F0E02">
        <w:rPr>
          <w:szCs w:val="24"/>
          <w:lang w:val="fr-FR"/>
        </w:rPr>
        <w:t>:</w:t>
      </w:r>
    </w:p>
    <w:p w:rsidR="000B1755" w:rsidRPr="007F0E02" w:rsidRDefault="000B1755" w:rsidP="00D61DDF">
      <w:pPr>
        <w:pStyle w:val="HChG"/>
        <w:rPr>
          <w:rFonts w:eastAsia="Arial"/>
          <w:lang w:val="fr-FR"/>
        </w:rPr>
      </w:pPr>
      <w:r w:rsidRPr="00D61DDF">
        <w:rPr>
          <w:b w:val="0"/>
          <w:sz w:val="20"/>
          <w:lang w:val="fr-FR"/>
        </w:rPr>
        <w:t>«</w:t>
      </w:r>
      <w:r w:rsidR="00D61DDF" w:rsidRPr="00D61DDF">
        <w:rPr>
          <w:b w:val="0"/>
          <w:sz w:val="20"/>
          <w:lang w:val="fr-FR"/>
        </w:rPr>
        <w:t> </w:t>
      </w:r>
      <w:r w:rsidRPr="007F0E02">
        <w:rPr>
          <w:lang w:val="fr-FR"/>
        </w:rPr>
        <w:t>Annexe 3</w:t>
      </w:r>
    </w:p>
    <w:p w:rsidR="000B1755" w:rsidRPr="007F0E02" w:rsidRDefault="000B1755" w:rsidP="00D61DDF">
      <w:pPr>
        <w:pStyle w:val="HChG"/>
        <w:rPr>
          <w:lang w:val="fr-FR"/>
        </w:rPr>
      </w:pPr>
      <w:r w:rsidRPr="007F0E02">
        <w:rPr>
          <w:lang w:val="fr-FR"/>
        </w:rPr>
        <w:tab/>
      </w:r>
      <w:r w:rsidRPr="007F0E02">
        <w:rPr>
          <w:lang w:val="fr-FR"/>
        </w:rPr>
        <w:tab/>
        <w:t>Exemples de marques d</w:t>
      </w:r>
      <w:r>
        <w:rPr>
          <w:lang w:val="fr-FR"/>
        </w:rPr>
        <w:t>’</w:t>
      </w:r>
      <w:r w:rsidRPr="007F0E02">
        <w:rPr>
          <w:lang w:val="fr-FR"/>
        </w:rPr>
        <w:t>homologation</w:t>
      </w:r>
    </w:p>
    <w:p w:rsidR="000B1755" w:rsidRPr="007F0E02" w:rsidRDefault="000B1755" w:rsidP="00D61DDF">
      <w:pPr>
        <w:pStyle w:val="SingleTxtG"/>
        <w:tabs>
          <w:tab w:val="left" w:pos="2268"/>
        </w:tabs>
        <w:rPr>
          <w:rFonts w:eastAsia="Arial"/>
          <w:lang w:val="fr-FR"/>
        </w:rPr>
      </w:pPr>
      <w:r w:rsidRPr="007F0E02">
        <w:rPr>
          <w:lang w:val="fr-FR"/>
        </w:rPr>
        <w:t>1.</w:t>
      </w:r>
      <w:r w:rsidRPr="007F0E02">
        <w:rPr>
          <w:lang w:val="fr-FR"/>
        </w:rPr>
        <w:tab/>
      </w:r>
      <w:r w:rsidRPr="007F0E02">
        <w:rPr>
          <w:lang w:val="fr-FR"/>
        </w:rPr>
        <w:tab/>
        <w:t>Exemple de la marque d</w:t>
      </w:r>
      <w:r>
        <w:rPr>
          <w:lang w:val="fr-FR"/>
        </w:rPr>
        <w:t>’</w:t>
      </w:r>
      <w:r w:rsidRPr="007F0E02">
        <w:rPr>
          <w:lang w:val="fr-FR"/>
        </w:rPr>
        <w:t>homologation d</w:t>
      </w:r>
      <w:r>
        <w:rPr>
          <w:lang w:val="fr-FR"/>
        </w:rPr>
        <w:t>’</w:t>
      </w:r>
      <w:r w:rsidRPr="007F0E02">
        <w:rPr>
          <w:lang w:val="fr-FR"/>
        </w:rPr>
        <w:t>un siège</w:t>
      </w:r>
    </w:p>
    <w:p w:rsidR="000B1755" w:rsidRPr="007F0E02" w:rsidRDefault="000B1755" w:rsidP="00D61DDF">
      <w:pPr>
        <w:spacing w:after="120"/>
        <w:ind w:left="1134"/>
        <w:rPr>
          <w:lang w:val="fr-FR"/>
        </w:rPr>
      </w:pPr>
      <w:r w:rsidRPr="007F0E02">
        <w:rPr>
          <w:noProof/>
          <w:lang w:eastAsia="fr-CH"/>
        </w:rPr>
        <w:drawing>
          <wp:inline distT="0" distB="0" distL="0" distR="0" wp14:anchorId="69ED2B33" wp14:editId="4A9F32B8">
            <wp:extent cx="3562985" cy="758825"/>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0B1755" w:rsidRPr="007F0E02" w:rsidRDefault="000B1755" w:rsidP="00D61DDF">
      <w:pPr>
        <w:pStyle w:val="SingleTxtG"/>
        <w:spacing w:before="120"/>
        <w:ind w:left="2268"/>
        <w:rPr>
          <w:lang w:val="fr-FR"/>
        </w:rPr>
      </w:pPr>
      <w:r w:rsidRPr="007F0E02">
        <w:rPr>
          <w:lang w:val="fr-FR"/>
        </w:rPr>
        <w:tab/>
        <w:t>La marque d</w:t>
      </w:r>
      <w:r>
        <w:rPr>
          <w:lang w:val="fr-FR"/>
        </w:rPr>
        <w:t>’</w:t>
      </w:r>
      <w:r w:rsidRPr="007F0E02">
        <w:rPr>
          <w:lang w:val="fr-FR"/>
        </w:rPr>
        <w:t xml:space="preserve">homologation ci-dessus, apposée sur un siège, indique que ce type de siège </w:t>
      </w:r>
      <w:r w:rsidR="006C0882">
        <w:rPr>
          <w:lang w:val="fr-FR"/>
        </w:rPr>
        <w:t>a été homologué aux Pays-Bas (E</w:t>
      </w:r>
      <w:r w:rsidRPr="007F0E02">
        <w:rPr>
          <w:lang w:val="fr-FR"/>
        </w:rPr>
        <w:t>4) sous le numéro 0</w:t>
      </w:r>
      <w:r w:rsidRPr="00D61DDF">
        <w:rPr>
          <w:b/>
          <w:lang w:val="fr-FR"/>
        </w:rPr>
        <w:t>4</w:t>
      </w:r>
      <w:r w:rsidRPr="007F0E02">
        <w:rPr>
          <w:lang w:val="fr-FR"/>
        </w:rPr>
        <w:t>2439 en ce qui concerne la résistance des sièges, l</w:t>
      </w:r>
      <w:r>
        <w:rPr>
          <w:lang w:val="fr-FR"/>
        </w:rPr>
        <w:t>’</w:t>
      </w:r>
      <w:r w:rsidRPr="007F0E02">
        <w:rPr>
          <w:lang w:val="fr-FR"/>
        </w:rPr>
        <w:t>essai effectué étant celui prévu au paragraphe</w:t>
      </w:r>
      <w:r w:rsidR="00D61DDF">
        <w:rPr>
          <w:lang w:val="fr-FR"/>
        </w:rPr>
        <w:t> </w:t>
      </w:r>
      <w:r w:rsidRPr="007F0E02">
        <w:rPr>
          <w:lang w:val="fr-FR"/>
        </w:rPr>
        <w:t>2 de l</w:t>
      </w:r>
      <w:r>
        <w:rPr>
          <w:lang w:val="fr-FR"/>
        </w:rPr>
        <w:t>’</w:t>
      </w:r>
      <w:r w:rsidRPr="007F0E02">
        <w:rPr>
          <w:lang w:val="fr-FR"/>
        </w:rPr>
        <w:t>annexe</w:t>
      </w:r>
      <w:r w:rsidR="00D61DDF">
        <w:rPr>
          <w:lang w:val="fr-FR"/>
        </w:rPr>
        <w:t> </w:t>
      </w:r>
      <w:r w:rsidRPr="007F0E02">
        <w:rPr>
          <w:lang w:val="fr-FR"/>
        </w:rPr>
        <w:t>4 du Règlement. Le numéro d</w:t>
      </w:r>
      <w:r>
        <w:rPr>
          <w:lang w:val="fr-FR"/>
        </w:rPr>
        <w:t>’</w:t>
      </w:r>
      <w:r w:rsidRPr="007F0E02">
        <w:rPr>
          <w:lang w:val="fr-FR"/>
        </w:rPr>
        <w:t>homologation indique que l</w:t>
      </w:r>
      <w:r>
        <w:rPr>
          <w:lang w:val="fr-FR"/>
        </w:rPr>
        <w:t>’</w:t>
      </w:r>
      <w:r w:rsidRPr="007F0E02">
        <w:rPr>
          <w:lang w:val="fr-FR"/>
        </w:rPr>
        <w:t>homologation a été accordée conformément aux prescriptions du Règlement n</w:t>
      </w:r>
      <w:r w:rsidRPr="007F0E02">
        <w:rPr>
          <w:vertAlign w:val="superscript"/>
          <w:lang w:val="fr-FR"/>
        </w:rPr>
        <w:t>o</w:t>
      </w:r>
      <w:r w:rsidR="00D61DDF">
        <w:rPr>
          <w:lang w:val="fr-FR"/>
        </w:rPr>
        <w:t> </w:t>
      </w:r>
      <w:r w:rsidRPr="007F0E02">
        <w:rPr>
          <w:lang w:val="fr-FR"/>
        </w:rPr>
        <w:t>80 tel que modifié par la série 0</w:t>
      </w:r>
      <w:r w:rsidRPr="007F0E02">
        <w:rPr>
          <w:strike/>
          <w:lang w:val="fr-FR"/>
        </w:rPr>
        <w:t>3</w:t>
      </w:r>
      <w:r w:rsidRPr="00D61DDF">
        <w:rPr>
          <w:b/>
          <w:lang w:val="fr-FR"/>
        </w:rPr>
        <w:t>4</w:t>
      </w:r>
      <w:r w:rsidRPr="007F0E02">
        <w:rPr>
          <w:lang w:val="fr-FR"/>
        </w:rPr>
        <w:t xml:space="preserve"> d</w:t>
      </w:r>
      <w:r>
        <w:rPr>
          <w:lang w:val="fr-FR"/>
        </w:rPr>
        <w:t>’</w:t>
      </w:r>
      <w:r w:rsidRPr="007F0E02">
        <w:rPr>
          <w:lang w:val="fr-FR"/>
        </w:rPr>
        <w:t>amendements.</w:t>
      </w:r>
    </w:p>
    <w:p w:rsidR="000B1755" w:rsidRPr="007F0E02" w:rsidRDefault="000B1755" w:rsidP="00D61DDF">
      <w:pPr>
        <w:pStyle w:val="SingleTxtG"/>
        <w:tabs>
          <w:tab w:val="left" w:pos="2268"/>
        </w:tabs>
        <w:rPr>
          <w:rFonts w:eastAsia="Arial"/>
          <w:lang w:val="fr-FR"/>
        </w:rPr>
      </w:pPr>
      <w:r w:rsidRPr="007F0E02">
        <w:rPr>
          <w:lang w:val="fr-FR"/>
        </w:rPr>
        <w:t>2.</w:t>
      </w:r>
      <w:r w:rsidRPr="007F0E02">
        <w:rPr>
          <w:lang w:val="fr-FR"/>
        </w:rPr>
        <w:tab/>
        <w:t>Exemple de marque d</w:t>
      </w:r>
      <w:r>
        <w:rPr>
          <w:lang w:val="fr-FR"/>
        </w:rPr>
        <w:t>’</w:t>
      </w:r>
      <w:r w:rsidRPr="007F0E02">
        <w:rPr>
          <w:lang w:val="fr-FR"/>
        </w:rPr>
        <w:t>homologation d</w:t>
      </w:r>
      <w:r>
        <w:rPr>
          <w:lang w:val="fr-FR"/>
        </w:rPr>
        <w:t>’</w:t>
      </w:r>
      <w:r w:rsidRPr="007F0E02">
        <w:rPr>
          <w:lang w:val="fr-FR"/>
        </w:rPr>
        <w:t>un type de véhicule</w:t>
      </w:r>
    </w:p>
    <w:p w:rsidR="000B1755" w:rsidRPr="007F0E02" w:rsidRDefault="000B1755" w:rsidP="00D61DDF">
      <w:pPr>
        <w:spacing w:after="120"/>
        <w:ind w:left="1134"/>
        <w:rPr>
          <w:rFonts w:eastAsia="Arial"/>
          <w:lang w:val="fr-FR"/>
        </w:rPr>
      </w:pPr>
      <w:r w:rsidRPr="007F0E02">
        <w:rPr>
          <w:rFonts w:eastAsia="Arial"/>
          <w:noProof/>
          <w:lang w:eastAsia="fr-CH"/>
        </w:rPr>
        <w:drawing>
          <wp:inline distT="0" distB="0" distL="0" distR="0" wp14:anchorId="5869ABF6" wp14:editId="68F6E484">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1076475"/>
                    </a:xfrm>
                    <a:prstGeom prst="rect">
                      <a:avLst/>
                    </a:prstGeom>
                  </pic:spPr>
                </pic:pic>
              </a:graphicData>
            </a:graphic>
          </wp:inline>
        </w:drawing>
      </w:r>
    </w:p>
    <w:p w:rsidR="000B1755" w:rsidRPr="007F0E02" w:rsidRDefault="000B1755" w:rsidP="00D61DDF">
      <w:pPr>
        <w:pStyle w:val="SingleTxtG"/>
        <w:spacing w:before="120"/>
        <w:ind w:left="2268"/>
        <w:rPr>
          <w:rFonts w:eastAsia="Arial"/>
          <w:lang w:val="fr-FR"/>
        </w:rPr>
      </w:pPr>
      <w:r w:rsidRPr="007F0E02">
        <w:rPr>
          <w:lang w:val="fr-FR"/>
        </w:rPr>
        <w:t>La marque d</w:t>
      </w:r>
      <w:r>
        <w:rPr>
          <w:lang w:val="fr-FR"/>
        </w:rPr>
        <w:t>’</w:t>
      </w:r>
      <w:r w:rsidRPr="007F0E02">
        <w:rPr>
          <w:lang w:val="fr-FR"/>
        </w:rPr>
        <w:t>homologation ci-dessus, apposée sur un véhicule, indique que ce type de véhicule a été homologué aux Pays-Bas (E4) sous le numéro 0</w:t>
      </w:r>
      <w:r w:rsidRPr="00C1581B">
        <w:rPr>
          <w:b/>
          <w:lang w:val="fr-FR"/>
        </w:rPr>
        <w:t>4</w:t>
      </w:r>
      <w:r w:rsidRPr="007F0E02">
        <w:rPr>
          <w:lang w:val="fr-FR"/>
        </w:rPr>
        <w:t>2439 en ce qui concerne la résistance d</w:t>
      </w:r>
      <w:r w:rsidR="00EB3FAB">
        <w:rPr>
          <w:lang w:val="fr-FR"/>
        </w:rPr>
        <w:t>es ancrages sur le véhicule. Le </w:t>
      </w:r>
      <w:r w:rsidRPr="007F0E02">
        <w:rPr>
          <w:lang w:val="fr-FR"/>
        </w:rPr>
        <w:t>numéro d</w:t>
      </w:r>
      <w:r>
        <w:rPr>
          <w:lang w:val="fr-FR"/>
        </w:rPr>
        <w:t>’</w:t>
      </w:r>
      <w:r w:rsidRPr="007F0E02">
        <w:rPr>
          <w:lang w:val="fr-FR"/>
        </w:rPr>
        <w:t>homologation indique que l</w:t>
      </w:r>
      <w:r>
        <w:rPr>
          <w:lang w:val="fr-FR"/>
        </w:rPr>
        <w:t>’</w:t>
      </w:r>
      <w:r w:rsidRPr="007F0E02">
        <w:rPr>
          <w:lang w:val="fr-FR"/>
        </w:rPr>
        <w:t>homologation a été accordée conformément aux prescriptions du Règlement n</w:t>
      </w:r>
      <w:r w:rsidRPr="007F0E02">
        <w:rPr>
          <w:vertAlign w:val="superscript"/>
          <w:lang w:val="fr-FR"/>
        </w:rPr>
        <w:t>o</w:t>
      </w:r>
      <w:r w:rsidR="00C1581B">
        <w:rPr>
          <w:lang w:val="fr-FR"/>
        </w:rPr>
        <w:t> </w:t>
      </w:r>
      <w:r w:rsidRPr="007F0E02">
        <w:rPr>
          <w:lang w:val="fr-FR"/>
        </w:rPr>
        <w:t>80 tel que modifié par la série 0</w:t>
      </w:r>
      <w:r w:rsidRPr="007F0E02">
        <w:rPr>
          <w:strike/>
          <w:lang w:val="fr-FR"/>
        </w:rPr>
        <w:t>3</w:t>
      </w:r>
      <w:r w:rsidRPr="00C1581B">
        <w:rPr>
          <w:b/>
          <w:lang w:val="fr-FR"/>
        </w:rPr>
        <w:t>4</w:t>
      </w:r>
      <w:r w:rsidRPr="007F0E02">
        <w:rPr>
          <w:lang w:val="fr-FR"/>
        </w:rPr>
        <w:t xml:space="preserve"> d</w:t>
      </w:r>
      <w:r>
        <w:rPr>
          <w:lang w:val="fr-FR"/>
        </w:rPr>
        <w:t>’</w:t>
      </w:r>
      <w:r w:rsidRPr="007F0E02">
        <w:rPr>
          <w:lang w:val="fr-FR"/>
        </w:rPr>
        <w:t>amendements.</w:t>
      </w:r>
      <w:r w:rsidR="00C1581B">
        <w:rPr>
          <w:lang w:val="fr-FR"/>
        </w:rPr>
        <w:t> </w:t>
      </w:r>
      <w:r>
        <w:rPr>
          <w:lang w:val="fr-FR"/>
        </w:rPr>
        <w:t>»</w:t>
      </w:r>
      <w:r w:rsidRPr="007F0E02">
        <w:rPr>
          <w:lang w:val="fr-FR"/>
        </w:rPr>
        <w:t>.</w:t>
      </w:r>
    </w:p>
    <w:p w:rsidR="000B1755" w:rsidRPr="007F0E02" w:rsidRDefault="000B1755" w:rsidP="00D61DDF">
      <w:pPr>
        <w:pStyle w:val="HChG"/>
        <w:rPr>
          <w:lang w:val="fr-FR"/>
        </w:rPr>
      </w:pPr>
      <w:r w:rsidRPr="007F0E02">
        <w:rPr>
          <w:lang w:val="fr-FR"/>
        </w:rPr>
        <w:tab/>
        <w:t>II.</w:t>
      </w:r>
      <w:r w:rsidRPr="007F0E02">
        <w:rPr>
          <w:lang w:val="fr-FR"/>
        </w:rPr>
        <w:tab/>
        <w:t>Justification</w:t>
      </w:r>
    </w:p>
    <w:p w:rsidR="000B1755" w:rsidRPr="007F0E02" w:rsidRDefault="000B1755" w:rsidP="00D61DDF">
      <w:pPr>
        <w:pStyle w:val="SingleTxtG"/>
        <w:rPr>
          <w:lang w:val="fr-FR"/>
        </w:rPr>
      </w:pPr>
      <w:r w:rsidRPr="007F0E02">
        <w:rPr>
          <w:lang w:val="fr-FR"/>
        </w:rPr>
        <w:t>1.</w:t>
      </w:r>
      <w:r w:rsidRPr="007F0E02">
        <w:rPr>
          <w:lang w:val="fr-FR"/>
        </w:rPr>
        <w:tab/>
        <w:t>Des essais comparatifs ont montré que des ancrages de sièges testés de façon statique conformément à l</w:t>
      </w:r>
      <w:r>
        <w:rPr>
          <w:lang w:val="fr-FR"/>
        </w:rPr>
        <w:t>’</w:t>
      </w:r>
      <w:r w:rsidRPr="007F0E02">
        <w:rPr>
          <w:lang w:val="fr-FR"/>
        </w:rPr>
        <w:t>appendice</w:t>
      </w:r>
      <w:r w:rsidR="00D61DDF">
        <w:rPr>
          <w:lang w:val="fr-FR"/>
        </w:rPr>
        <w:t> </w:t>
      </w:r>
      <w:r w:rsidRPr="007F0E02">
        <w:rPr>
          <w:lang w:val="fr-FR"/>
        </w:rPr>
        <w:t>5 ne présentaient pas le même niveau de sécurité que les mêmes ancrages testés de façon dynamique conformément à l</w:t>
      </w:r>
      <w:r>
        <w:rPr>
          <w:lang w:val="fr-FR"/>
        </w:rPr>
        <w:t>’</w:t>
      </w:r>
      <w:r w:rsidRPr="007F0E02">
        <w:rPr>
          <w:lang w:val="fr-FR"/>
        </w:rPr>
        <w:t>annexe 1 et ne pouvaient donc pas être considérés comme</w:t>
      </w:r>
      <w:r>
        <w:rPr>
          <w:lang w:val="fr-FR"/>
        </w:rPr>
        <w:t xml:space="preserve"> </w:t>
      </w:r>
      <w:r w:rsidRPr="007F0E02">
        <w:rPr>
          <w:lang w:val="fr-FR"/>
        </w:rPr>
        <w:t>équivalents. Ainsi, il convient d</w:t>
      </w:r>
      <w:r>
        <w:rPr>
          <w:lang w:val="fr-FR"/>
        </w:rPr>
        <w:t>’</w:t>
      </w:r>
      <w:r w:rsidRPr="007F0E02">
        <w:rPr>
          <w:lang w:val="fr-FR"/>
        </w:rPr>
        <w:t>ignorer l</w:t>
      </w:r>
      <w:r>
        <w:rPr>
          <w:lang w:val="fr-FR"/>
        </w:rPr>
        <w:t>’</w:t>
      </w:r>
      <w:r w:rsidRPr="007F0E02">
        <w:rPr>
          <w:lang w:val="fr-FR"/>
        </w:rPr>
        <w:t>appendice</w:t>
      </w:r>
      <w:r w:rsidR="00D61DDF">
        <w:rPr>
          <w:lang w:val="fr-FR"/>
        </w:rPr>
        <w:t> </w:t>
      </w:r>
      <w:r w:rsidRPr="007F0E02">
        <w:rPr>
          <w:lang w:val="fr-FR"/>
        </w:rPr>
        <w:t>5 afin d</w:t>
      </w:r>
      <w:r>
        <w:rPr>
          <w:lang w:val="fr-FR"/>
        </w:rPr>
        <w:t>’</w:t>
      </w:r>
      <w:r w:rsidRPr="007F0E02">
        <w:rPr>
          <w:lang w:val="fr-FR"/>
        </w:rPr>
        <w:t>offrir aux passagers des autobus et des autocars un niveau de sécurité plus élevé. Les</w:t>
      </w:r>
      <w:r w:rsidR="00D61DDF">
        <w:rPr>
          <w:lang w:val="fr-FR"/>
        </w:rPr>
        <w:t> </w:t>
      </w:r>
      <w:r w:rsidRPr="007F0E02">
        <w:rPr>
          <w:lang w:val="fr-FR"/>
        </w:rPr>
        <w:t>résultats des essais mentionnés sont détaillés dans le document informel GRSP-62-35.</w:t>
      </w:r>
    </w:p>
    <w:p w:rsidR="000B1755" w:rsidRPr="007F0E02" w:rsidRDefault="000B1755" w:rsidP="00D61DDF">
      <w:pPr>
        <w:pStyle w:val="SingleTxtG"/>
        <w:rPr>
          <w:lang w:val="fr-FR"/>
        </w:rPr>
      </w:pPr>
      <w:r w:rsidRPr="007F0E02">
        <w:rPr>
          <w:lang w:val="fr-FR"/>
        </w:rPr>
        <w:t>2.</w:t>
      </w:r>
      <w:r w:rsidRPr="007F0E02">
        <w:rPr>
          <w:lang w:val="fr-FR"/>
        </w:rPr>
        <w:tab/>
        <w:t>Outre la suppression de l</w:t>
      </w:r>
      <w:r>
        <w:rPr>
          <w:lang w:val="fr-FR"/>
        </w:rPr>
        <w:t>’</w:t>
      </w:r>
      <w:r w:rsidRPr="007F0E02">
        <w:rPr>
          <w:lang w:val="fr-FR"/>
        </w:rPr>
        <w:t>appendice</w:t>
      </w:r>
      <w:r w:rsidR="00D61DDF">
        <w:rPr>
          <w:lang w:val="fr-FR"/>
        </w:rPr>
        <w:t> </w:t>
      </w:r>
      <w:r w:rsidRPr="007F0E02">
        <w:rPr>
          <w:lang w:val="fr-FR"/>
        </w:rPr>
        <w:t>5, on a amélioré les conditions de l</w:t>
      </w:r>
      <w:r>
        <w:rPr>
          <w:lang w:val="fr-FR"/>
        </w:rPr>
        <w:t>’</w:t>
      </w:r>
      <w:r w:rsidRPr="007F0E02">
        <w:rPr>
          <w:lang w:val="fr-FR"/>
        </w:rPr>
        <w:t>essai dynamique mené conformément à l</w:t>
      </w:r>
      <w:r>
        <w:rPr>
          <w:lang w:val="fr-FR"/>
        </w:rPr>
        <w:t>’</w:t>
      </w:r>
      <w:r w:rsidRPr="007F0E02">
        <w:rPr>
          <w:lang w:val="fr-FR"/>
        </w:rPr>
        <w:t>appendice</w:t>
      </w:r>
      <w:r w:rsidR="00D61DDF">
        <w:rPr>
          <w:lang w:val="fr-FR"/>
        </w:rPr>
        <w:t> </w:t>
      </w:r>
      <w:r w:rsidRPr="007F0E02">
        <w:rPr>
          <w:lang w:val="fr-FR"/>
        </w:rPr>
        <w:t>1 en réduisant à 1,2</w:t>
      </w:r>
      <w:r w:rsidR="00D61DDF">
        <w:rPr>
          <w:lang w:val="fr-FR"/>
        </w:rPr>
        <w:t> </w:t>
      </w:r>
      <w:r w:rsidRPr="007F0E02">
        <w:rPr>
          <w:lang w:val="fr-FR"/>
        </w:rPr>
        <w:t>m</w:t>
      </w:r>
      <w:r w:rsidR="00D61DDF">
        <w:rPr>
          <w:lang w:val="fr-FR"/>
        </w:rPr>
        <w:t xml:space="preserve"> </w:t>
      </w:r>
      <w:r w:rsidRPr="007F0E02">
        <w:rPr>
          <w:lang w:val="fr-FR"/>
        </w:rPr>
        <w:t>le mouvement vers l</w:t>
      </w:r>
      <w:r>
        <w:rPr>
          <w:lang w:val="fr-FR"/>
        </w:rPr>
        <w:t>’</w:t>
      </w:r>
      <w:r w:rsidRPr="007F0E02">
        <w:rPr>
          <w:lang w:val="fr-FR"/>
        </w:rPr>
        <w:t>avant de la tête du mannequin. Ce faisant,</w:t>
      </w:r>
      <w:r>
        <w:rPr>
          <w:lang w:val="fr-FR"/>
        </w:rPr>
        <w:t xml:space="preserve"> </w:t>
      </w:r>
      <w:r w:rsidRPr="007F0E02">
        <w:rPr>
          <w:lang w:val="fr-FR"/>
        </w:rPr>
        <w:t>on a également aligné les prescriptions du</w:t>
      </w:r>
      <w:r w:rsidR="00D61DDF">
        <w:rPr>
          <w:lang w:val="fr-FR"/>
        </w:rPr>
        <w:t> </w:t>
      </w:r>
      <w:r w:rsidRPr="007F0E02">
        <w:rPr>
          <w:lang w:val="fr-FR"/>
        </w:rPr>
        <w:t>Règlement n</w:t>
      </w:r>
      <w:r w:rsidRPr="007F0E02">
        <w:rPr>
          <w:vertAlign w:val="superscript"/>
          <w:lang w:val="fr-FR"/>
        </w:rPr>
        <w:t>o</w:t>
      </w:r>
      <w:r w:rsidR="00D61DDF">
        <w:rPr>
          <w:lang w:val="fr-FR"/>
        </w:rPr>
        <w:t> </w:t>
      </w:r>
      <w:r w:rsidRPr="007F0E02">
        <w:rPr>
          <w:lang w:val="fr-FR"/>
        </w:rPr>
        <w:t>80 sur celles du Règlement n</w:t>
      </w:r>
      <w:r w:rsidRPr="007F0E02">
        <w:rPr>
          <w:vertAlign w:val="superscript"/>
          <w:lang w:val="fr-FR"/>
        </w:rPr>
        <w:t>o</w:t>
      </w:r>
      <w:r w:rsidR="00D61DDF">
        <w:rPr>
          <w:lang w:val="fr-FR"/>
        </w:rPr>
        <w:t> </w:t>
      </w:r>
      <w:r w:rsidRPr="007F0E02">
        <w:rPr>
          <w:lang w:val="fr-FR"/>
        </w:rPr>
        <w:t>14.</w:t>
      </w:r>
    </w:p>
    <w:p w:rsidR="000B1755" w:rsidRPr="007F0E02" w:rsidRDefault="000B1755" w:rsidP="00EB3FAB">
      <w:pPr>
        <w:pStyle w:val="SingleTxtG"/>
        <w:keepNext/>
        <w:rPr>
          <w:lang w:val="fr-FR"/>
        </w:rPr>
      </w:pPr>
      <w:r w:rsidRPr="007F0E02">
        <w:rPr>
          <w:lang w:val="fr-FR"/>
        </w:rPr>
        <w:lastRenderedPageBreak/>
        <w:t>3.</w:t>
      </w:r>
      <w:r w:rsidRPr="007F0E02">
        <w:rPr>
          <w:lang w:val="fr-FR"/>
        </w:rPr>
        <w:tab/>
        <w:t>De plus, le mouvement des ancrages des sièges a été limité à 100</w:t>
      </w:r>
      <w:r w:rsidR="00D61DDF">
        <w:rPr>
          <w:lang w:val="fr-FR"/>
        </w:rPr>
        <w:t> </w:t>
      </w:r>
      <w:r w:rsidRPr="007F0E02">
        <w:rPr>
          <w:lang w:val="fr-FR"/>
        </w:rPr>
        <w:t>mm de façon à ménager un espace minimal pour le passager entre les sièges.</w:t>
      </w:r>
    </w:p>
    <w:p w:rsidR="000B1755" w:rsidRDefault="000B1755" w:rsidP="00D61DDF">
      <w:pPr>
        <w:pStyle w:val="SingleTxtG"/>
        <w:rPr>
          <w:lang w:val="fr-FR"/>
        </w:rPr>
      </w:pPr>
      <w:r w:rsidRPr="007F0E02">
        <w:rPr>
          <w:lang w:val="fr-FR"/>
        </w:rPr>
        <w:t>4.</w:t>
      </w:r>
      <w:r w:rsidRPr="007F0E02">
        <w:rPr>
          <w:lang w:val="fr-FR"/>
        </w:rPr>
        <w:tab/>
        <w:t>Afin que les sièges soient fixés de façon sûre après avoir été déplacés, il semble judicieux de fournir les renseignements nécessaires directement sur le siège et dans le manuel d</w:t>
      </w:r>
      <w:r>
        <w:rPr>
          <w:lang w:val="fr-FR"/>
        </w:rPr>
        <w:t>’</w:t>
      </w:r>
      <w:r w:rsidRPr="007F0E02">
        <w:rPr>
          <w:lang w:val="fr-FR"/>
        </w:rPr>
        <w:t>utilisation du véhicule.</w:t>
      </w:r>
    </w:p>
    <w:p w:rsidR="00D61DDF" w:rsidRPr="00D61DDF" w:rsidRDefault="00D61DDF" w:rsidP="00D61DD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61DDF" w:rsidRPr="00D61DDF" w:rsidSect="000B175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A3" w:rsidRDefault="00FD77A3" w:rsidP="00F95C08">
      <w:pPr>
        <w:spacing w:line="240" w:lineRule="auto"/>
      </w:pPr>
    </w:p>
  </w:endnote>
  <w:endnote w:type="continuationSeparator" w:id="0">
    <w:p w:rsidR="00FD77A3" w:rsidRPr="00AC3823" w:rsidRDefault="00FD77A3" w:rsidP="00AC3823">
      <w:pPr>
        <w:pStyle w:val="Footer"/>
      </w:pPr>
    </w:p>
  </w:endnote>
  <w:endnote w:type="continuationNotice" w:id="1">
    <w:p w:rsidR="00FD77A3" w:rsidRDefault="00FD7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55" w:rsidRPr="000B1755" w:rsidRDefault="000B1755" w:rsidP="000B1755">
    <w:pPr>
      <w:pStyle w:val="Footer"/>
      <w:tabs>
        <w:tab w:val="right" w:pos="9638"/>
      </w:tabs>
    </w:pPr>
    <w:r w:rsidRPr="000B1755">
      <w:rPr>
        <w:b/>
        <w:sz w:val="18"/>
      </w:rPr>
      <w:fldChar w:fldCharType="begin"/>
    </w:r>
    <w:r w:rsidRPr="000B1755">
      <w:rPr>
        <w:b/>
        <w:sz w:val="18"/>
      </w:rPr>
      <w:instrText xml:space="preserve"> PAGE  \* MERGEFORMAT </w:instrText>
    </w:r>
    <w:r w:rsidRPr="000B1755">
      <w:rPr>
        <w:b/>
        <w:sz w:val="18"/>
      </w:rPr>
      <w:fldChar w:fldCharType="separate"/>
    </w:r>
    <w:r w:rsidR="009D4236">
      <w:rPr>
        <w:b/>
        <w:noProof/>
        <w:sz w:val="18"/>
      </w:rPr>
      <w:t>2</w:t>
    </w:r>
    <w:r w:rsidRPr="000B1755">
      <w:rPr>
        <w:b/>
        <w:sz w:val="18"/>
      </w:rPr>
      <w:fldChar w:fldCharType="end"/>
    </w:r>
    <w:r>
      <w:rPr>
        <w:b/>
        <w:sz w:val="18"/>
      </w:rPr>
      <w:tab/>
    </w:r>
    <w:r>
      <w:t>GE.18-03114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55" w:rsidRPr="000B1755" w:rsidRDefault="000B1755" w:rsidP="000B1755">
    <w:pPr>
      <w:pStyle w:val="Footer"/>
      <w:tabs>
        <w:tab w:val="right" w:pos="9638"/>
      </w:tabs>
      <w:rPr>
        <w:b/>
        <w:sz w:val="18"/>
      </w:rPr>
    </w:pPr>
    <w:r>
      <w:t>GE.18-03114</w:t>
    </w:r>
    <w:r>
      <w:tab/>
    </w:r>
    <w:r w:rsidRPr="000B1755">
      <w:rPr>
        <w:b/>
        <w:sz w:val="18"/>
      </w:rPr>
      <w:fldChar w:fldCharType="begin"/>
    </w:r>
    <w:r w:rsidRPr="000B1755">
      <w:rPr>
        <w:b/>
        <w:sz w:val="18"/>
      </w:rPr>
      <w:instrText xml:space="preserve"> PAGE  \* MERGEFORMAT </w:instrText>
    </w:r>
    <w:r w:rsidRPr="000B1755">
      <w:rPr>
        <w:b/>
        <w:sz w:val="18"/>
      </w:rPr>
      <w:fldChar w:fldCharType="separate"/>
    </w:r>
    <w:r w:rsidR="009D4236">
      <w:rPr>
        <w:b/>
        <w:noProof/>
        <w:sz w:val="18"/>
      </w:rPr>
      <w:t>5</w:t>
    </w:r>
    <w:r w:rsidRPr="000B17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B1755" w:rsidRDefault="000B1755" w:rsidP="000B175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18-03114  (F)    050318    200318</w:t>
    </w:r>
    <w:r>
      <w:rPr>
        <w:sz w:val="20"/>
      </w:rPr>
      <w:br/>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sidRPr="000B175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A3" w:rsidRPr="00AC3823" w:rsidRDefault="00FD77A3" w:rsidP="00AC3823">
      <w:pPr>
        <w:pStyle w:val="Footer"/>
        <w:tabs>
          <w:tab w:val="right" w:pos="2155"/>
        </w:tabs>
        <w:spacing w:after="80" w:line="240" w:lineRule="atLeast"/>
        <w:ind w:left="680"/>
        <w:rPr>
          <w:u w:val="single"/>
        </w:rPr>
      </w:pPr>
      <w:r>
        <w:rPr>
          <w:u w:val="single"/>
        </w:rPr>
        <w:tab/>
      </w:r>
    </w:p>
  </w:footnote>
  <w:footnote w:type="continuationSeparator" w:id="0">
    <w:p w:rsidR="00FD77A3" w:rsidRPr="00AC3823" w:rsidRDefault="00FD77A3" w:rsidP="00AC3823">
      <w:pPr>
        <w:pStyle w:val="Footer"/>
        <w:tabs>
          <w:tab w:val="right" w:pos="2155"/>
        </w:tabs>
        <w:spacing w:after="80" w:line="240" w:lineRule="atLeast"/>
        <w:ind w:left="680"/>
        <w:rPr>
          <w:u w:val="single"/>
        </w:rPr>
      </w:pPr>
      <w:r>
        <w:rPr>
          <w:u w:val="single"/>
        </w:rPr>
        <w:tab/>
      </w:r>
    </w:p>
  </w:footnote>
  <w:footnote w:type="continuationNotice" w:id="1">
    <w:p w:rsidR="00FD77A3" w:rsidRPr="00AC3823" w:rsidRDefault="00FD77A3">
      <w:pPr>
        <w:spacing w:line="240" w:lineRule="auto"/>
        <w:rPr>
          <w:sz w:val="2"/>
          <w:szCs w:val="2"/>
        </w:rPr>
      </w:pPr>
    </w:p>
  </w:footnote>
  <w:footnote w:id="2">
    <w:p w:rsidR="00AC17DA" w:rsidRPr="00AC17DA" w:rsidRDefault="00AC17DA">
      <w:pPr>
        <w:pStyle w:val="FootnoteText"/>
      </w:pPr>
      <w:r>
        <w:rPr>
          <w:rStyle w:val="FootnoteReference"/>
        </w:rPr>
        <w:tab/>
      </w:r>
      <w:r w:rsidRPr="00AC17D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55" w:rsidRPr="000B1755" w:rsidRDefault="009D4236">
    <w:pPr>
      <w:pStyle w:val="Header"/>
    </w:pPr>
    <w:r>
      <w:fldChar w:fldCharType="begin"/>
    </w:r>
    <w:r>
      <w:instrText xml:space="preserve"> TITLE  \* MERGEFORMAT </w:instrText>
    </w:r>
    <w:r>
      <w:fldChar w:fldCharType="separate"/>
    </w:r>
    <w:r w:rsidR="00435B23">
      <w:t>ECE/TRANS/WP.29/GRSP/2018/10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55" w:rsidRPr="000B1755" w:rsidRDefault="009D4236" w:rsidP="000B1755">
    <w:pPr>
      <w:pStyle w:val="Header"/>
      <w:jc w:val="right"/>
    </w:pPr>
    <w:r>
      <w:fldChar w:fldCharType="begin"/>
    </w:r>
    <w:r>
      <w:instrText xml:space="preserve"> TITLE  \* MERGEFORMAT </w:instrText>
    </w:r>
    <w:r>
      <w:fldChar w:fldCharType="separate"/>
    </w:r>
    <w:r w:rsidR="00435B23">
      <w:t>ECE/TRANS/WP.29/GRSP/2018/10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A3"/>
    <w:rsid w:val="00017F94"/>
    <w:rsid w:val="00023842"/>
    <w:rsid w:val="000334F9"/>
    <w:rsid w:val="00045FEB"/>
    <w:rsid w:val="0007796D"/>
    <w:rsid w:val="000B1755"/>
    <w:rsid w:val="000B7790"/>
    <w:rsid w:val="000E110D"/>
    <w:rsid w:val="00111F2F"/>
    <w:rsid w:val="001401A3"/>
    <w:rsid w:val="0014365E"/>
    <w:rsid w:val="00143C66"/>
    <w:rsid w:val="00176178"/>
    <w:rsid w:val="001F525A"/>
    <w:rsid w:val="00223272"/>
    <w:rsid w:val="00237880"/>
    <w:rsid w:val="0024779E"/>
    <w:rsid w:val="00257168"/>
    <w:rsid w:val="002744B8"/>
    <w:rsid w:val="002832AC"/>
    <w:rsid w:val="002D7AE8"/>
    <w:rsid w:val="002D7C93"/>
    <w:rsid w:val="00305801"/>
    <w:rsid w:val="003916DE"/>
    <w:rsid w:val="00435B23"/>
    <w:rsid w:val="00441C3B"/>
    <w:rsid w:val="00446FE5"/>
    <w:rsid w:val="00452396"/>
    <w:rsid w:val="004837D8"/>
    <w:rsid w:val="00492143"/>
    <w:rsid w:val="004E468C"/>
    <w:rsid w:val="005505B7"/>
    <w:rsid w:val="00573BE5"/>
    <w:rsid w:val="00586ED3"/>
    <w:rsid w:val="00596AA9"/>
    <w:rsid w:val="006027FA"/>
    <w:rsid w:val="00602800"/>
    <w:rsid w:val="006C0882"/>
    <w:rsid w:val="0071601D"/>
    <w:rsid w:val="00792AEC"/>
    <w:rsid w:val="007A62E6"/>
    <w:rsid w:val="007F20FA"/>
    <w:rsid w:val="0080684C"/>
    <w:rsid w:val="00871C75"/>
    <w:rsid w:val="008776DC"/>
    <w:rsid w:val="009446C0"/>
    <w:rsid w:val="009705C8"/>
    <w:rsid w:val="00994396"/>
    <w:rsid w:val="009A789E"/>
    <w:rsid w:val="009C1CF4"/>
    <w:rsid w:val="009D4236"/>
    <w:rsid w:val="009F6B74"/>
    <w:rsid w:val="00A30353"/>
    <w:rsid w:val="00A85B6D"/>
    <w:rsid w:val="00AC17DA"/>
    <w:rsid w:val="00AC3823"/>
    <w:rsid w:val="00AE323C"/>
    <w:rsid w:val="00AF0CB5"/>
    <w:rsid w:val="00B00181"/>
    <w:rsid w:val="00B00B0D"/>
    <w:rsid w:val="00B765F7"/>
    <w:rsid w:val="00BA0CA9"/>
    <w:rsid w:val="00BA65EE"/>
    <w:rsid w:val="00C02897"/>
    <w:rsid w:val="00C137A0"/>
    <w:rsid w:val="00C1581B"/>
    <w:rsid w:val="00C97039"/>
    <w:rsid w:val="00D3439C"/>
    <w:rsid w:val="00D61DDF"/>
    <w:rsid w:val="00DB1831"/>
    <w:rsid w:val="00DD3BFD"/>
    <w:rsid w:val="00DF6678"/>
    <w:rsid w:val="00E0299A"/>
    <w:rsid w:val="00E45E59"/>
    <w:rsid w:val="00E85C74"/>
    <w:rsid w:val="00EA6547"/>
    <w:rsid w:val="00EB3FAB"/>
    <w:rsid w:val="00EF2E22"/>
    <w:rsid w:val="00F35BAF"/>
    <w:rsid w:val="00F660DF"/>
    <w:rsid w:val="00F94664"/>
    <w:rsid w:val="00F9573C"/>
    <w:rsid w:val="00F95C08"/>
    <w:rsid w:val="00FD7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010F3A-84D7-415A-BE10-17113E5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ECE/TRANS/WP.29/GRSP/2018/10</vt:lpstr>
      <vt:lpstr>ECE/TRANS/WP.29/GRSP/2018/10</vt:lpstr>
    </vt:vector>
  </TitlesOfParts>
  <Company>DCM</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ECE/TRANS/WP.29/GRSP/2018/10</dc:title>
  <dc:subject/>
  <dc:creator>Christine  CHAUTAGNAT</dc:creator>
  <cp:keywords/>
  <cp:lastModifiedBy>Benedicte Boudol</cp:lastModifiedBy>
  <cp:revision>2</cp:revision>
  <cp:lastPrinted>2018-03-20T12:36:00Z</cp:lastPrinted>
  <dcterms:created xsi:type="dcterms:W3CDTF">2018-03-20T13:47:00Z</dcterms:created>
  <dcterms:modified xsi:type="dcterms:W3CDTF">2018-03-20T13:47:00Z</dcterms:modified>
</cp:coreProperties>
</file>