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30B9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30B97" w:rsidP="00B30B97">
            <w:pPr>
              <w:jc w:val="right"/>
            </w:pPr>
            <w:r w:rsidRPr="00B30B97">
              <w:rPr>
                <w:sz w:val="40"/>
              </w:rPr>
              <w:t>ECE</w:t>
            </w:r>
            <w:r>
              <w:t>/TRANS/WP.29/GRSG/2018/25</w:t>
            </w:r>
          </w:p>
        </w:tc>
      </w:tr>
      <w:tr w:rsidR="002D5AAC" w:rsidRPr="00B30B9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30B97" w:rsidP="00387CD4">
            <w:pPr>
              <w:spacing w:before="240"/>
              <w:rPr>
                <w:lang w:val="en-US"/>
              </w:rPr>
            </w:pPr>
            <w:r>
              <w:rPr>
                <w:lang w:val="en-US"/>
              </w:rPr>
              <w:t>Distr.: General</w:t>
            </w:r>
          </w:p>
          <w:p w:rsidR="00B30B97" w:rsidRDefault="00B30B97" w:rsidP="00B30B97">
            <w:pPr>
              <w:spacing w:line="240" w:lineRule="exact"/>
              <w:rPr>
                <w:lang w:val="en-US"/>
              </w:rPr>
            </w:pPr>
            <w:r>
              <w:rPr>
                <w:lang w:val="en-US"/>
              </w:rPr>
              <w:t>27 July 2018</w:t>
            </w:r>
          </w:p>
          <w:p w:rsidR="00B30B97" w:rsidRDefault="00B30B97" w:rsidP="00B30B97">
            <w:pPr>
              <w:spacing w:line="240" w:lineRule="exact"/>
              <w:rPr>
                <w:lang w:val="en-US"/>
              </w:rPr>
            </w:pPr>
            <w:r>
              <w:rPr>
                <w:lang w:val="en-US"/>
              </w:rPr>
              <w:t>Russian</w:t>
            </w:r>
          </w:p>
          <w:p w:rsidR="00B30B97" w:rsidRPr="008D53B6" w:rsidRDefault="00B30B97" w:rsidP="00B30B97">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30B97" w:rsidRPr="00B30B97" w:rsidRDefault="00B30B97" w:rsidP="00B30B97">
      <w:pPr>
        <w:spacing w:before="120"/>
        <w:rPr>
          <w:sz w:val="28"/>
          <w:szCs w:val="28"/>
        </w:rPr>
      </w:pPr>
      <w:bookmarkStart w:id="1" w:name="bookmark_10"/>
      <w:r w:rsidRPr="00B30B97">
        <w:rPr>
          <w:sz w:val="28"/>
          <w:szCs w:val="28"/>
        </w:rPr>
        <w:t>Комитет по внутреннему транспорту</w:t>
      </w:r>
      <w:bookmarkEnd w:id="1"/>
    </w:p>
    <w:p w:rsidR="00B30B97" w:rsidRPr="00B30B97" w:rsidRDefault="00B30B97" w:rsidP="00B30B97">
      <w:pPr>
        <w:spacing w:before="120"/>
        <w:rPr>
          <w:b/>
          <w:bCs/>
          <w:sz w:val="24"/>
          <w:szCs w:val="24"/>
        </w:rPr>
      </w:pPr>
      <w:bookmarkStart w:id="2" w:name="bookmark_11"/>
      <w:r w:rsidRPr="00B30B97">
        <w:rPr>
          <w:b/>
          <w:bCs/>
          <w:sz w:val="24"/>
          <w:szCs w:val="24"/>
        </w:rPr>
        <w:t xml:space="preserve">Всемирный форум для согласования правил </w:t>
      </w:r>
      <w:r w:rsidRPr="00B30B97">
        <w:rPr>
          <w:b/>
          <w:bCs/>
          <w:sz w:val="24"/>
          <w:szCs w:val="24"/>
        </w:rPr>
        <w:br/>
        <w:t>в области транспортных средств</w:t>
      </w:r>
      <w:bookmarkEnd w:id="2"/>
    </w:p>
    <w:p w:rsidR="00B30B97" w:rsidRPr="00B30B97" w:rsidRDefault="00B30B97" w:rsidP="00B30B97">
      <w:pPr>
        <w:spacing w:before="120"/>
        <w:rPr>
          <w:b/>
          <w:bCs/>
        </w:rPr>
      </w:pPr>
      <w:bookmarkStart w:id="3" w:name="bookmark_12"/>
      <w:r w:rsidRPr="00B30B97">
        <w:rPr>
          <w:b/>
          <w:bCs/>
        </w:rPr>
        <w:t xml:space="preserve">Рабочая группа по общим предписаниям, </w:t>
      </w:r>
      <w:r w:rsidRPr="00B30B97">
        <w:rPr>
          <w:b/>
          <w:bCs/>
        </w:rPr>
        <w:br/>
        <w:t>касающимся безопасности</w:t>
      </w:r>
      <w:bookmarkEnd w:id="3"/>
    </w:p>
    <w:p w:rsidR="00B30B97" w:rsidRPr="00B30B97" w:rsidRDefault="00B30B97" w:rsidP="00B30B97">
      <w:pPr>
        <w:spacing w:before="120"/>
        <w:rPr>
          <w:b/>
          <w:bCs/>
        </w:rPr>
      </w:pPr>
      <w:bookmarkStart w:id="4" w:name="bookmark_13"/>
      <w:r w:rsidRPr="00B30B97">
        <w:rPr>
          <w:b/>
          <w:bCs/>
        </w:rPr>
        <w:t>115-я сессия</w:t>
      </w:r>
      <w:bookmarkEnd w:id="4"/>
    </w:p>
    <w:p w:rsidR="00B30B97" w:rsidRPr="00B30B97" w:rsidRDefault="00B30B97" w:rsidP="00B30B97">
      <w:bookmarkStart w:id="5" w:name="bookmark_14"/>
      <w:r w:rsidRPr="00B30B97">
        <w:t>Женева, 9–12 октября 2018 года</w:t>
      </w:r>
      <w:bookmarkEnd w:id="5"/>
    </w:p>
    <w:p w:rsidR="00B30B97" w:rsidRPr="00B30B97" w:rsidRDefault="00B30B97" w:rsidP="00B30B97">
      <w:bookmarkStart w:id="6" w:name="bookmark_15"/>
      <w:r w:rsidRPr="00B30B97">
        <w:t>Пункт 12 предварительной повестки дня</w:t>
      </w:r>
      <w:bookmarkEnd w:id="6"/>
    </w:p>
    <w:p w:rsidR="00B30B97" w:rsidRPr="00B30B97" w:rsidRDefault="00B30B97" w:rsidP="00B30B97">
      <w:pPr>
        <w:rPr>
          <w:b/>
        </w:rPr>
      </w:pPr>
      <w:r w:rsidRPr="00B30B97">
        <w:rPr>
          <w:b/>
        </w:rPr>
        <w:t xml:space="preserve">Правила № </w:t>
      </w:r>
      <w:r>
        <w:rPr>
          <w:b/>
        </w:rPr>
        <w:t>116 ООН (противоугонные системы</w:t>
      </w:r>
      <w:r>
        <w:rPr>
          <w:b/>
        </w:rPr>
        <w:br/>
      </w:r>
      <w:r w:rsidRPr="00B30B97">
        <w:rPr>
          <w:b/>
        </w:rPr>
        <w:t>и системы охранной сигнализации)</w:t>
      </w:r>
    </w:p>
    <w:p w:rsidR="00B30B97" w:rsidRPr="00B30B97" w:rsidRDefault="00B30B97" w:rsidP="00B30B97">
      <w:pPr>
        <w:pStyle w:val="HChGR"/>
      </w:pPr>
      <w:r w:rsidRPr="00B30B97">
        <w:tab/>
      </w:r>
      <w:r w:rsidRPr="00B30B97">
        <w:tab/>
        <w:t>Предложение по дополнению 6 к Правилам № 116 ООН (противоугонные системы и системы охранной сигнализации)</w:t>
      </w:r>
    </w:p>
    <w:p w:rsidR="00B30B97" w:rsidRPr="00B30B97" w:rsidRDefault="00B30B97" w:rsidP="00B30B97">
      <w:pPr>
        <w:pStyle w:val="H1GR"/>
        <w:rPr>
          <w:vertAlign w:val="superscript"/>
        </w:rPr>
      </w:pPr>
      <w:r>
        <w:tab/>
      </w:r>
      <w:r>
        <w:tab/>
      </w:r>
      <w:r w:rsidRPr="00B30B97">
        <w:t>Представлено экспертом от Международной организации предприятий автомобильной промышленности</w:t>
      </w:r>
      <w:r w:rsidRPr="00B30B97">
        <w:rPr>
          <w:b w:val="0"/>
          <w:sz w:val="20"/>
        </w:rPr>
        <w:footnoteReference w:customMarkFollows="1" w:id="1"/>
        <w:t>*</w:t>
      </w:r>
    </w:p>
    <w:p w:rsidR="00B30B97" w:rsidRPr="00B30B97" w:rsidRDefault="00B30B97" w:rsidP="00B30B97">
      <w:pPr>
        <w:pStyle w:val="SingleTxtGR"/>
      </w:pPr>
      <w:r>
        <w:tab/>
      </w:r>
      <w:r w:rsidRPr="00B30B97">
        <w:t>Воспроизведенный ниже текст был подготовлен экспертом от Международной организации предприятий автомобильной промышленности (МОПАП) в целях уточнения требований к экологическим испытаниям ключей. В его основу положен неофициальный документ GRSG-114-29, представленный на 114-й сессии Рабочей группы по общим предписаниям, касающимся безопасности (GRSG) (см. доклад ECE/TRANS/WP.29/GRSG/93, пункт 40). Измене</w:t>
      </w:r>
      <w:r>
        <w:t>ния к нынешнему тексту Правил № </w:t>
      </w:r>
      <w:r w:rsidRPr="00B30B97">
        <w:t>116 ООН выделены жирным шрифтом.</w:t>
      </w:r>
    </w:p>
    <w:p w:rsidR="00B30B97" w:rsidRPr="00B30B97" w:rsidRDefault="00B30B97" w:rsidP="00B30B97">
      <w:pPr>
        <w:pStyle w:val="HChGR"/>
      </w:pPr>
      <w:r w:rsidRPr="00B30B97">
        <w:br w:type="page"/>
      </w:r>
      <w:r>
        <w:lastRenderedPageBreak/>
        <w:tab/>
      </w:r>
      <w:r w:rsidRPr="00B30B97">
        <w:rPr>
          <w:lang w:val="en-GB"/>
        </w:rPr>
        <w:t>I</w:t>
      </w:r>
      <w:r w:rsidRPr="00B30B97">
        <w:t>.</w:t>
      </w:r>
      <w:r w:rsidRPr="00B30B97">
        <w:tab/>
        <w:t>Предложение</w:t>
      </w:r>
    </w:p>
    <w:p w:rsidR="00B30B97" w:rsidRPr="00B30B97" w:rsidRDefault="00B30B97" w:rsidP="00B30B97">
      <w:pPr>
        <w:pStyle w:val="SingleTxtGR"/>
      </w:pPr>
      <w:r w:rsidRPr="00B30B97">
        <w:rPr>
          <w:i/>
          <w:iCs/>
        </w:rPr>
        <w:t>Пункт 5.4</w:t>
      </w:r>
      <w:r w:rsidRPr="00B30B97">
        <w:t xml:space="preserve"> изменить следующим образом:</w:t>
      </w:r>
    </w:p>
    <w:p w:rsidR="00B30B97" w:rsidRPr="00B30B97" w:rsidRDefault="00B30B97" w:rsidP="00B30B97">
      <w:pPr>
        <w:pStyle w:val="SingleTxtGR"/>
        <w:ind w:left="2268" w:hanging="1134"/>
        <w:rPr>
          <w:spacing w:val="-6"/>
          <w:kern w:val="20"/>
        </w:rPr>
      </w:pPr>
      <w:r w:rsidRPr="00B30B97">
        <w:rPr>
          <w:spacing w:val="-4"/>
        </w:rPr>
        <w:t>«</w:t>
      </w:r>
      <w:r>
        <w:rPr>
          <w:spacing w:val="-4"/>
        </w:rPr>
        <w:t>5.4</w:t>
      </w:r>
      <w:r w:rsidRPr="00B30B97">
        <w:rPr>
          <w:spacing w:val="-4"/>
        </w:rPr>
        <w:tab/>
      </w:r>
      <w:r w:rsidRPr="00B30B97">
        <w:rPr>
          <w:spacing w:val="-4"/>
        </w:rPr>
        <w:tab/>
      </w:r>
      <w:r w:rsidRPr="00B30B97">
        <w:rPr>
          <w:spacing w:val="-6"/>
          <w:kern w:val="20"/>
        </w:rPr>
        <w:t>ЭЛЕКТРОМЕХАНИЧЕСКИЕ И ЭЛЕКТРОННЫЕ УСТРОЙСТВА ДЛЯ ПРЕДОТВРАЩЕНИЯ НЕСАНКЦИОНИРОВАННОГО ИСПОЛЬЗОВАНИЯ</w:t>
      </w:r>
    </w:p>
    <w:p w:rsidR="00B30B97" w:rsidRPr="00B30B97" w:rsidRDefault="00B30B97" w:rsidP="00B30B97">
      <w:pPr>
        <w:pStyle w:val="SingleTxtGR"/>
        <w:ind w:left="2268" w:hanging="1134"/>
        <w:rPr>
          <w:b/>
        </w:rPr>
      </w:pPr>
      <w:r w:rsidRPr="00B30B97">
        <w:tab/>
      </w:r>
      <w:r>
        <w:tab/>
      </w:r>
      <w:r w:rsidRPr="00B30B97">
        <w:t xml:space="preserve">Электромеханические и электронные устройства для предотвращения несанкционированного использования, если таковые установлены, должны отвечать требованиям, предусмотренным в пунктах 5.2 и 5.3 выше и в пункте 8.4 ниже, с соответствующими изменениями. </w:t>
      </w:r>
      <w:r w:rsidRPr="00B30B97">
        <w:rPr>
          <w:b/>
          <w:bCs/>
        </w:rPr>
        <w:t xml:space="preserve">Компоненты, которые не встроены в транспортное средство (например ключи, которые не используются для включения или выключения), могут не отвечать требованиям пункта </w:t>
      </w:r>
      <w:r w:rsidRPr="00B30B97">
        <w:rPr>
          <w:b/>
        </w:rPr>
        <w:t>8.4.</w:t>
      </w:r>
    </w:p>
    <w:p w:rsidR="00B30B97" w:rsidRPr="00B30B97" w:rsidRDefault="00B30B97" w:rsidP="00B30B97">
      <w:pPr>
        <w:pStyle w:val="SingleTxtGR"/>
        <w:ind w:left="2268" w:hanging="1134"/>
      </w:pPr>
      <w:r w:rsidRPr="00B30B97">
        <w:tab/>
      </w:r>
      <w:r>
        <w:tab/>
      </w:r>
      <w:r w:rsidRPr="00B30B97">
        <w:t>Если технология использования данног</w:t>
      </w:r>
      <w:r w:rsidR="001516A5">
        <w:t>о устройства такова, что пункты </w:t>
      </w:r>
      <w:r w:rsidRPr="00B30B97">
        <w:t>5, 6 и 8.4 не применяются, то необходимо проверить, были ли приняты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что могло бы создать проблемы с точки зрения безопасности транспортного средства</w:t>
      </w:r>
      <w:r>
        <w:t>».</w:t>
      </w:r>
    </w:p>
    <w:p w:rsidR="00B30B97" w:rsidRPr="00B30B97" w:rsidRDefault="00B30B97" w:rsidP="00B30B97">
      <w:pPr>
        <w:pStyle w:val="SingleTxtGR"/>
      </w:pPr>
      <w:r w:rsidRPr="00B30B97">
        <w:rPr>
          <w:i/>
        </w:rPr>
        <w:t>Пункт 6.4</w:t>
      </w:r>
      <w:r w:rsidRPr="00B30B97">
        <w:t xml:space="preserve"> изменить следующим образом (а также исключить сноску</w:t>
      </w:r>
      <w:r>
        <w:t xml:space="preserve"> </w:t>
      </w:r>
      <w:r w:rsidRPr="00B30B97">
        <w:rPr>
          <w:vertAlign w:val="superscript"/>
        </w:rPr>
        <w:t>8</w:t>
      </w:r>
      <w:r w:rsidRPr="00B30B97">
        <w:t xml:space="preserve"> и текст сноски</w:t>
      </w:r>
      <w:r>
        <w:t> </w:t>
      </w:r>
      <w:r w:rsidRPr="00B30B97">
        <w:rPr>
          <w:vertAlign w:val="superscript"/>
        </w:rPr>
        <w:t>8</w:t>
      </w:r>
      <w:r w:rsidRPr="00B30B97">
        <w:t xml:space="preserve"> и изменить нумерацию последующих сносок):</w:t>
      </w:r>
    </w:p>
    <w:p w:rsidR="00B30B97" w:rsidRPr="00B30B97" w:rsidRDefault="00B30B97" w:rsidP="00B30B97">
      <w:pPr>
        <w:pStyle w:val="SingleTxtGR"/>
        <w:ind w:left="2268" w:hanging="1134"/>
      </w:pPr>
      <w:r>
        <w:t>«6.4</w:t>
      </w:r>
      <w:r w:rsidRPr="00B30B97">
        <w:tab/>
      </w:r>
      <w:r>
        <w:tab/>
      </w:r>
      <w:r w:rsidRPr="00B30B97">
        <w:t>ЭКСПЛУАТАЦИОННЫЕ ПАРАМЕТРЫ И УСЛОВИЯ ПРОВЕДЕНИЯ ИСПЫТАНИЙ</w:t>
      </w:r>
    </w:p>
    <w:p w:rsidR="00B30B97" w:rsidRPr="00B30B97" w:rsidRDefault="00B30B97" w:rsidP="00B30B97">
      <w:pPr>
        <w:pStyle w:val="SingleTxtGR"/>
        <w:ind w:left="2268" w:hanging="1134"/>
        <w:rPr>
          <w:b/>
        </w:rPr>
      </w:pPr>
      <w:r w:rsidRPr="00B30B97">
        <w:rPr>
          <w:b/>
        </w:rPr>
        <w:tab/>
      </w:r>
      <w:r>
        <w:rPr>
          <w:b/>
        </w:rPr>
        <w:tab/>
      </w:r>
      <w:r w:rsidRPr="00B30B97">
        <w:rPr>
          <w:b/>
        </w:rPr>
        <w:t>Огни, которые используются в качестве части оптических сигнальных устройств стандартной системы освещения автомобиля, могут не отвечать эксплуатационным параметрам, указанным в пункте 6.4.1, и не подвергаются испытаниям, перечисленным в пункте 6.4.2.</w:t>
      </w:r>
    </w:p>
    <w:p w:rsidR="00B30B97" w:rsidRPr="00B30B97" w:rsidRDefault="00B30B97" w:rsidP="00B30B97">
      <w:pPr>
        <w:pStyle w:val="SingleTxtGR"/>
        <w:ind w:left="2268" w:hanging="1134"/>
        <w:rPr>
          <w:b/>
        </w:rPr>
      </w:pPr>
      <w:r w:rsidRPr="00B30B97">
        <w:rPr>
          <w:b/>
        </w:rPr>
        <w:tab/>
      </w:r>
      <w:r>
        <w:rPr>
          <w:b/>
        </w:rPr>
        <w:tab/>
      </w:r>
      <w:r w:rsidRPr="00B30B97">
        <w:rPr>
          <w:b/>
        </w:rPr>
        <w:t>Компоненты, которые не встроены в транспортное средство (например ключи, которые используются для включения/ выключения СОСТС), могут не отвечать эксплуатационным параметрам, указанным в пункте 6.4.1, и не подвергаются испытаниям, перечисленным в пункте 6.4.2</w:t>
      </w:r>
      <w:r>
        <w:t>».</w:t>
      </w:r>
    </w:p>
    <w:p w:rsidR="00B30B97" w:rsidRPr="00B30B97" w:rsidRDefault="00B30B97" w:rsidP="00B30B97">
      <w:pPr>
        <w:pStyle w:val="SingleTxtGR"/>
        <w:rPr>
          <w:i/>
        </w:rPr>
      </w:pPr>
      <w:r w:rsidRPr="00B30B97">
        <w:rPr>
          <w:i/>
        </w:rPr>
        <w:t>Включить новый пункт 7.4.3</w:t>
      </w:r>
      <w:r w:rsidRPr="00B30B97">
        <w:t xml:space="preserve"> следующего содержания:</w:t>
      </w:r>
    </w:p>
    <w:p w:rsidR="00B30B97" w:rsidRPr="00B30B97" w:rsidRDefault="00B30B97" w:rsidP="00B30B97">
      <w:pPr>
        <w:pStyle w:val="SingleTxtGR"/>
        <w:ind w:left="2268" w:hanging="1134"/>
      </w:pPr>
      <w:r>
        <w:t>«</w:t>
      </w:r>
      <w:r>
        <w:rPr>
          <w:b/>
        </w:rPr>
        <w:t>7.4.3</w:t>
      </w:r>
      <w:r w:rsidRPr="00B30B97">
        <w:rPr>
          <w:b/>
        </w:rPr>
        <w:tab/>
      </w:r>
      <w:r>
        <w:rPr>
          <w:b/>
        </w:rPr>
        <w:tab/>
      </w:r>
      <w:r w:rsidRPr="00B30B97">
        <w:rPr>
          <w:b/>
        </w:rPr>
        <w:t>Компоненты</w:t>
      </w:r>
      <w:r w:rsidRPr="00B30B97">
        <w:t xml:space="preserve"> </w:t>
      </w:r>
      <w:r w:rsidRPr="00B30B97">
        <w:rPr>
          <w:b/>
        </w:rPr>
        <w:t>которые не встроены в транспортное средство, например ключи</w:t>
      </w:r>
      <w:r>
        <w:t>».</w:t>
      </w:r>
    </w:p>
    <w:p w:rsidR="00B30B97" w:rsidRPr="00B30B97" w:rsidRDefault="00B30B97" w:rsidP="00B30B97">
      <w:pPr>
        <w:pStyle w:val="SingleTxtGR"/>
      </w:pPr>
      <w:r w:rsidRPr="00B30B97">
        <w:rPr>
          <w:i/>
        </w:rPr>
        <w:t>Пункт 8.4.1</w:t>
      </w:r>
      <w:r w:rsidRPr="00B30B97">
        <w:t xml:space="preserve"> изменить следующим образом:</w:t>
      </w:r>
    </w:p>
    <w:p w:rsidR="00B30B97" w:rsidRPr="00B30B97" w:rsidRDefault="00F5488E" w:rsidP="00B30B97">
      <w:pPr>
        <w:pStyle w:val="SingleTxtGR"/>
      </w:pPr>
      <w:r>
        <w:t>«</w:t>
      </w:r>
      <w:r w:rsidR="00B30B97" w:rsidRPr="00B30B97">
        <w:t>8.4.1.</w:t>
      </w:r>
      <w:r w:rsidR="00B30B97" w:rsidRPr="00B30B97">
        <w:tab/>
      </w:r>
      <w:r>
        <w:tab/>
      </w:r>
      <w:r w:rsidR="00B30B97" w:rsidRPr="00B30B97">
        <w:t>Эксплуатационные параметры</w:t>
      </w:r>
    </w:p>
    <w:p w:rsidR="00B30B97" w:rsidRPr="00B30B97" w:rsidRDefault="00B30B97" w:rsidP="00F5488E">
      <w:pPr>
        <w:pStyle w:val="SingleTxtGR"/>
        <w:ind w:left="2268" w:hanging="1134"/>
      </w:pPr>
      <w:r w:rsidRPr="00B30B97">
        <w:tab/>
      </w:r>
      <w:r w:rsidR="00F5488E">
        <w:tab/>
      </w:r>
      <w:r w:rsidRPr="00B30B97">
        <w:t>Все элементы иммобилизатора должны отвечать предписаниям, изложенным в пункте 6.4 настоящих Правил.</w:t>
      </w:r>
    </w:p>
    <w:p w:rsidR="00B30B97" w:rsidRPr="00B30B97" w:rsidRDefault="00B30B97" w:rsidP="00B30B97">
      <w:pPr>
        <w:pStyle w:val="SingleTxtGR"/>
      </w:pPr>
      <w:r w:rsidRPr="00B30B97">
        <w:tab/>
      </w:r>
      <w:r w:rsidR="00F5488E">
        <w:tab/>
      </w:r>
      <w:r w:rsidRPr="00B30B97">
        <w:t>Это требование не применяется к:</w:t>
      </w:r>
    </w:p>
    <w:p w:rsidR="00B30B97" w:rsidRPr="00B30B97" w:rsidRDefault="00B30B97" w:rsidP="00F5488E">
      <w:pPr>
        <w:pStyle w:val="SingleTxtGR"/>
        <w:ind w:left="2835" w:hanging="1701"/>
      </w:pPr>
      <w:r w:rsidRPr="00B30B97">
        <w:tab/>
      </w:r>
      <w:r w:rsidR="00F5488E">
        <w:tab/>
      </w:r>
      <w:r w:rsidRPr="00B30B97">
        <w:rPr>
          <w:lang w:val="en-GB"/>
        </w:rPr>
        <w:t>i</w:t>
      </w:r>
      <w:r w:rsidRPr="00B30B97">
        <w:t>)</w:t>
      </w:r>
      <w:r w:rsidRPr="00B30B97">
        <w:tab/>
        <w:t>тем элементам, которые устанавливаются и испытываются в качестве части транспортного средства, независимо от того, установлен ли иммобилизатор (например, фонари); или</w:t>
      </w:r>
    </w:p>
    <w:p w:rsidR="00B30B97" w:rsidRPr="00B30B97" w:rsidRDefault="00B30B97" w:rsidP="00F5488E">
      <w:pPr>
        <w:pStyle w:val="SingleTxtGR"/>
        <w:ind w:left="2835" w:hanging="1701"/>
      </w:pPr>
      <w:r w:rsidRPr="00B30B97">
        <w:tab/>
      </w:r>
      <w:r w:rsidR="00F5488E">
        <w:tab/>
      </w:r>
      <w:r w:rsidRPr="00B30B97">
        <w:rPr>
          <w:lang w:val="en-GB"/>
        </w:rPr>
        <w:t>ii</w:t>
      </w:r>
      <w:r w:rsidRPr="00B30B97">
        <w:t>)</w:t>
      </w:r>
      <w:r w:rsidRPr="00B30B97">
        <w:tab/>
        <w:t xml:space="preserve">тем элементам, которые ранее были подвергнуты испытанию в качестве части транспортного средства, и в этой связи было представлено документальное подтверждение, </w:t>
      </w:r>
      <w:r w:rsidRPr="00B30B97">
        <w:rPr>
          <w:b/>
        </w:rPr>
        <w:t>или</w:t>
      </w:r>
    </w:p>
    <w:p w:rsidR="00B30B97" w:rsidRPr="00B30B97" w:rsidRDefault="00F5488E" w:rsidP="00F5488E">
      <w:pPr>
        <w:pStyle w:val="SingleTxtGR"/>
        <w:ind w:left="2835" w:hanging="1701"/>
      </w:pPr>
      <w:r>
        <w:tab/>
      </w:r>
      <w:r w:rsidR="00B30B97" w:rsidRPr="00B30B97">
        <w:tab/>
      </w:r>
      <w:r w:rsidR="00B30B97" w:rsidRPr="00B30B97">
        <w:rPr>
          <w:b/>
          <w:lang w:val="en-GB"/>
        </w:rPr>
        <w:t>iii</w:t>
      </w:r>
      <w:r w:rsidR="00B30B97" w:rsidRPr="00B30B97">
        <w:rPr>
          <w:b/>
        </w:rPr>
        <w:t>)</w:t>
      </w:r>
      <w:r w:rsidR="00B30B97" w:rsidRPr="00B30B97">
        <w:rPr>
          <w:b/>
        </w:rPr>
        <w:tab/>
        <w:t>компоненты, которые не встроены в транспортное средство, например ключи</w:t>
      </w:r>
      <w:r>
        <w:t>».</w:t>
      </w:r>
    </w:p>
    <w:p w:rsidR="00B30B97" w:rsidRPr="00B30B97" w:rsidRDefault="00B30B97" w:rsidP="00F5488E">
      <w:pPr>
        <w:pStyle w:val="HChGR"/>
      </w:pPr>
      <w:r w:rsidRPr="00B30B97">
        <w:lastRenderedPageBreak/>
        <w:tab/>
      </w:r>
      <w:r w:rsidRPr="00B30B97">
        <w:rPr>
          <w:lang w:val="en-GB"/>
        </w:rPr>
        <w:t>II</w:t>
      </w:r>
      <w:r w:rsidRPr="00B30B97">
        <w:t>.</w:t>
      </w:r>
      <w:r w:rsidRPr="00B30B97">
        <w:tab/>
        <w:t>Обоснование</w:t>
      </w:r>
    </w:p>
    <w:p w:rsidR="00B30B97" w:rsidRPr="00B30B97" w:rsidRDefault="00B30B97" w:rsidP="00B30B97">
      <w:pPr>
        <w:pStyle w:val="SingleTxtGR"/>
      </w:pPr>
      <w:r w:rsidRPr="00B30B97">
        <w:t>1.</w:t>
      </w:r>
      <w:r w:rsidRPr="00B30B97">
        <w:tab/>
        <w:t>Ключ сам по себе не является защитным (противоугонным) устройством – он представляет собой просто соответствующее устройство включения. В порядке обоснования следует сказать, что пользователь может заметить, что ключ неисправен, однако это не значит, что он может обязательно заметить, что система тревожной сигнализации не срабатывает.</w:t>
      </w:r>
    </w:p>
    <w:p w:rsidR="00B30B97" w:rsidRPr="00B30B97" w:rsidRDefault="00B30B97" w:rsidP="00B30B97">
      <w:pPr>
        <w:pStyle w:val="SingleTxtGR"/>
      </w:pPr>
      <w:r w:rsidRPr="00B30B97">
        <w:t>2.</w:t>
      </w:r>
      <w:r w:rsidRPr="00B30B97">
        <w:tab/>
        <w:t>Экологические испытания, указанные в разделе 6.4, ориентированы на компоненты, встроенные в транспортное средство (например пункт 6.4.1.1, касающийся климатических условий). Ключ сам по себе не встроен в транспортное средство, поэтому следует уточнить, что подвергать этим испытаниям ключ нет никакой нужды.</w:t>
      </w:r>
    </w:p>
    <w:p w:rsidR="00B30B97" w:rsidRPr="00B30B97" w:rsidRDefault="00B30B97" w:rsidP="00B30B97">
      <w:pPr>
        <w:pStyle w:val="SingleTxtGR"/>
      </w:pPr>
      <w:r w:rsidRPr="00B30B97">
        <w:t>3.</w:t>
      </w:r>
      <w:r w:rsidRPr="00B30B97">
        <w:tab/>
        <w:t>Кроме того предлагается включить текст сноски</w:t>
      </w:r>
      <w:r w:rsidR="00F5488E">
        <w:t xml:space="preserve"> </w:t>
      </w:r>
      <w:r w:rsidRPr="00B30B97">
        <w:rPr>
          <w:vertAlign w:val="superscript"/>
        </w:rPr>
        <w:t>8</w:t>
      </w:r>
      <w:r w:rsidRPr="00B30B97">
        <w:t xml:space="preserve"> в пункт 6.4, поскольку это является важной частью условий испытания.</w:t>
      </w:r>
    </w:p>
    <w:p w:rsidR="00E12C5F" w:rsidRPr="00B30B97" w:rsidRDefault="00B30B97" w:rsidP="00B30B97">
      <w:pPr>
        <w:pStyle w:val="SingleTxtGR"/>
        <w:spacing w:before="240" w:after="0"/>
        <w:jc w:val="center"/>
        <w:rPr>
          <w:u w:val="single"/>
        </w:rPr>
      </w:pPr>
      <w:r>
        <w:rPr>
          <w:u w:val="single"/>
        </w:rPr>
        <w:tab/>
      </w:r>
      <w:r>
        <w:rPr>
          <w:u w:val="single"/>
        </w:rPr>
        <w:tab/>
      </w:r>
      <w:r>
        <w:rPr>
          <w:u w:val="single"/>
        </w:rPr>
        <w:tab/>
      </w:r>
    </w:p>
    <w:sectPr w:rsidR="00E12C5F" w:rsidRPr="00B30B97" w:rsidSect="00B30B9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ED" w:rsidRPr="00A312BC" w:rsidRDefault="007611ED" w:rsidP="00A312BC"/>
  </w:endnote>
  <w:endnote w:type="continuationSeparator" w:id="0">
    <w:p w:rsidR="007611ED" w:rsidRPr="00A312BC" w:rsidRDefault="007611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97" w:rsidRPr="00B30B97" w:rsidRDefault="00B30B97">
    <w:pPr>
      <w:pStyle w:val="Footer"/>
    </w:pPr>
    <w:r w:rsidRPr="00B30B97">
      <w:rPr>
        <w:b/>
        <w:sz w:val="18"/>
      </w:rPr>
      <w:fldChar w:fldCharType="begin"/>
    </w:r>
    <w:r w:rsidRPr="00B30B97">
      <w:rPr>
        <w:b/>
        <w:sz w:val="18"/>
      </w:rPr>
      <w:instrText xml:space="preserve"> PAGE  \* MERGEFORMAT </w:instrText>
    </w:r>
    <w:r w:rsidRPr="00B30B97">
      <w:rPr>
        <w:b/>
        <w:sz w:val="18"/>
      </w:rPr>
      <w:fldChar w:fldCharType="separate"/>
    </w:r>
    <w:r w:rsidR="00575EDE">
      <w:rPr>
        <w:b/>
        <w:noProof/>
        <w:sz w:val="18"/>
      </w:rPr>
      <w:t>2</w:t>
    </w:r>
    <w:r w:rsidRPr="00B30B97">
      <w:rPr>
        <w:b/>
        <w:sz w:val="18"/>
      </w:rPr>
      <w:fldChar w:fldCharType="end"/>
    </w:r>
    <w:r>
      <w:rPr>
        <w:b/>
        <w:sz w:val="18"/>
      </w:rPr>
      <w:tab/>
    </w:r>
    <w:r>
      <w:t>GE.18-12487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97" w:rsidRPr="00B30B97" w:rsidRDefault="00B30B97" w:rsidP="00B30B97">
    <w:pPr>
      <w:pStyle w:val="Footer"/>
      <w:tabs>
        <w:tab w:val="clear" w:pos="9639"/>
        <w:tab w:val="right" w:pos="9638"/>
      </w:tabs>
      <w:rPr>
        <w:b/>
        <w:sz w:val="18"/>
      </w:rPr>
    </w:pPr>
    <w:r>
      <w:t>GE.18-12487</w:t>
    </w:r>
    <w:r>
      <w:tab/>
    </w:r>
    <w:r w:rsidRPr="00B30B97">
      <w:rPr>
        <w:b/>
        <w:sz w:val="18"/>
      </w:rPr>
      <w:fldChar w:fldCharType="begin"/>
    </w:r>
    <w:r w:rsidRPr="00B30B97">
      <w:rPr>
        <w:b/>
        <w:sz w:val="18"/>
      </w:rPr>
      <w:instrText xml:space="preserve"> PAGE  \* MERGEFORMAT </w:instrText>
    </w:r>
    <w:r w:rsidRPr="00B30B97">
      <w:rPr>
        <w:b/>
        <w:sz w:val="18"/>
      </w:rPr>
      <w:fldChar w:fldCharType="separate"/>
    </w:r>
    <w:r w:rsidR="00575EDE">
      <w:rPr>
        <w:b/>
        <w:noProof/>
        <w:sz w:val="18"/>
      </w:rPr>
      <w:t>3</w:t>
    </w:r>
    <w:r w:rsidRPr="00B30B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30B97" w:rsidRDefault="00B30B97" w:rsidP="00B30B9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18-12487  (R)</w:t>
    </w:r>
    <w:r>
      <w:rPr>
        <w:lang w:val="en-US"/>
      </w:rPr>
      <w:t xml:space="preserve">  230818  270818</w:t>
    </w:r>
    <w:r>
      <w:br/>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sidRPr="00B30B9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8/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ED" w:rsidRPr="001075E9" w:rsidRDefault="007611ED" w:rsidP="001075E9">
      <w:pPr>
        <w:tabs>
          <w:tab w:val="right" w:pos="2155"/>
        </w:tabs>
        <w:spacing w:after="80" w:line="240" w:lineRule="auto"/>
        <w:ind w:left="680"/>
        <w:rPr>
          <w:u w:val="single"/>
        </w:rPr>
      </w:pPr>
      <w:r>
        <w:rPr>
          <w:u w:val="single"/>
        </w:rPr>
        <w:tab/>
      </w:r>
    </w:p>
  </w:footnote>
  <w:footnote w:type="continuationSeparator" w:id="0">
    <w:p w:rsidR="007611ED" w:rsidRDefault="007611ED" w:rsidP="00407B78">
      <w:pPr>
        <w:tabs>
          <w:tab w:val="right" w:pos="2155"/>
        </w:tabs>
        <w:spacing w:after="80"/>
        <w:ind w:left="680"/>
        <w:rPr>
          <w:u w:val="single"/>
        </w:rPr>
      </w:pPr>
      <w:r>
        <w:rPr>
          <w:u w:val="single"/>
        </w:rPr>
        <w:tab/>
      </w:r>
    </w:p>
  </w:footnote>
  <w:footnote w:id="1">
    <w:p w:rsidR="00B30B97" w:rsidRPr="00B14735" w:rsidRDefault="00B30B97" w:rsidP="00B30B97">
      <w:pPr>
        <w:pStyle w:val="FootnoteText"/>
        <w:tabs>
          <w:tab w:val="clear" w:pos="1021"/>
        </w:tabs>
        <w:ind w:hanging="283"/>
        <w:rPr>
          <w:rFonts w:eastAsia="Calibri"/>
        </w:rPr>
      </w:pPr>
      <w:r w:rsidRPr="00B30B97">
        <w:rPr>
          <w:rStyle w:val="FootnoteReference"/>
          <w:sz w:val="20"/>
          <w:vertAlign w:val="baseline"/>
        </w:rPr>
        <w:t>*</w:t>
      </w:r>
      <w:r w:rsidRPr="005630D1">
        <w:tab/>
      </w:r>
      <w:r w:rsidRPr="005630D1">
        <w:rPr>
          <w:szCs w:val="18"/>
        </w:rPr>
        <w:t>В соответствии с программой работы Комитета по внутреннему транспорту на 2014–2018 годы (</w:t>
      </w:r>
      <w:r w:rsidRPr="005630D1">
        <w:rPr>
          <w:szCs w:val="18"/>
          <w:lang w:val="en-US"/>
        </w:rPr>
        <w:t>ECE</w:t>
      </w:r>
      <w:r w:rsidRPr="005630D1">
        <w:rPr>
          <w:szCs w:val="18"/>
        </w:rPr>
        <w:t>/</w:t>
      </w:r>
      <w:r w:rsidRPr="005630D1">
        <w:rPr>
          <w:szCs w:val="18"/>
          <w:lang w:val="en-US"/>
        </w:rPr>
        <w:t>TRANS</w:t>
      </w:r>
      <w:r w:rsidRPr="005630D1">
        <w:rPr>
          <w:szCs w:val="18"/>
        </w:rPr>
        <w:t xml:space="preserve">/240, пункт 105, и </w:t>
      </w:r>
      <w:r w:rsidRPr="005630D1">
        <w:rPr>
          <w:szCs w:val="18"/>
          <w:lang w:val="en-US"/>
        </w:rPr>
        <w:t>ECE</w:t>
      </w:r>
      <w:r w:rsidRPr="005630D1">
        <w:rPr>
          <w:szCs w:val="18"/>
        </w:rPr>
        <w:t>/</w:t>
      </w:r>
      <w:r w:rsidRPr="005630D1">
        <w:rPr>
          <w:szCs w:val="18"/>
          <w:lang w:val="en-US"/>
        </w:rPr>
        <w:t>TRANS</w:t>
      </w:r>
      <w:r w:rsidRPr="005630D1">
        <w:rPr>
          <w:szCs w:val="18"/>
        </w:rPr>
        <w:t xml:space="preserve">/2016/26,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w:t>
      </w:r>
      <w:r w:rsidRPr="005630D1">
        <w:rPr>
          <w:szCs w:val="18"/>
          <w:lang w:val="en-US"/>
        </w:rPr>
        <w:t>Н</w:t>
      </w:r>
      <w:r>
        <w:rPr>
          <w:szCs w:val="18"/>
          <w:lang w:val="en-US"/>
        </w:rPr>
        <w:t>астоящий документ представлен в </w:t>
      </w:r>
      <w:r w:rsidRPr="005630D1">
        <w:rPr>
          <w:szCs w:val="18"/>
          <w:lang w:val="en-US"/>
        </w:rP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97" w:rsidRPr="00B30B97" w:rsidRDefault="00937B06">
    <w:pPr>
      <w:pStyle w:val="Header"/>
    </w:pPr>
    <w:r>
      <w:fldChar w:fldCharType="begin"/>
    </w:r>
    <w:r>
      <w:instrText xml:space="preserve"> TITLE  \* MERGEFORMAT </w:instrText>
    </w:r>
    <w:r>
      <w:fldChar w:fldCharType="separate"/>
    </w:r>
    <w:r w:rsidR="00575EDE">
      <w:t>ECE/TRANS/WP.29/GRSG/2018/25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97" w:rsidRPr="00B30B97" w:rsidRDefault="00937B06" w:rsidP="00B30B97">
    <w:pPr>
      <w:pStyle w:val="Header"/>
      <w:jc w:val="right"/>
    </w:pPr>
    <w:r>
      <w:fldChar w:fldCharType="begin"/>
    </w:r>
    <w:r>
      <w:instrText xml:space="preserve"> TITLE  \* MERGEFORMAT </w:instrText>
    </w:r>
    <w:r>
      <w:fldChar w:fldCharType="separate"/>
    </w:r>
    <w:r w:rsidR="00575EDE">
      <w:t>ECE/TRANS/WP.29/GRSG/2018/25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ED"/>
    <w:rsid w:val="00033EE1"/>
    <w:rsid w:val="00042B72"/>
    <w:rsid w:val="000558BD"/>
    <w:rsid w:val="000B57E7"/>
    <w:rsid w:val="000B6373"/>
    <w:rsid w:val="000E4E5B"/>
    <w:rsid w:val="000F09DF"/>
    <w:rsid w:val="000F61B2"/>
    <w:rsid w:val="001075E9"/>
    <w:rsid w:val="0014152F"/>
    <w:rsid w:val="001516A5"/>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75EDE"/>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11ED"/>
    <w:rsid w:val="00792497"/>
    <w:rsid w:val="00806737"/>
    <w:rsid w:val="00825F8D"/>
    <w:rsid w:val="00834B71"/>
    <w:rsid w:val="0086445C"/>
    <w:rsid w:val="00894693"/>
    <w:rsid w:val="008A08D7"/>
    <w:rsid w:val="008A37C8"/>
    <w:rsid w:val="008B6909"/>
    <w:rsid w:val="008D53B6"/>
    <w:rsid w:val="008F7609"/>
    <w:rsid w:val="00906890"/>
    <w:rsid w:val="00911BE4"/>
    <w:rsid w:val="00937B06"/>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0B9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032DB"/>
    <w:rsid w:val="00E12C5F"/>
    <w:rsid w:val="00E73F76"/>
    <w:rsid w:val="00EA2C9F"/>
    <w:rsid w:val="00EA420E"/>
    <w:rsid w:val="00ED0BDA"/>
    <w:rsid w:val="00EE142A"/>
    <w:rsid w:val="00EF1360"/>
    <w:rsid w:val="00EF3220"/>
    <w:rsid w:val="00F2523A"/>
    <w:rsid w:val="00F43903"/>
    <w:rsid w:val="00F5488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F8C533-7646-493E-9DF8-B2F374A0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3830</Characters>
  <Application>Microsoft Office Word</Application>
  <DocSecurity>0</DocSecurity>
  <Lines>31</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ECE/TRANS/WP.29/GRSG/2018/25</vt:lpstr>
      <vt:lpstr>ECE/TRANS/WP.29/GRSG/2018/25</vt:lpstr>
      <vt:lpstr>A/</vt:lpstr>
    </vt:vector>
  </TitlesOfParts>
  <Company>DCM</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ECE/TRANS/WP.29/GRSG/2018/25</dc:title>
  <dc:subject/>
  <dc:creator>Uliana ANTIPOVA</dc:creator>
  <cp:keywords/>
  <cp:lastModifiedBy>Benedicte Boudol</cp:lastModifiedBy>
  <cp:revision>2</cp:revision>
  <cp:lastPrinted>2018-08-27T08:45:00Z</cp:lastPrinted>
  <dcterms:created xsi:type="dcterms:W3CDTF">2018-12-18T09:09:00Z</dcterms:created>
  <dcterms:modified xsi:type="dcterms:W3CDTF">2018-12-18T09:09:00Z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