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6567D" w14:paraId="1550DD9D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7393ED" w14:textId="77777777" w:rsidR="00B56E9C" w:rsidRPr="00FD4196" w:rsidRDefault="000C65C3" w:rsidP="00D9503E">
            <w:pPr>
              <w:spacing w:after="80"/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FEF33E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C66D03" w14:textId="6277D82A" w:rsidR="00B56E9C" w:rsidRPr="00B6567D" w:rsidRDefault="00D45CC9" w:rsidP="00EA2DF9">
            <w:pPr>
              <w:jc w:val="right"/>
              <w:rPr>
                <w:lang w:val="en-US"/>
              </w:rPr>
            </w:pPr>
            <w:r w:rsidRPr="00B6567D">
              <w:rPr>
                <w:sz w:val="40"/>
                <w:lang w:val="en-US"/>
              </w:rPr>
              <w:t>ECE</w:t>
            </w:r>
            <w:r w:rsidR="002077C3" w:rsidRPr="00B6567D">
              <w:rPr>
                <w:lang w:val="en-US"/>
              </w:rPr>
              <w:t>/TRANS/WP.29/GRPE/</w:t>
            </w:r>
            <w:r w:rsidR="00660C48" w:rsidRPr="00B6567D">
              <w:rPr>
                <w:lang w:val="en-US"/>
              </w:rPr>
              <w:t>201</w:t>
            </w:r>
            <w:r w:rsidR="002135A6" w:rsidRPr="00B6567D">
              <w:rPr>
                <w:lang w:val="en-US"/>
              </w:rPr>
              <w:t>8</w:t>
            </w:r>
            <w:r w:rsidR="00DB2094" w:rsidRPr="00EA2DF9">
              <w:rPr>
                <w:lang w:val="en-US"/>
              </w:rPr>
              <w:t>/</w:t>
            </w:r>
            <w:r w:rsidR="00EA2DF9" w:rsidRPr="00EA2DF9">
              <w:rPr>
                <w:lang w:val="en-US"/>
              </w:rPr>
              <w:t>19</w:t>
            </w:r>
          </w:p>
        </w:tc>
      </w:tr>
      <w:tr w:rsidR="00B56E9C" w:rsidRPr="00FD4196" w14:paraId="19BB8178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529B7D" w14:textId="77777777" w:rsidR="00B56E9C" w:rsidRPr="00FD4196" w:rsidRDefault="00A55C3D" w:rsidP="00D9503E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D833C20" wp14:editId="6EA66A91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23E0E1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76E2BE" w14:textId="77777777" w:rsidR="005B0CA7" w:rsidRPr="00C47377" w:rsidRDefault="005B0CA7" w:rsidP="005B0CA7">
            <w:pPr>
              <w:spacing w:before="240" w:line="240" w:lineRule="exact"/>
            </w:pPr>
            <w:r w:rsidRPr="00C47377">
              <w:t>Distr.: General</w:t>
            </w:r>
          </w:p>
          <w:p w14:paraId="38E5660B" w14:textId="6DB65945" w:rsidR="005B0CA7" w:rsidRDefault="00902E98" w:rsidP="005B0CA7">
            <w:pPr>
              <w:spacing w:line="240" w:lineRule="exact"/>
            </w:pPr>
            <w:r>
              <w:t>26</w:t>
            </w:r>
            <w:r w:rsidR="006A0515">
              <w:t xml:space="preserve"> March</w:t>
            </w:r>
            <w:r w:rsidR="002135A6">
              <w:t xml:space="preserve"> 2018</w:t>
            </w:r>
          </w:p>
          <w:p w14:paraId="538897BA" w14:textId="77777777" w:rsidR="005B0CA7" w:rsidRPr="00C47377" w:rsidRDefault="005B0CA7" w:rsidP="005B0CA7">
            <w:pPr>
              <w:spacing w:line="240" w:lineRule="exact"/>
            </w:pPr>
          </w:p>
          <w:p w14:paraId="3A318B58" w14:textId="77777777" w:rsidR="0090004D" w:rsidRPr="00DB2094" w:rsidRDefault="005B0CA7" w:rsidP="005B0CA7">
            <w:pPr>
              <w:spacing w:line="240" w:lineRule="exact"/>
            </w:pPr>
            <w:r w:rsidRPr="00C47377">
              <w:t>Original: English</w:t>
            </w:r>
          </w:p>
        </w:tc>
      </w:tr>
    </w:tbl>
    <w:p w14:paraId="49628B8B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sz w:val="28"/>
          <w:szCs w:val="28"/>
        </w:rPr>
        <w:t>Economic</w:t>
      </w:r>
      <w:r>
        <w:rPr>
          <w:b/>
          <w:bCs/>
          <w:sz w:val="28"/>
          <w:szCs w:val="28"/>
        </w:rPr>
        <w:t xml:space="preserve"> Commission for Europe </w:t>
      </w:r>
    </w:p>
    <w:p w14:paraId="6490411D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sz w:val="28"/>
          <w:szCs w:val="28"/>
        </w:rPr>
        <w:t xml:space="preserve">Inland Transport Committee </w:t>
      </w:r>
    </w:p>
    <w:p w14:paraId="0D1EEBC7" w14:textId="77777777" w:rsidR="009C3E09" w:rsidRDefault="009C3E09" w:rsidP="009C3E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World Forum for Harmonization of Vehicle Regulations </w:t>
      </w:r>
    </w:p>
    <w:p w14:paraId="7647D688" w14:textId="77777777" w:rsidR="009C3E09" w:rsidRDefault="009C3E09" w:rsidP="009C3E09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Working Party on Pollution and Energy </w:t>
      </w:r>
    </w:p>
    <w:p w14:paraId="3CFE03D0" w14:textId="77777777" w:rsidR="009C3E09" w:rsidRPr="006A0515" w:rsidRDefault="009C3E09" w:rsidP="009C3E09">
      <w:pPr>
        <w:rPr>
          <w:b/>
        </w:rPr>
      </w:pPr>
      <w:r w:rsidRPr="006A0515">
        <w:rPr>
          <w:b/>
        </w:rPr>
        <w:t>Seventy-</w:t>
      </w:r>
      <w:r w:rsidR="002135A6" w:rsidRPr="006A0515">
        <w:rPr>
          <w:b/>
        </w:rPr>
        <w:t>seventh</w:t>
      </w:r>
      <w:r w:rsidRPr="006A0515">
        <w:rPr>
          <w:b/>
        </w:rPr>
        <w:t xml:space="preserve"> session</w:t>
      </w:r>
    </w:p>
    <w:p w14:paraId="77E50552" w14:textId="244ECFB8" w:rsidR="009C3E09" w:rsidRPr="006A0515" w:rsidRDefault="009C3E09" w:rsidP="009C3E09">
      <w:r w:rsidRPr="006A0515">
        <w:t xml:space="preserve">Geneva, </w:t>
      </w:r>
      <w:r w:rsidR="00EA2DF9">
        <w:t>6</w:t>
      </w:r>
      <w:r w:rsidRPr="006A0515">
        <w:t>-</w:t>
      </w:r>
      <w:r w:rsidR="002135A6" w:rsidRPr="006A0515">
        <w:t>8</w:t>
      </w:r>
      <w:r w:rsidRPr="006A0515">
        <w:t xml:space="preserve"> </w:t>
      </w:r>
      <w:r w:rsidR="002135A6" w:rsidRPr="006A0515">
        <w:t>June</w:t>
      </w:r>
      <w:r w:rsidRPr="006A0515">
        <w:t xml:space="preserve"> 201</w:t>
      </w:r>
      <w:r w:rsidR="00E1133B" w:rsidRPr="006A0515">
        <w:t>8</w:t>
      </w:r>
    </w:p>
    <w:p w14:paraId="280A14ED" w14:textId="5606BDF2" w:rsidR="009C3E09" w:rsidRDefault="002135A6" w:rsidP="009C3E09">
      <w:pPr>
        <w:tabs>
          <w:tab w:val="left" w:pos="567"/>
          <w:tab w:val="left" w:pos="1134"/>
        </w:tabs>
        <w:rPr>
          <w:bCs/>
        </w:rPr>
      </w:pPr>
      <w:r w:rsidRPr="00EA2DF9">
        <w:rPr>
          <w:bCs/>
        </w:rPr>
        <w:t xml:space="preserve">Item </w:t>
      </w:r>
      <w:r w:rsidR="000F002B" w:rsidRPr="00EA2DF9">
        <w:rPr>
          <w:bCs/>
        </w:rPr>
        <w:t>5</w:t>
      </w:r>
      <w:r w:rsidR="009C3E09" w:rsidRPr="00EA2DF9">
        <w:rPr>
          <w:bCs/>
        </w:rPr>
        <w:t xml:space="preserve"> </w:t>
      </w:r>
      <w:r w:rsidR="009C3E09">
        <w:rPr>
          <w:bCs/>
        </w:rPr>
        <w:t>of the provisional agenda</w:t>
      </w:r>
    </w:p>
    <w:p w14:paraId="4F9E31B7" w14:textId="75AD7E59" w:rsidR="000F002B" w:rsidRPr="00E03A64" w:rsidRDefault="000F002B" w:rsidP="000F002B">
      <w:pPr>
        <w:rPr>
          <w:b/>
          <w:bCs/>
        </w:rPr>
      </w:pPr>
      <w:r w:rsidRPr="006F00F3">
        <w:rPr>
          <w:b/>
          <w:bCs/>
        </w:rPr>
        <w:t xml:space="preserve">Regulations Nos. </w:t>
      </w:r>
      <w:r>
        <w:rPr>
          <w:b/>
          <w:bCs/>
        </w:rPr>
        <w:t>24 (</w:t>
      </w:r>
      <w:r w:rsidRPr="004E1284">
        <w:rPr>
          <w:b/>
          <w:bCs/>
        </w:rPr>
        <w:t>Visible pollutants, measurement of power</w:t>
      </w:r>
      <w:r w:rsidR="00DC460A">
        <w:rPr>
          <w:b/>
          <w:bCs/>
        </w:rPr>
        <w:br/>
      </w:r>
      <w:r w:rsidRPr="004E1284">
        <w:rPr>
          <w:b/>
          <w:bCs/>
        </w:rPr>
        <w:t xml:space="preserve"> of C.I. engine</w:t>
      </w:r>
      <w:r w:rsidR="00DF798A">
        <w:rPr>
          <w:b/>
          <w:bCs/>
        </w:rPr>
        <w:t>s</w:t>
      </w:r>
      <w:r w:rsidRPr="004E1284">
        <w:rPr>
          <w:b/>
          <w:bCs/>
        </w:rPr>
        <w:t xml:space="preserve"> (Diesel smoke)</w:t>
      </w:r>
      <w:r>
        <w:rPr>
          <w:b/>
          <w:bCs/>
        </w:rPr>
        <w:t xml:space="preserve">), </w:t>
      </w:r>
      <w:r w:rsidRPr="006F00F3">
        <w:rPr>
          <w:b/>
          <w:bCs/>
        </w:rPr>
        <w:t xml:space="preserve">85 (Measurement of the net power), </w:t>
      </w:r>
      <w:r w:rsidR="00DC460A">
        <w:rPr>
          <w:b/>
          <w:bCs/>
        </w:rPr>
        <w:br/>
      </w:r>
      <w:r w:rsidRPr="006F00F3">
        <w:rPr>
          <w:b/>
          <w:bCs/>
        </w:rPr>
        <w:t xml:space="preserve">115 (LPG and CNG retrofit systems), 133 (Recyclability of motor </w:t>
      </w:r>
      <w:r w:rsidR="00DC460A">
        <w:rPr>
          <w:b/>
          <w:bCs/>
        </w:rPr>
        <w:br/>
      </w:r>
      <w:r w:rsidRPr="006F00F3">
        <w:rPr>
          <w:b/>
          <w:bCs/>
        </w:rPr>
        <w:t>vehicles) and 143 (Heavy Duty Dual-Fuel Engine Retrofit Systems</w:t>
      </w:r>
      <w:r w:rsidR="00DC460A">
        <w:rPr>
          <w:b/>
          <w:bCs/>
        </w:rPr>
        <w:br/>
      </w:r>
      <w:r w:rsidRPr="006F00F3">
        <w:rPr>
          <w:b/>
          <w:bCs/>
        </w:rPr>
        <w:t>(HDDF-ERS))</w:t>
      </w:r>
    </w:p>
    <w:p w14:paraId="70F182E6" w14:textId="05C79C7C" w:rsidR="00450B28" w:rsidRPr="000F002B" w:rsidRDefault="00450B28" w:rsidP="00252825">
      <w:pPr>
        <w:pStyle w:val="HChG"/>
      </w:pPr>
      <w:r w:rsidRPr="00FD4196">
        <w:tab/>
      </w:r>
      <w:r w:rsidRPr="00FD4196">
        <w:tab/>
      </w:r>
      <w:r w:rsidR="000F002B" w:rsidRPr="000F002B">
        <w:rPr>
          <w:lang w:val="en-US"/>
        </w:rPr>
        <w:t xml:space="preserve">Proposal for amendments to </w:t>
      </w:r>
      <w:r w:rsidR="001B690E">
        <w:rPr>
          <w:lang w:val="en-US"/>
        </w:rPr>
        <w:t xml:space="preserve">UN </w:t>
      </w:r>
      <w:r w:rsidR="000F002B" w:rsidRPr="000F002B">
        <w:rPr>
          <w:lang w:val="en-US"/>
        </w:rPr>
        <w:t>Regulation No. 24 (Visible pollutants, measurement of power of C</w:t>
      </w:r>
      <w:r w:rsidR="00F700CA">
        <w:rPr>
          <w:lang w:val="en-US"/>
        </w:rPr>
        <w:t xml:space="preserve">ompression </w:t>
      </w:r>
      <w:r w:rsidR="000F002B" w:rsidRPr="000F002B">
        <w:rPr>
          <w:lang w:val="en-US"/>
        </w:rPr>
        <w:t>I</w:t>
      </w:r>
      <w:r w:rsidR="00F700CA">
        <w:rPr>
          <w:lang w:val="en-US"/>
        </w:rPr>
        <w:t>gnition</w:t>
      </w:r>
      <w:r w:rsidR="000F002B" w:rsidRPr="000F002B">
        <w:rPr>
          <w:lang w:val="en-US"/>
        </w:rPr>
        <w:t xml:space="preserve"> engine (Diesel smoke)</w:t>
      </w:r>
      <w:r w:rsidR="00B6567D" w:rsidRPr="000F002B">
        <w:rPr>
          <w:lang w:val="en-US"/>
        </w:rPr>
        <w:t>)</w:t>
      </w:r>
    </w:p>
    <w:p w14:paraId="7C37A5EA" w14:textId="77777777"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>the</w:t>
      </w:r>
      <w:r w:rsidR="0086079A" w:rsidRPr="00DD2DA8">
        <w:t xml:space="preserve"> </w:t>
      </w:r>
      <w:r w:rsidR="000C28DE">
        <w:rPr>
          <w:lang w:val="en-US"/>
        </w:rPr>
        <w:t>expert from</w:t>
      </w:r>
      <w:r w:rsidR="005D60B3">
        <w:rPr>
          <w:lang w:val="en-US"/>
        </w:rPr>
        <w:t xml:space="preserve"> the </w:t>
      </w:r>
      <w:r w:rsidR="009C3E09">
        <w:t>International Organization of Motor Vehicle Manufacturers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14:paraId="7DE505A7" w14:textId="3E10F829" w:rsidR="009C3E09" w:rsidRDefault="000F002B" w:rsidP="00DC460A">
      <w:pPr>
        <w:spacing w:after="120" w:line="240" w:lineRule="auto"/>
        <w:ind w:left="1134" w:right="1134" w:firstLine="567"/>
        <w:jc w:val="both"/>
      </w:pPr>
      <w:r w:rsidRPr="00DC3C75">
        <w:rPr>
          <w:lang w:val="en-US"/>
        </w:rPr>
        <w:t>The text reproduced below was prepared by the expert from the International Organization of Motor Vehicle Manufacturers (OICA) to a</w:t>
      </w:r>
      <w:r>
        <w:rPr>
          <w:lang w:val="en-US"/>
        </w:rPr>
        <w:t>lign</w:t>
      </w:r>
      <w:r w:rsidRPr="00DC3C75">
        <w:rPr>
          <w:lang w:val="en-US"/>
        </w:rPr>
        <w:t xml:space="preserve"> the provisions of the 0</w:t>
      </w:r>
      <w:r>
        <w:rPr>
          <w:lang w:val="en-US"/>
        </w:rPr>
        <w:t>3</w:t>
      </w:r>
      <w:r w:rsidRPr="00DC3C75">
        <w:rPr>
          <w:lang w:val="en-US"/>
        </w:rPr>
        <w:t xml:space="preserve"> series of amendments to </w:t>
      </w:r>
      <w:r w:rsidR="001B690E">
        <w:rPr>
          <w:lang w:val="en-US"/>
        </w:rPr>
        <w:t xml:space="preserve">UN </w:t>
      </w:r>
      <w:r w:rsidRPr="00DC3C75">
        <w:rPr>
          <w:lang w:val="en-US"/>
        </w:rPr>
        <w:t xml:space="preserve">Regulation No. </w:t>
      </w:r>
      <w:r>
        <w:rPr>
          <w:lang w:val="en-US"/>
        </w:rPr>
        <w:t>24</w:t>
      </w:r>
      <w:r w:rsidRPr="00DC3C75">
        <w:rPr>
          <w:lang w:val="en-US"/>
        </w:rPr>
        <w:t xml:space="preserve"> </w:t>
      </w:r>
      <w:r>
        <w:rPr>
          <w:lang w:val="en-US"/>
        </w:rPr>
        <w:t>with</w:t>
      </w:r>
      <w:r w:rsidR="001B690E">
        <w:rPr>
          <w:lang w:val="en-US"/>
        </w:rPr>
        <w:t xml:space="preserve"> UN</w:t>
      </w:r>
      <w:r>
        <w:rPr>
          <w:lang w:val="en-US"/>
        </w:rPr>
        <w:t xml:space="preserve"> Regulation No. 85. </w:t>
      </w:r>
      <w:r w:rsidR="001D2F2F"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 w:rsidR="009C3E09">
        <w:rPr>
          <w:szCs w:val="23"/>
        </w:rPr>
        <w:t>.</w:t>
      </w:r>
    </w:p>
    <w:p w14:paraId="5016B9F0" w14:textId="22B7B7DB" w:rsidR="000F002B" w:rsidRPr="00DC460A" w:rsidRDefault="00EC6158" w:rsidP="00DC460A">
      <w:pPr>
        <w:pStyle w:val="HChG"/>
        <w:ind w:hanging="567"/>
      </w:pPr>
      <w:r w:rsidRPr="00FD4196">
        <w:br w:type="page"/>
      </w:r>
      <w:r w:rsidR="000F002B" w:rsidRPr="00DC460A">
        <w:lastRenderedPageBreak/>
        <w:t>I.</w:t>
      </w:r>
      <w:r w:rsidR="00DC460A">
        <w:tab/>
      </w:r>
      <w:r w:rsidR="000F002B" w:rsidRPr="00DC460A">
        <w:tab/>
        <w:t>Proposal</w:t>
      </w:r>
    </w:p>
    <w:p w14:paraId="12E80488" w14:textId="324EE6E9" w:rsidR="000F002B" w:rsidRDefault="000F002B" w:rsidP="00DC460A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Annex 4, paragraph 3.2., </w:t>
      </w:r>
      <w:r w:rsidRPr="000F002B">
        <w:rPr>
          <w:lang w:val="en-US"/>
        </w:rPr>
        <w:t>amend to read:</w:t>
      </w:r>
    </w:p>
    <w:p w14:paraId="1AFCAF88" w14:textId="53901C5C" w:rsidR="00BC6336" w:rsidRDefault="00902E98" w:rsidP="00BC6336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0F002B" w:rsidRPr="00F10B22">
        <w:rPr>
          <w:lang w:val="en-US"/>
        </w:rPr>
        <w:t>3.2</w:t>
      </w:r>
      <w:r w:rsidR="00C0674A">
        <w:rPr>
          <w:lang w:val="en-US"/>
        </w:rPr>
        <w:t>.</w:t>
      </w:r>
      <w:r w:rsidR="000F002B" w:rsidRPr="00F10B22">
        <w:rPr>
          <w:lang w:val="en-US"/>
        </w:rPr>
        <w:t xml:space="preserve"> </w:t>
      </w:r>
      <w:r w:rsidR="000F002B" w:rsidRPr="00F10B22">
        <w:rPr>
          <w:lang w:val="en-US"/>
        </w:rPr>
        <w:tab/>
        <w:t>Fuel</w:t>
      </w:r>
    </w:p>
    <w:p w14:paraId="6A028ECD" w14:textId="66886E4F" w:rsidR="000F002B" w:rsidRDefault="000F002B" w:rsidP="00BC6336">
      <w:pPr>
        <w:keepNext/>
        <w:keepLines/>
        <w:spacing w:after="120" w:line="240" w:lineRule="auto"/>
        <w:ind w:left="2268" w:right="1134"/>
        <w:jc w:val="both"/>
        <w:rPr>
          <w:b/>
        </w:rPr>
      </w:pPr>
      <w:r w:rsidRPr="00F10B22">
        <w:rPr>
          <w:lang w:val="en-US"/>
        </w:rPr>
        <w:t>The</w:t>
      </w:r>
      <w:r w:rsidRPr="00F10B22">
        <w:rPr>
          <w:b/>
          <w:lang w:val="en-US"/>
        </w:rPr>
        <w:t xml:space="preserve"> fuel used shall be the one available on the market. </w:t>
      </w:r>
      <w:r w:rsidRPr="00B05104">
        <w:rPr>
          <w:b/>
        </w:rPr>
        <w:t xml:space="preserve">In any case of dispute, the </w:t>
      </w:r>
      <w:r w:rsidRPr="00B05104">
        <w:t xml:space="preserve">fuel shall be the reference fuel whose specifications are given in Annex 6 </w:t>
      </w:r>
      <w:r w:rsidR="00902E98">
        <w:t>to this Regulation."</w:t>
      </w:r>
    </w:p>
    <w:p w14:paraId="7F2D2D8E" w14:textId="4131B642" w:rsidR="000F002B" w:rsidRDefault="000F002B" w:rsidP="00BC6336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Insert </w:t>
      </w:r>
      <w:r w:rsidR="001B690E">
        <w:rPr>
          <w:i/>
          <w:lang w:val="en-US"/>
        </w:rPr>
        <w:t xml:space="preserve">new </w:t>
      </w:r>
      <w:r>
        <w:rPr>
          <w:i/>
          <w:lang w:val="en-US"/>
        </w:rPr>
        <w:t>paragraph 3.3.3.</w:t>
      </w:r>
      <w:r w:rsidRPr="000F002B">
        <w:rPr>
          <w:lang w:val="en-US"/>
        </w:rPr>
        <w:t>:</w:t>
      </w:r>
    </w:p>
    <w:p w14:paraId="03398DB0" w14:textId="142523FE" w:rsidR="000F002B" w:rsidRPr="00F10B22" w:rsidRDefault="00902E98" w:rsidP="00BC6336">
      <w:pPr>
        <w:keepNext/>
        <w:keepLines/>
        <w:spacing w:after="120" w:line="240" w:lineRule="auto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"</w:t>
      </w:r>
      <w:r w:rsidR="000F002B" w:rsidRPr="00F10B22">
        <w:rPr>
          <w:b/>
          <w:lang w:val="en-US"/>
        </w:rPr>
        <w:t>3.3.3</w:t>
      </w:r>
      <w:r w:rsidR="002C6D44">
        <w:rPr>
          <w:b/>
          <w:lang w:val="en-US"/>
        </w:rPr>
        <w:t>.</w:t>
      </w:r>
      <w:r w:rsidR="000F002B" w:rsidRPr="00F10B22">
        <w:rPr>
          <w:b/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="000F002B" w:rsidRPr="00DC3C75">
        <w:rPr>
          <w:b/>
        </w:rPr>
        <w:t>α</w:t>
      </w:r>
      <w:r w:rsidR="000F002B" w:rsidRPr="00F10B22">
        <w:rPr>
          <w:b/>
          <w:vertAlign w:val="subscript"/>
          <w:lang w:val="en-US"/>
        </w:rPr>
        <w:t>a</w:t>
      </w:r>
      <w:r w:rsidR="000F002B" w:rsidRPr="00F10B22">
        <w:rPr>
          <w:b/>
          <w:lang w:val="en-US"/>
        </w:rPr>
        <w:t xml:space="preserve"> or </w:t>
      </w:r>
      <w:r w:rsidR="000F002B" w:rsidRPr="00DC3C75">
        <w:rPr>
          <w:b/>
        </w:rPr>
        <w:t>α</w:t>
      </w:r>
      <w:r w:rsidR="000F002B" w:rsidRPr="00F10B22">
        <w:rPr>
          <w:b/>
          <w:vertAlign w:val="subscript"/>
          <w:lang w:val="en-US"/>
        </w:rPr>
        <w:t>d</w:t>
      </w:r>
      <w:r w:rsidR="000F002B" w:rsidRPr="00F10B22">
        <w:rPr>
          <w:b/>
          <w:lang w:val="en-US"/>
        </w:rPr>
        <w:t xml:space="preserve"> shall be set to the value of 1.</w:t>
      </w:r>
      <w:r>
        <w:rPr>
          <w:lang w:val="en-US"/>
        </w:rPr>
        <w:t>"</w:t>
      </w:r>
    </w:p>
    <w:p w14:paraId="51FD3808" w14:textId="0CC3955B" w:rsidR="000F002B" w:rsidRPr="000F002B" w:rsidRDefault="000F002B" w:rsidP="00BC6336">
      <w:pPr>
        <w:pStyle w:val="para"/>
        <w:spacing w:line="240" w:lineRule="auto"/>
        <w:ind w:left="1134" w:firstLine="0"/>
        <w:rPr>
          <w:lang w:val="en-US"/>
        </w:rPr>
      </w:pPr>
      <w:r>
        <w:rPr>
          <w:i/>
          <w:lang w:val="en-US"/>
        </w:rPr>
        <w:t>Annex 10, insert</w:t>
      </w:r>
      <w:r w:rsidR="001B690E">
        <w:rPr>
          <w:i/>
          <w:lang w:val="en-US"/>
        </w:rPr>
        <w:t xml:space="preserve"> new</w:t>
      </w:r>
      <w:r>
        <w:rPr>
          <w:i/>
          <w:lang w:val="en-US"/>
        </w:rPr>
        <w:t xml:space="preserve"> paragraph 6.4.3.</w:t>
      </w:r>
      <w:r w:rsidRPr="000F002B">
        <w:rPr>
          <w:lang w:val="en-US"/>
        </w:rPr>
        <w:t>:</w:t>
      </w:r>
    </w:p>
    <w:p w14:paraId="7A5B735B" w14:textId="580FAD92" w:rsidR="000F002B" w:rsidRPr="00F10B22" w:rsidRDefault="00902E98" w:rsidP="00BC6336">
      <w:pPr>
        <w:keepNext/>
        <w:keepLines/>
        <w:spacing w:after="120" w:line="240" w:lineRule="auto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"</w:t>
      </w:r>
      <w:r w:rsidR="000F002B" w:rsidRPr="00F10B22">
        <w:rPr>
          <w:b/>
          <w:lang w:val="en-US"/>
        </w:rPr>
        <w:t>6.4.3</w:t>
      </w:r>
      <w:r w:rsidR="002C6D44">
        <w:rPr>
          <w:b/>
          <w:lang w:val="en-US"/>
        </w:rPr>
        <w:t>.</w:t>
      </w:r>
      <w:r w:rsidR="000F002B" w:rsidRPr="00F10B22">
        <w:rPr>
          <w:b/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="000F002B" w:rsidRPr="00B05104">
        <w:rPr>
          <w:b/>
        </w:rPr>
        <w:t>α</w:t>
      </w:r>
      <w:r w:rsidR="000F002B" w:rsidRPr="00F10B22">
        <w:rPr>
          <w:b/>
          <w:vertAlign w:val="subscript"/>
          <w:lang w:val="en-US"/>
        </w:rPr>
        <w:t>a</w:t>
      </w:r>
      <w:r w:rsidR="000F002B" w:rsidRPr="00F10B22">
        <w:rPr>
          <w:b/>
          <w:lang w:val="en-US"/>
        </w:rPr>
        <w:t xml:space="preserve"> or </w:t>
      </w:r>
      <w:r w:rsidR="000F002B" w:rsidRPr="00B05104">
        <w:rPr>
          <w:b/>
        </w:rPr>
        <w:t>α</w:t>
      </w:r>
      <w:r w:rsidR="000F002B" w:rsidRPr="00F10B22">
        <w:rPr>
          <w:b/>
          <w:vertAlign w:val="subscript"/>
          <w:lang w:val="en-US"/>
        </w:rPr>
        <w:t>d</w:t>
      </w:r>
      <w:r w:rsidR="000F002B" w:rsidRPr="00F10B22">
        <w:rPr>
          <w:b/>
          <w:lang w:val="en-US"/>
        </w:rPr>
        <w:t xml:space="preserve"> shall be set to the value of 1.</w:t>
      </w:r>
      <w:r>
        <w:rPr>
          <w:b/>
          <w:lang w:val="en-US"/>
        </w:rPr>
        <w:t>"</w:t>
      </w:r>
    </w:p>
    <w:p w14:paraId="498DCAD1" w14:textId="33661E54" w:rsidR="000F002B" w:rsidRPr="00E03A64" w:rsidRDefault="00DC460A" w:rsidP="00DC460A">
      <w:pPr>
        <w:pStyle w:val="HChG"/>
        <w:rPr>
          <w:color w:val="FF0000"/>
          <w:lang w:val="en-US"/>
        </w:rPr>
      </w:pPr>
      <w:r>
        <w:tab/>
      </w:r>
      <w:r w:rsidR="000F002B">
        <w:t>II</w:t>
      </w:r>
      <w:r w:rsidR="000F002B" w:rsidRPr="00E03A64">
        <w:t>.</w:t>
      </w:r>
      <w:r w:rsidR="000F002B" w:rsidRPr="00E03A64">
        <w:tab/>
        <w:t xml:space="preserve">Justification </w:t>
      </w:r>
    </w:p>
    <w:p w14:paraId="5FAA7F4D" w14:textId="43EF21B9" w:rsidR="000F002B" w:rsidRDefault="000F002B" w:rsidP="000F002B">
      <w:pPr>
        <w:spacing w:after="120"/>
        <w:ind w:left="1134" w:right="1134"/>
        <w:jc w:val="both"/>
        <w:rPr>
          <w:lang w:val="en-US"/>
        </w:rPr>
      </w:pPr>
      <w:r w:rsidRPr="00E03A64">
        <w:rPr>
          <w:lang w:val="en-US"/>
        </w:rPr>
        <w:t>1.</w:t>
      </w:r>
      <w:r w:rsidRPr="00E03A64">
        <w:rPr>
          <w:lang w:val="en-US"/>
        </w:rPr>
        <w:tab/>
      </w:r>
      <w:r>
        <w:rPr>
          <w:lang w:val="en-US"/>
        </w:rPr>
        <w:t>Annex 4 of Regulation No. 24</w:t>
      </w:r>
      <w:r w:rsidRPr="00B05104">
        <w:rPr>
          <w:lang w:val="en-US"/>
        </w:rPr>
        <w:t xml:space="preserve"> describes the opacity test </w:t>
      </w:r>
      <w:r w:rsidR="002D0E55">
        <w:rPr>
          <w:lang w:val="en-US"/>
        </w:rPr>
        <w:t>over the full load curve of a compression ignition</w:t>
      </w:r>
      <w:r w:rsidRPr="00B05104">
        <w:rPr>
          <w:lang w:val="en-US"/>
        </w:rPr>
        <w:t xml:space="preserve"> engine. For the determination of the engine power the same correction factors are applied as in </w:t>
      </w:r>
      <w:r w:rsidR="001B690E">
        <w:rPr>
          <w:lang w:val="en-US"/>
        </w:rPr>
        <w:t xml:space="preserve">UN </w:t>
      </w:r>
      <w:r w:rsidRPr="00B05104">
        <w:rPr>
          <w:lang w:val="en-US"/>
        </w:rPr>
        <w:t>Reg</w:t>
      </w:r>
      <w:r w:rsidR="001B690E">
        <w:rPr>
          <w:lang w:val="en-US"/>
        </w:rPr>
        <w:t>ulation</w:t>
      </w:r>
      <w:r w:rsidRPr="00B05104">
        <w:rPr>
          <w:lang w:val="en-US"/>
        </w:rPr>
        <w:t xml:space="preserve"> No. 85. However, the paragraph mentioned above is missing in </w:t>
      </w:r>
      <w:r w:rsidR="001B690E">
        <w:rPr>
          <w:lang w:val="en-US"/>
        </w:rPr>
        <w:t xml:space="preserve">UN </w:t>
      </w:r>
      <w:r w:rsidRPr="00B05104">
        <w:rPr>
          <w:lang w:val="en-US"/>
        </w:rPr>
        <w:t>Reg</w:t>
      </w:r>
      <w:r w:rsidR="001B690E">
        <w:rPr>
          <w:lang w:val="en-US"/>
        </w:rPr>
        <w:t>ulation</w:t>
      </w:r>
      <w:r w:rsidRPr="00B05104">
        <w:rPr>
          <w:lang w:val="en-US"/>
        </w:rPr>
        <w:t xml:space="preserve"> No. 24. Therefore it is not possible to use this paragraph for </w:t>
      </w:r>
      <w:r w:rsidR="002D0E55">
        <w:rPr>
          <w:lang w:val="en-US"/>
        </w:rPr>
        <w:t>c</w:t>
      </w:r>
      <w:r w:rsidR="00F700CA">
        <w:rPr>
          <w:lang w:val="en-US"/>
        </w:rPr>
        <w:t xml:space="preserve">ompression </w:t>
      </w:r>
      <w:r w:rsidR="002D0E55">
        <w:rPr>
          <w:lang w:val="en-US"/>
        </w:rPr>
        <w:t>ignition</w:t>
      </w:r>
      <w:r w:rsidRPr="00B05104">
        <w:rPr>
          <w:lang w:val="en-US"/>
        </w:rPr>
        <w:t xml:space="preserve"> engines, because for the opacity test at full load it cannot be applied. </w:t>
      </w:r>
      <w:r w:rsidR="001B690E">
        <w:rPr>
          <w:lang w:val="en-US"/>
        </w:rPr>
        <w:t xml:space="preserve">UN </w:t>
      </w:r>
      <w:r w:rsidRPr="00B05104">
        <w:rPr>
          <w:lang w:val="en-US"/>
        </w:rPr>
        <w:t>Reg</w:t>
      </w:r>
      <w:r>
        <w:rPr>
          <w:lang w:val="en-US"/>
        </w:rPr>
        <w:t>ulation</w:t>
      </w:r>
      <w:r w:rsidRPr="00B05104">
        <w:rPr>
          <w:lang w:val="en-US"/>
        </w:rPr>
        <w:t xml:space="preserve"> No. 24 should</w:t>
      </w:r>
      <w:r w:rsidR="002C6D44">
        <w:rPr>
          <w:lang w:val="en-US"/>
        </w:rPr>
        <w:t xml:space="preserve"> be adjusted to harmonize both R</w:t>
      </w:r>
      <w:r w:rsidRPr="00B05104">
        <w:rPr>
          <w:lang w:val="en-US"/>
        </w:rPr>
        <w:t>egulations.</w:t>
      </w:r>
    </w:p>
    <w:p w14:paraId="2AE2A2D6" w14:textId="489753AA" w:rsidR="000F002B" w:rsidRPr="00CD02E4" w:rsidRDefault="000F002B" w:rsidP="000F002B">
      <w:pPr>
        <w:spacing w:after="120"/>
        <w:ind w:left="1134" w:right="1134"/>
        <w:jc w:val="both"/>
        <w:rPr>
          <w:b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The requirement to use reference fuel in </w:t>
      </w:r>
      <w:r w:rsidR="001B690E">
        <w:rPr>
          <w:lang w:val="en-US"/>
        </w:rPr>
        <w:t xml:space="preserve">UN </w:t>
      </w:r>
      <w:r>
        <w:rPr>
          <w:lang w:val="en-US"/>
        </w:rPr>
        <w:t xml:space="preserve">Regulation </w:t>
      </w:r>
      <w:r w:rsidR="001B690E">
        <w:rPr>
          <w:lang w:val="en-US"/>
        </w:rPr>
        <w:t xml:space="preserve">No. </w:t>
      </w:r>
      <w:r>
        <w:rPr>
          <w:lang w:val="en-US"/>
        </w:rPr>
        <w:t xml:space="preserve">24 leads to an unjustified test additional to that in </w:t>
      </w:r>
      <w:r w:rsidR="001B690E">
        <w:rPr>
          <w:lang w:val="en-US"/>
        </w:rPr>
        <w:t xml:space="preserve">UN </w:t>
      </w:r>
      <w:r>
        <w:rPr>
          <w:lang w:val="en-US"/>
        </w:rPr>
        <w:t xml:space="preserve">Regulation </w:t>
      </w:r>
      <w:r w:rsidR="001B690E">
        <w:rPr>
          <w:lang w:val="en-US"/>
        </w:rPr>
        <w:t xml:space="preserve">No. </w:t>
      </w:r>
      <w:r>
        <w:rPr>
          <w:lang w:val="en-US"/>
        </w:rPr>
        <w:t>85.  This requirement should therefore be harmonized.</w:t>
      </w:r>
    </w:p>
    <w:p w14:paraId="538DBADE" w14:textId="77777777" w:rsidR="000F002B" w:rsidRPr="00FD6858" w:rsidRDefault="000F002B" w:rsidP="000F002B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p w14:paraId="31AB17A9" w14:textId="704CDF12" w:rsidR="00C70CC9" w:rsidRPr="00C70CC9" w:rsidRDefault="00C70CC9" w:rsidP="000F002B">
      <w:pPr>
        <w:pStyle w:val="HChG"/>
        <w:tabs>
          <w:tab w:val="clear" w:pos="851"/>
        </w:tabs>
        <w:ind w:hanging="567"/>
      </w:pPr>
    </w:p>
    <w:sectPr w:rsidR="00C70CC9" w:rsidRPr="00C70CC9" w:rsidSect="000C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60EC" w14:textId="77777777" w:rsidR="00607812" w:rsidRDefault="00607812"/>
  </w:endnote>
  <w:endnote w:type="continuationSeparator" w:id="0">
    <w:p w14:paraId="4A95B074" w14:textId="77777777" w:rsidR="00607812" w:rsidRDefault="00607812"/>
  </w:endnote>
  <w:endnote w:type="continuationNotice" w:id="1">
    <w:p w14:paraId="544A4F26" w14:textId="77777777" w:rsidR="00607812" w:rsidRDefault="00607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7CC5" w14:textId="31CF23A7"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60135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D97C" w14:textId="77777777"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F002B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C4E" w14:textId="1E7885D2" w:rsidR="00D136D2" w:rsidRDefault="005A621B" w:rsidP="005A621B">
    <w:pPr>
      <w:pStyle w:val="SingleTxtG"/>
      <w:ind w:left="0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28526A2" wp14:editId="1AB25697">
          <wp:simplePos x="0" y="0"/>
          <wp:positionH relativeFrom="margin">
            <wp:posOffset>5540195</wp:posOffset>
          </wp:positionH>
          <wp:positionV relativeFrom="margin">
            <wp:posOffset>7812111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PE/2018/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ADBAF98" wp14:editId="7F60733F">
          <wp:simplePos x="0" y="0"/>
          <wp:positionH relativeFrom="margin">
            <wp:posOffset>4381500</wp:posOffset>
          </wp:positionH>
          <wp:positionV relativeFrom="margin">
            <wp:posOffset>8162290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3B5C7" w14:textId="6F27455F" w:rsidR="005A621B" w:rsidRDefault="005A621B" w:rsidP="005A621B">
    <w:pPr>
      <w:pStyle w:val="SingleTxtG"/>
      <w:spacing w:after="0" w:line="240" w:lineRule="auto"/>
      <w:ind w:left="0"/>
      <w:jc w:val="left"/>
    </w:pPr>
    <w:r>
      <w:t>GE.18-04563(E)</w:t>
    </w:r>
  </w:p>
  <w:p w14:paraId="509D38A9" w14:textId="158AEAD5" w:rsidR="005A621B" w:rsidRPr="005A621B" w:rsidRDefault="005A621B" w:rsidP="005A621B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5C44" w14:textId="77777777" w:rsidR="00607812" w:rsidRPr="000B175B" w:rsidRDefault="006078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FA63DF" w14:textId="77777777" w:rsidR="00607812" w:rsidRPr="00FC68B7" w:rsidRDefault="006078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C64E45" w14:textId="77777777" w:rsidR="00607812" w:rsidRDefault="00607812"/>
  </w:footnote>
  <w:footnote w:id="2">
    <w:p w14:paraId="00A87392" w14:textId="7CC516F4"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0B44DE" w:rsidRPr="00C04C5C">
        <w:rPr>
          <w:szCs w:val="18"/>
          <w:lang w:val="en-US"/>
        </w:rPr>
        <w:t xml:space="preserve">In accordance with the programme of work of </w:t>
      </w:r>
      <w:r w:rsidR="000B44DE" w:rsidRPr="00EC433E">
        <w:rPr>
          <w:szCs w:val="18"/>
          <w:lang w:val="en-US"/>
        </w:rPr>
        <w:t>the Inland Transport Committee for 2018–2019 (ECE/TRANS/274, para. 123 and ECE/TRANS/2018/21 and Add.1, Cluster 3),</w:t>
      </w:r>
      <w:r w:rsidR="000B44DE" w:rsidRPr="00C04C5C">
        <w:rPr>
          <w:szCs w:val="18"/>
          <w:lang w:val="en-US"/>
        </w:rPr>
        <w:t xml:space="preserve"> the World Forum will</w:t>
      </w:r>
      <w:r w:rsidR="000B44DE">
        <w:rPr>
          <w:szCs w:val="18"/>
          <w:lang w:val="en-US"/>
        </w:rPr>
        <w:t xml:space="preserve"> develop, harmonize and update R</w:t>
      </w:r>
      <w:r w:rsidR="000B44DE" w:rsidRPr="00C04C5C">
        <w:rPr>
          <w:szCs w:val="18"/>
          <w:lang w:val="en-US"/>
        </w:rPr>
        <w:t xml:space="preserve">egulations in order to enhance </w:t>
      </w:r>
      <w:r w:rsidR="000B44DE">
        <w:rPr>
          <w:szCs w:val="18"/>
          <w:lang w:val="en-US"/>
        </w:rPr>
        <w:t xml:space="preserve">the </w:t>
      </w:r>
      <w:r w:rsidR="000B44DE" w:rsidRPr="00C04C5C">
        <w:rPr>
          <w:szCs w:val="18"/>
          <w:lang w:val="en-US"/>
        </w:rPr>
        <w:t xml:space="preserve">performance of vehicles. The </w:t>
      </w:r>
      <w:r w:rsidR="000B44DE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0D7A" w14:textId="68FD96C9" w:rsidR="003E02FC" w:rsidRPr="003E02FC" w:rsidRDefault="009C3E09">
    <w:pPr>
      <w:pStyle w:val="Header"/>
      <w:rPr>
        <w:lang w:val="fr-CH"/>
      </w:rPr>
    </w:pPr>
    <w:r>
      <w:rPr>
        <w:lang w:val="fr-CH"/>
      </w:rPr>
      <w:t>ECE/TRANS/WP.29/GRPE/201</w:t>
    </w:r>
    <w:r w:rsidR="00C76D1E">
      <w:rPr>
        <w:lang w:val="fr-CH"/>
      </w:rPr>
      <w:t>8</w:t>
    </w:r>
    <w:r>
      <w:rPr>
        <w:lang w:val="fr-CH"/>
      </w:rPr>
      <w:t>/</w:t>
    </w:r>
    <w:r w:rsidR="00EA2DF9" w:rsidRPr="00EA2DF9">
      <w:rPr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6350" w14:textId="39628AD3" w:rsidR="003E02FC" w:rsidRPr="003E02FC" w:rsidRDefault="007227C2" w:rsidP="003E02FC">
    <w:pPr>
      <w:pStyle w:val="Header"/>
      <w:jc w:val="right"/>
      <w:rPr>
        <w:lang w:val="fr-CH"/>
      </w:rPr>
    </w:pPr>
    <w:r>
      <w:rPr>
        <w:lang w:val="fr-CH"/>
      </w:rPr>
      <w:t>ECE/TRANS/WP.29/GRPE/2018/</w:t>
    </w:r>
    <w:r w:rsidRPr="007227C2">
      <w:rPr>
        <w:color w:val="FF0000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7274" w14:textId="77777777" w:rsidR="00111254" w:rsidRPr="00E970F0" w:rsidRDefault="00111254" w:rsidP="00111254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4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71F3B80"/>
    <w:multiLevelType w:val="hybridMultilevel"/>
    <w:tmpl w:val="27D21F22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6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3"/>
  </w:num>
  <w:num w:numId="14">
    <w:abstractNumId w:val="34"/>
  </w:num>
  <w:num w:numId="15">
    <w:abstractNumId w:val="38"/>
  </w:num>
  <w:num w:numId="16">
    <w:abstractNumId w:val="20"/>
  </w:num>
  <w:num w:numId="17">
    <w:abstractNumId w:val="40"/>
  </w:num>
  <w:num w:numId="18">
    <w:abstractNumId w:val="35"/>
  </w:num>
  <w:num w:numId="19">
    <w:abstractNumId w:val="26"/>
  </w:num>
  <w:num w:numId="20">
    <w:abstractNumId w:val="25"/>
  </w:num>
  <w:num w:numId="21">
    <w:abstractNumId w:val="22"/>
  </w:num>
  <w:num w:numId="22">
    <w:abstractNumId w:val="37"/>
  </w:num>
  <w:num w:numId="23">
    <w:abstractNumId w:val="41"/>
  </w:num>
  <w:num w:numId="24">
    <w:abstractNumId w:val="11"/>
  </w:num>
  <w:num w:numId="25">
    <w:abstractNumId w:val="39"/>
  </w:num>
  <w:num w:numId="26">
    <w:abstractNumId w:val="18"/>
  </w:num>
  <w:num w:numId="27">
    <w:abstractNumId w:val="12"/>
  </w:num>
  <w:num w:numId="28">
    <w:abstractNumId w:val="27"/>
  </w:num>
  <w:num w:numId="29">
    <w:abstractNumId w:val="16"/>
  </w:num>
  <w:num w:numId="30">
    <w:abstractNumId w:val="29"/>
  </w:num>
  <w:num w:numId="31">
    <w:abstractNumId w:val="31"/>
  </w:num>
  <w:num w:numId="32">
    <w:abstractNumId w:val="24"/>
  </w:num>
  <w:num w:numId="33">
    <w:abstractNumId w:val="14"/>
  </w:num>
  <w:num w:numId="34">
    <w:abstractNumId w:val="23"/>
  </w:num>
  <w:num w:numId="35">
    <w:abstractNumId w:val="33"/>
  </w:num>
  <w:num w:numId="36">
    <w:abstractNumId w:val="28"/>
  </w:num>
  <w:num w:numId="37">
    <w:abstractNumId w:val="36"/>
  </w:num>
  <w:num w:numId="38">
    <w:abstractNumId w:val="15"/>
  </w:num>
  <w:num w:numId="39">
    <w:abstractNumId w:val="21"/>
  </w:num>
  <w:num w:numId="40">
    <w:abstractNumId w:val="19"/>
  </w:num>
  <w:num w:numId="41">
    <w:abstractNumId w:val="10"/>
  </w:num>
  <w:num w:numId="4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4DE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002B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908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690E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C6D44"/>
    <w:rsid w:val="002D0E55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668F8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621B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2E98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0135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38A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6336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74A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5FFC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2E4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60A"/>
    <w:rsid w:val="00DC49FD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98A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2DF9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5005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0CA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5252DE"/>
  <w15:docId w15:val="{2ABC8CA7-3843-4FCD-BC62-3DB30A5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99A0-1016-48E2-8E8F-64286D52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1804563</vt:lpstr>
      <vt:lpstr>1618575</vt:lpstr>
      <vt:lpstr>1618575</vt:lpstr>
      <vt:lpstr>United Nations</vt:lpstr>
      <vt:lpstr>United Nations</vt:lpstr>
    </vt:vector>
  </TitlesOfParts>
  <Company>RDW Voertuiginformatie en -toelating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1804563</dc:title>
  <dc:subject>ECE/TRANS/WP.29/GRPE/2018/19</dc:subject>
  <dc:creator>oica</dc:creator>
  <cp:keywords/>
  <dc:description/>
  <cp:lastModifiedBy>Benedicte Boudol</cp:lastModifiedBy>
  <cp:revision>2</cp:revision>
  <cp:lastPrinted>2014-11-03T15:14:00Z</cp:lastPrinted>
  <dcterms:created xsi:type="dcterms:W3CDTF">2018-04-19T08:13:00Z</dcterms:created>
  <dcterms:modified xsi:type="dcterms:W3CDTF">2018-04-19T08:13:00Z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