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13D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13D90" w:rsidP="00913D90">
            <w:pPr>
              <w:jc w:val="right"/>
            </w:pPr>
            <w:r w:rsidRPr="00913D90">
              <w:rPr>
                <w:sz w:val="40"/>
              </w:rPr>
              <w:t>ECE</w:t>
            </w:r>
            <w:r>
              <w:t>/TRANS/WP.29/GRE/2018/52</w:t>
            </w:r>
          </w:p>
        </w:tc>
      </w:tr>
      <w:tr w:rsidR="002D5AAC" w:rsidRPr="009972E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13D9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13D90" w:rsidRDefault="00913D90" w:rsidP="00913D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2018</w:t>
            </w:r>
          </w:p>
          <w:p w:rsidR="00913D90" w:rsidRDefault="00913D90" w:rsidP="00913D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13D90" w:rsidRPr="008D53B6" w:rsidRDefault="00913D90" w:rsidP="00913D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13D90" w:rsidRPr="00DD0B4F" w:rsidRDefault="00913D90" w:rsidP="00913D90">
      <w:pPr>
        <w:spacing w:before="120"/>
        <w:rPr>
          <w:sz w:val="28"/>
          <w:szCs w:val="28"/>
        </w:rPr>
      </w:pPr>
      <w:r w:rsidRPr="00DD0B4F">
        <w:rPr>
          <w:sz w:val="28"/>
          <w:szCs w:val="28"/>
        </w:rPr>
        <w:t>Комитет по внутреннему транспорту</w:t>
      </w:r>
    </w:p>
    <w:p w:rsidR="00913D90" w:rsidRPr="00DD0B4F" w:rsidRDefault="00913D90" w:rsidP="00913D90">
      <w:pPr>
        <w:spacing w:before="120"/>
        <w:rPr>
          <w:b/>
          <w:bCs/>
          <w:sz w:val="24"/>
          <w:szCs w:val="24"/>
        </w:rPr>
      </w:pPr>
      <w:r w:rsidRPr="00DD0B4F">
        <w:rPr>
          <w:b/>
          <w:bCs/>
          <w:color w:val="000000"/>
          <w:sz w:val="24"/>
          <w:szCs w:val="24"/>
        </w:rPr>
        <w:t>Всемирный форум для согласования</w:t>
      </w:r>
      <w:r w:rsidRPr="00DD0B4F">
        <w:rPr>
          <w:b/>
          <w:bCs/>
          <w:color w:val="000000"/>
          <w:sz w:val="24"/>
          <w:szCs w:val="24"/>
        </w:rPr>
        <w:br/>
        <w:t>правил в области транспортных средств</w:t>
      </w:r>
    </w:p>
    <w:p w:rsidR="00913D90" w:rsidRPr="00DD0B4F" w:rsidRDefault="00913D90" w:rsidP="00913D90">
      <w:pPr>
        <w:spacing w:before="120"/>
        <w:rPr>
          <w:b/>
          <w:bCs/>
        </w:rPr>
      </w:pPr>
      <w:r w:rsidRPr="00DD0B4F">
        <w:rPr>
          <w:b/>
          <w:bCs/>
        </w:rPr>
        <w:t>Рабочая группа по вопросам освещения</w:t>
      </w:r>
      <w:r w:rsidRPr="00DD0B4F">
        <w:rPr>
          <w:b/>
          <w:bCs/>
        </w:rPr>
        <w:br/>
        <w:t>и световой сигнализации</w:t>
      </w:r>
    </w:p>
    <w:p w:rsidR="00913D90" w:rsidRPr="00DD0B4F" w:rsidRDefault="00913D90" w:rsidP="00913D90">
      <w:pPr>
        <w:spacing w:before="120"/>
        <w:rPr>
          <w:b/>
          <w:bCs/>
        </w:rPr>
      </w:pPr>
      <w:r w:rsidRPr="00DD0B4F">
        <w:rPr>
          <w:b/>
          <w:bCs/>
        </w:rPr>
        <w:t>Восьмидесятая сессия</w:t>
      </w:r>
    </w:p>
    <w:p w:rsidR="00913D90" w:rsidRPr="00DD0B4F" w:rsidRDefault="00913D90" w:rsidP="00913D90">
      <w:r w:rsidRPr="00DD0B4F">
        <w:t>Женева, 23–26 октября 2018 года</w:t>
      </w:r>
    </w:p>
    <w:p w:rsidR="00913D90" w:rsidRPr="00DD0B4F" w:rsidRDefault="00913D90" w:rsidP="00913D90">
      <w:pPr>
        <w:rPr>
          <w:b/>
          <w:bCs/>
        </w:rPr>
      </w:pPr>
      <w:r w:rsidRPr="00DD0B4F">
        <w:t xml:space="preserve">Пункт </w:t>
      </w:r>
      <w:r w:rsidRPr="00DD0B4F">
        <w:rPr>
          <w:bCs/>
        </w:rPr>
        <w:t xml:space="preserve">7 </w:t>
      </w:r>
      <w:r>
        <w:rPr>
          <w:bCs/>
        </w:rPr>
        <w:t>c</w:t>
      </w:r>
      <w:r w:rsidRPr="00DD0B4F">
        <w:rPr>
          <w:bCs/>
        </w:rPr>
        <w:t xml:space="preserve">) </w:t>
      </w:r>
      <w:r w:rsidRPr="00DD0B4F">
        <w:t>предварительной повестки дня</w:t>
      </w:r>
    </w:p>
    <w:p w:rsidR="00913D90" w:rsidRPr="00DD0B4F" w:rsidRDefault="00913D90" w:rsidP="00913D90">
      <w:pPr>
        <w:ind w:right="1134"/>
        <w:rPr>
          <w:b/>
          <w:bCs/>
        </w:rPr>
      </w:pPr>
      <w:r w:rsidRPr="00F32B60">
        <w:rPr>
          <w:b/>
          <w:bCs/>
        </w:rPr>
        <w:t>Другие правила ООН</w:t>
      </w:r>
      <w:r w:rsidRPr="00DD0B4F">
        <w:rPr>
          <w:b/>
          <w:bCs/>
        </w:rPr>
        <w:t>:</w:t>
      </w:r>
    </w:p>
    <w:p w:rsidR="00913D90" w:rsidRDefault="00913D90" w:rsidP="00913D90">
      <w:pPr>
        <w:suppressAutoHyphens w:val="0"/>
        <w:spacing w:line="240" w:lineRule="auto"/>
      </w:pPr>
      <w:r w:rsidRPr="00F32B60">
        <w:rPr>
          <w:b/>
          <w:bCs/>
        </w:rPr>
        <w:t xml:space="preserve">Правила № 74 ООН (установка устройств освещения </w:t>
      </w:r>
      <w:r>
        <w:rPr>
          <w:b/>
          <w:bCs/>
        </w:rPr>
        <w:br/>
      </w:r>
      <w:r w:rsidRPr="00F32B60">
        <w:rPr>
          <w:b/>
          <w:bCs/>
        </w:rPr>
        <w:t>и световой сигнализации на мопедах)</w:t>
      </w:r>
    </w:p>
    <w:p w:rsidR="00913D90" w:rsidRPr="00F32B60" w:rsidRDefault="00913D90" w:rsidP="00913D90">
      <w:pPr>
        <w:pStyle w:val="HChG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Предложение по поправкам серии</w:t>
      </w:r>
      <w:r w:rsidRPr="00F32B60">
        <w:rPr>
          <w:szCs w:val="28"/>
        </w:rPr>
        <w:t xml:space="preserve"> 02 </w:t>
      </w:r>
      <w:r>
        <w:rPr>
          <w:szCs w:val="28"/>
        </w:rPr>
        <w:t xml:space="preserve">к </w:t>
      </w:r>
      <w:r>
        <w:t>Правилам</w:t>
      </w:r>
      <w:r w:rsidRPr="00F32B60">
        <w:t xml:space="preserve"> № 74 </w:t>
      </w:r>
      <w:r>
        <w:t>ООН</w:t>
      </w:r>
      <w:r w:rsidRPr="00F32B60">
        <w:t xml:space="preserve"> (</w:t>
      </w:r>
      <w:r>
        <w:t>установка</w:t>
      </w:r>
      <w:r w:rsidRPr="00F32B60">
        <w:t xml:space="preserve"> </w:t>
      </w:r>
      <w:r>
        <w:t>устройств</w:t>
      </w:r>
      <w:r w:rsidRPr="00F32B60">
        <w:t xml:space="preserve"> </w:t>
      </w:r>
      <w:r>
        <w:t>освещения</w:t>
      </w:r>
      <w:r w:rsidRPr="00F32B60">
        <w:t xml:space="preserve"> </w:t>
      </w:r>
      <w:r>
        <w:t>и</w:t>
      </w:r>
      <w:r w:rsidRPr="00F32B60">
        <w:t xml:space="preserve"> </w:t>
      </w:r>
      <w:r>
        <w:t>световой</w:t>
      </w:r>
      <w:r w:rsidRPr="00F32B60">
        <w:t xml:space="preserve"> </w:t>
      </w:r>
      <w:r>
        <w:t>сигнализации</w:t>
      </w:r>
      <w:r w:rsidRPr="00F32B60">
        <w:t xml:space="preserve"> </w:t>
      </w:r>
      <w:r>
        <w:t>на</w:t>
      </w:r>
      <w:r w:rsidRPr="00F32B60">
        <w:t xml:space="preserve"> </w:t>
      </w:r>
      <w:r>
        <w:t>мопедах</w:t>
      </w:r>
      <w:r w:rsidRPr="00F32B60">
        <w:t>)</w:t>
      </w:r>
      <w:r>
        <w:t xml:space="preserve"> </w:t>
      </w:r>
    </w:p>
    <w:p w:rsidR="00913D90" w:rsidRPr="000539D8" w:rsidRDefault="00913D90" w:rsidP="00913D90">
      <w:pPr>
        <w:pStyle w:val="H1GR"/>
      </w:pPr>
      <w:r>
        <w:tab/>
      </w:r>
      <w:r>
        <w:tab/>
        <w:t>Представлено</w:t>
      </w:r>
      <w:r w:rsidRPr="009972EE">
        <w:t xml:space="preserve"> </w:t>
      </w:r>
      <w:r>
        <w:t>экспертом</w:t>
      </w:r>
      <w:r w:rsidRPr="009972EE">
        <w:t xml:space="preserve"> </w:t>
      </w:r>
      <w:r>
        <w:t>от</w:t>
      </w:r>
      <w:r w:rsidRPr="009972EE">
        <w:t xml:space="preserve"> </w:t>
      </w:r>
      <w:r>
        <w:t>Нидерландов</w:t>
      </w:r>
      <w:r w:rsidRPr="009972EE">
        <w:rPr>
          <w:b w:val="0"/>
          <w:bCs/>
          <w:position w:val="4"/>
          <w:sz w:val="20"/>
        </w:rPr>
        <w:footnoteReference w:customMarkFollows="1" w:id="1"/>
        <w:t>*</w:t>
      </w:r>
    </w:p>
    <w:p w:rsidR="00913D90" w:rsidRDefault="00913D90" w:rsidP="00913D90">
      <w:pPr>
        <w:pStyle w:val="SingleTxtGR"/>
      </w:pPr>
      <w:r>
        <w:tab/>
        <w:t>Воспроизведенный</w:t>
      </w:r>
      <w:r w:rsidRPr="00F32B60">
        <w:t xml:space="preserve"> </w:t>
      </w:r>
      <w:r>
        <w:t>ниже</w:t>
      </w:r>
      <w:r w:rsidRPr="00F32B60">
        <w:t xml:space="preserve"> </w:t>
      </w:r>
      <w:r>
        <w:t>текст</w:t>
      </w:r>
      <w:r w:rsidRPr="00F32B60">
        <w:t xml:space="preserve"> </w:t>
      </w:r>
      <w:r>
        <w:t>был</w:t>
      </w:r>
      <w:r w:rsidRPr="00F32B60">
        <w:t xml:space="preserve"> </w:t>
      </w:r>
      <w:r>
        <w:t>подготовлен</w:t>
      </w:r>
      <w:r w:rsidRPr="00F32B60">
        <w:t xml:space="preserve"> </w:t>
      </w:r>
      <w:r>
        <w:t>экспертом</w:t>
      </w:r>
      <w:r w:rsidRPr="00F32B60">
        <w:t xml:space="preserve"> </w:t>
      </w:r>
      <w:r>
        <w:t>от</w:t>
      </w:r>
      <w:r w:rsidRPr="00F32B60">
        <w:t xml:space="preserve"> </w:t>
      </w:r>
      <w:r>
        <w:t>Нидерландов</w:t>
      </w:r>
      <w:r w:rsidRPr="00F32B60">
        <w:t xml:space="preserve"> </w:t>
      </w:r>
      <w:r>
        <w:t>с</w:t>
      </w:r>
      <w:r w:rsidRPr="00F32B60">
        <w:t xml:space="preserve"> </w:t>
      </w:r>
      <w:r>
        <w:t>участием</w:t>
      </w:r>
      <w:r w:rsidRPr="00F32B60">
        <w:t xml:space="preserve"> </w:t>
      </w:r>
      <w:r>
        <w:t>экспертов</w:t>
      </w:r>
      <w:r w:rsidRPr="00F32B60">
        <w:t xml:space="preserve"> </w:t>
      </w:r>
      <w:r>
        <w:t>от</w:t>
      </w:r>
      <w:r w:rsidRPr="00F32B60">
        <w:t xml:space="preserve"> </w:t>
      </w:r>
      <w:r>
        <w:t>Италии</w:t>
      </w:r>
      <w:r w:rsidRPr="00F32B60">
        <w:t xml:space="preserve"> </w:t>
      </w:r>
      <w:r>
        <w:t>и</w:t>
      </w:r>
      <w:r w:rsidRPr="00F32B60">
        <w:t xml:space="preserve"> </w:t>
      </w:r>
      <w:r>
        <w:t>Финляндии</w:t>
      </w:r>
      <w:r w:rsidRPr="00F32B60">
        <w:t xml:space="preserve">, </w:t>
      </w:r>
      <w:r>
        <w:t>с</w:t>
      </w:r>
      <w:r w:rsidRPr="00F32B60">
        <w:t xml:space="preserve"> </w:t>
      </w:r>
      <w:r>
        <w:t>тем</w:t>
      </w:r>
      <w:r w:rsidRPr="00F32B60">
        <w:t xml:space="preserve"> </w:t>
      </w:r>
      <w:r>
        <w:t>чтобы</w:t>
      </w:r>
      <w:r w:rsidRPr="00F32B60">
        <w:t xml:space="preserve"> </w:t>
      </w:r>
      <w:r>
        <w:t>ввести</w:t>
      </w:r>
      <w:r w:rsidRPr="00F32B60">
        <w:t xml:space="preserve"> </w:t>
      </w:r>
      <w:r>
        <w:t>требование</w:t>
      </w:r>
      <w:r w:rsidRPr="00F32B60">
        <w:t xml:space="preserve"> </w:t>
      </w:r>
      <w:r>
        <w:t>об</w:t>
      </w:r>
      <w:r w:rsidRPr="00F32B60">
        <w:t xml:space="preserve"> </w:t>
      </w:r>
      <w:r>
        <w:t>обязательной</w:t>
      </w:r>
      <w:r w:rsidRPr="00F32B60">
        <w:t xml:space="preserve"> </w:t>
      </w:r>
      <w:r>
        <w:t>установке</w:t>
      </w:r>
      <w:r w:rsidRPr="00F32B60">
        <w:t xml:space="preserve"> </w:t>
      </w:r>
      <w:r>
        <w:t>указателей</w:t>
      </w:r>
      <w:r w:rsidRPr="00F32B60">
        <w:t xml:space="preserve"> </w:t>
      </w:r>
      <w:r>
        <w:t>поворота на мопедах</w:t>
      </w:r>
      <w:r w:rsidRPr="00F32B60">
        <w:t xml:space="preserve">. </w:t>
      </w:r>
      <w:r w:rsidRPr="007F3AD3">
        <w:t xml:space="preserve">Изменения к </w:t>
      </w:r>
      <w:r>
        <w:t xml:space="preserve">существующему </w:t>
      </w:r>
      <w:r w:rsidRPr="007F3AD3">
        <w:t xml:space="preserve">тексту </w:t>
      </w:r>
      <w:r>
        <w:t>Правил</w:t>
      </w:r>
      <w:r w:rsidRPr="007F3AD3">
        <w:t xml:space="preserve"> выделены жирным шрифтом в случае новых положений или зачеркиванием в случае исключенных элементов.</w:t>
      </w:r>
    </w:p>
    <w:p w:rsidR="00913D90" w:rsidRDefault="00913D9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913D90" w:rsidRPr="00913D90" w:rsidRDefault="00913D90" w:rsidP="00913D90">
      <w:pPr>
        <w:pStyle w:val="HChGR"/>
      </w:pPr>
      <w:r w:rsidRPr="009972EE">
        <w:lastRenderedPageBreak/>
        <w:tab/>
      </w:r>
      <w:r w:rsidRPr="00913D90">
        <w:rPr>
          <w:lang w:val="en-GB"/>
        </w:rPr>
        <w:t>I</w:t>
      </w:r>
      <w:r w:rsidRPr="00913D90">
        <w:t>.</w:t>
      </w:r>
      <w:r w:rsidRPr="00913D90">
        <w:tab/>
        <w:t>Предложение</w:t>
      </w:r>
    </w:p>
    <w:p w:rsidR="00913D90" w:rsidRPr="00913D90" w:rsidRDefault="00913D90" w:rsidP="00913D90">
      <w:pPr>
        <w:pStyle w:val="SingleTxtGR"/>
      </w:pPr>
      <w:r w:rsidRPr="00913D90">
        <w:rPr>
          <w:i/>
        </w:rPr>
        <w:t>Пункт 4.2</w:t>
      </w:r>
      <w:r w:rsidRPr="00913D90">
        <w:t xml:space="preserve"> изменить следующим образом:</w:t>
      </w:r>
    </w:p>
    <w:p w:rsidR="00913D90" w:rsidRPr="00913D90" w:rsidRDefault="00913D90" w:rsidP="007F1726">
      <w:pPr>
        <w:pStyle w:val="SingleTxtGR"/>
        <w:tabs>
          <w:tab w:val="clear" w:pos="1701"/>
        </w:tabs>
        <w:ind w:left="2268" w:hanging="1134"/>
      </w:pPr>
      <w:r>
        <w:rPr>
          <w:bCs/>
        </w:rPr>
        <w:t>«</w:t>
      </w:r>
      <w:r w:rsidRPr="00913D90">
        <w:rPr>
          <w:bCs/>
        </w:rPr>
        <w:t xml:space="preserve">4.2 </w:t>
      </w:r>
      <w:r w:rsidRPr="00913D90">
        <w:rPr>
          <w:bCs/>
        </w:rPr>
        <w:tab/>
      </w:r>
      <w:r w:rsidRPr="00913D90">
        <w:t xml:space="preserve">Каждому официально утвержденному типу присваивается номер официального утверждения, первые две цифры которого (в настоящее время </w:t>
      </w:r>
      <w:r w:rsidRPr="00913D90">
        <w:rPr>
          <w:bCs/>
          <w:strike/>
        </w:rPr>
        <w:t>01</w:t>
      </w:r>
      <w:r w:rsidRPr="00913D90">
        <w:rPr>
          <w:b/>
          <w:bCs/>
        </w:rPr>
        <w:t>02</w:t>
      </w:r>
      <w:r w:rsidRPr="00913D90">
        <w:t xml:space="preserve"> для Правил с поправками серии </w:t>
      </w:r>
      <w:r w:rsidRPr="00913D90">
        <w:rPr>
          <w:bCs/>
          <w:strike/>
        </w:rPr>
        <w:t>01</w:t>
      </w:r>
      <w:r w:rsidRPr="00913D90">
        <w:rPr>
          <w:b/>
          <w:bCs/>
        </w:rPr>
        <w:t>02</w:t>
      </w:r>
      <w:r w:rsidRPr="00913D90">
        <w:t>) указывают серию поправок, включающих последние наиболее значительные технические изменения, внесенные в Правила к моменту предоставления официального утверждения. Одна и та же Договаривающаяся сторона не может присвоить этот номер ни другому типу транспортного средства, ни тому же типу транспортного средства, представленному с оборудованием, не указанным в перечне, упомянутом в пункте 3.2.2 выше, с учетом положений пункта 7 настоящих Правил»</w:t>
      </w:r>
      <w:r>
        <w:t>.</w:t>
      </w:r>
    </w:p>
    <w:p w:rsidR="00913D90" w:rsidRPr="00913D90" w:rsidRDefault="00913D90" w:rsidP="00913D90">
      <w:pPr>
        <w:pStyle w:val="SingleTxtGR"/>
      </w:pPr>
      <w:r w:rsidRPr="00913D90">
        <w:rPr>
          <w:i/>
        </w:rPr>
        <w:t>Включить новый пункт 5.14.8</w:t>
      </w:r>
      <w:r w:rsidRPr="00913D90">
        <w:t xml:space="preserve"> следующего содержания:</w:t>
      </w:r>
    </w:p>
    <w:p w:rsidR="00913D90" w:rsidRPr="00913D90" w:rsidRDefault="00913D90" w:rsidP="00913D90">
      <w:pPr>
        <w:pStyle w:val="SingleTxtGR"/>
      </w:pPr>
      <w:r w:rsidRPr="007F1726">
        <w:rPr>
          <w:bCs/>
        </w:rPr>
        <w:t>«</w:t>
      </w:r>
      <w:r w:rsidRPr="00913D90">
        <w:rPr>
          <w:b/>
        </w:rPr>
        <w:t>5.14.8</w:t>
      </w:r>
      <w:r w:rsidRPr="00913D90">
        <w:rPr>
          <w:b/>
        </w:rPr>
        <w:tab/>
        <w:t>указателем поворота</w:t>
      </w:r>
      <w:r w:rsidRPr="007F1726">
        <w:rPr>
          <w:b/>
          <w:sz w:val="18"/>
          <w:szCs w:val="18"/>
          <w:vertAlign w:val="superscript"/>
        </w:rPr>
        <w:t>4</w:t>
      </w:r>
      <w:r w:rsidRPr="00913D90">
        <w:rPr>
          <w:b/>
        </w:rPr>
        <w:t xml:space="preserve"> (пункт 6.8)</w:t>
      </w:r>
      <w:r w:rsidRPr="007F1726">
        <w:t>»</w:t>
      </w:r>
      <w:r w:rsidR="007F1726">
        <w:t>.</w:t>
      </w:r>
    </w:p>
    <w:p w:rsidR="00913D90" w:rsidRPr="00913D90" w:rsidRDefault="00913D90" w:rsidP="00913D90">
      <w:pPr>
        <w:pStyle w:val="SingleTxtGR"/>
      </w:pPr>
      <w:bookmarkStart w:id="1" w:name="OLE_LINK20"/>
      <w:bookmarkStart w:id="2" w:name="OLE_LINK21"/>
      <w:r w:rsidRPr="00913D90">
        <w:rPr>
          <w:i/>
        </w:rPr>
        <w:t xml:space="preserve">Включит новую сноску </w:t>
      </w:r>
      <w:bookmarkEnd w:id="1"/>
      <w:bookmarkEnd w:id="2"/>
      <w:r w:rsidRPr="00913D90">
        <w:t>4 следующего содержания:</w:t>
      </w:r>
    </w:p>
    <w:p w:rsidR="00913D90" w:rsidRPr="00913D90" w:rsidRDefault="00913D90" w:rsidP="00913D90">
      <w:pPr>
        <w:pStyle w:val="SingleTxtGR"/>
        <w:ind w:left="2268" w:hanging="1134"/>
      </w:pPr>
      <w:r w:rsidRPr="007F1726">
        <w:t>«</w:t>
      </w:r>
      <w:r w:rsidRPr="007F1726">
        <w:rPr>
          <w:b/>
          <w:sz w:val="18"/>
          <w:szCs w:val="18"/>
          <w:vertAlign w:val="superscript"/>
        </w:rPr>
        <w:t>4</w:t>
      </w:r>
      <w:r w:rsidRPr="00913D90"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913D90">
        <w:rPr>
          <w:b/>
        </w:rPr>
        <w:t>Указатели поворота обязательны на транспортных средствах, максимальная расчетная скорость которых превышает 25 км/ч</w:t>
      </w:r>
      <w:r w:rsidRPr="007F1726">
        <w:t>»</w:t>
      </w:r>
      <w:r w:rsidR="007F1726" w:rsidRPr="007F1726">
        <w:t>.</w:t>
      </w:r>
    </w:p>
    <w:p w:rsidR="00913D90" w:rsidRPr="00913D90" w:rsidRDefault="00913D90" w:rsidP="00913D90">
      <w:pPr>
        <w:pStyle w:val="SingleTxtGR"/>
      </w:pPr>
      <w:r w:rsidRPr="00913D90">
        <w:rPr>
          <w:i/>
        </w:rPr>
        <w:t>Пункт 5.15.4</w:t>
      </w:r>
      <w:r w:rsidRPr="00913D90">
        <w:t xml:space="preserve"> изменить следующим образом:</w:t>
      </w:r>
    </w:p>
    <w:p w:rsidR="00913D90" w:rsidRPr="00913D90" w:rsidRDefault="00913D90" w:rsidP="00913D90">
      <w:pPr>
        <w:pStyle w:val="SingleTxtGR"/>
        <w:rPr>
          <w:bCs/>
        </w:rPr>
      </w:pPr>
      <w:r w:rsidRPr="00913D90">
        <w:rPr>
          <w:bCs/>
        </w:rPr>
        <w:t>«5.15.4</w:t>
      </w:r>
      <w:r w:rsidRPr="00913D90">
        <w:rPr>
          <w:bCs/>
        </w:rPr>
        <w:tab/>
      </w:r>
      <w:r w:rsidRPr="00913D90">
        <w:t>указателями поворота</w:t>
      </w:r>
      <w:r w:rsidRPr="007F1726">
        <w:rPr>
          <w:b/>
          <w:sz w:val="18"/>
          <w:szCs w:val="18"/>
          <w:vertAlign w:val="superscript"/>
        </w:rPr>
        <w:t>5</w:t>
      </w:r>
      <w:r w:rsidRPr="00913D90">
        <w:rPr>
          <w:bCs/>
        </w:rPr>
        <w:t xml:space="preserve"> (пункт 6.8)».</w:t>
      </w:r>
    </w:p>
    <w:p w:rsidR="00913D90" w:rsidRPr="00913D90" w:rsidRDefault="00913D90" w:rsidP="00913D90">
      <w:pPr>
        <w:pStyle w:val="SingleTxtGR"/>
      </w:pPr>
      <w:r w:rsidRPr="00913D90">
        <w:rPr>
          <w:i/>
        </w:rPr>
        <w:t xml:space="preserve">Включит новую сноску </w:t>
      </w:r>
      <w:r w:rsidRPr="00913D90">
        <w:t>5 следующего содержания:</w:t>
      </w:r>
    </w:p>
    <w:p w:rsidR="00913D90" w:rsidRPr="00913D90" w:rsidRDefault="00913D90" w:rsidP="00913D90">
      <w:pPr>
        <w:pStyle w:val="SingleTxtGR"/>
        <w:tabs>
          <w:tab w:val="clear" w:pos="1701"/>
        </w:tabs>
        <w:ind w:left="2268" w:hanging="1134"/>
        <w:rPr>
          <w:b/>
        </w:rPr>
      </w:pPr>
      <w:r w:rsidRPr="007F1726">
        <w:t>«</w:t>
      </w:r>
      <w:r w:rsidRPr="007F1726">
        <w:rPr>
          <w:b/>
          <w:sz w:val="18"/>
          <w:szCs w:val="18"/>
          <w:vertAlign w:val="superscript"/>
        </w:rPr>
        <w:t>5</w:t>
      </w:r>
      <w:r w:rsidRPr="00913D90">
        <w:rPr>
          <w:b/>
          <w:vertAlign w:val="superscript"/>
        </w:rPr>
        <w:tab/>
      </w:r>
      <w:r w:rsidRPr="00913D90">
        <w:rPr>
          <w:b/>
        </w:rPr>
        <w:t>Указатели поворота факультативны на транспортных средствах, максимальная расчетная скорость которых не превышает 25 км/ч (при скорости транспортного средства с вспомогательным средством тяги ≤25 км/ч)</w:t>
      </w:r>
      <w:r w:rsidRPr="007F1726">
        <w:t>»</w:t>
      </w:r>
      <w:r w:rsidR="007F1726" w:rsidRPr="007F1726">
        <w:t>.</w:t>
      </w:r>
      <w:r w:rsidRPr="00913D90">
        <w:rPr>
          <w:b/>
        </w:rPr>
        <w:t xml:space="preserve"> </w:t>
      </w:r>
    </w:p>
    <w:p w:rsidR="00913D90" w:rsidRPr="00913D90" w:rsidRDefault="00913D90" w:rsidP="00913D90">
      <w:pPr>
        <w:pStyle w:val="SingleTxtGR"/>
        <w:rPr>
          <w:i/>
          <w:iCs/>
        </w:rPr>
      </w:pPr>
      <w:r w:rsidRPr="00913D90">
        <w:rPr>
          <w:i/>
          <w:iCs/>
        </w:rPr>
        <w:t xml:space="preserve">Последующие сноски, </w:t>
      </w:r>
      <w:r w:rsidRPr="00913D90">
        <w:rPr>
          <w:iCs/>
        </w:rPr>
        <w:t>соответствующим образом изменить нумерацию.</w:t>
      </w:r>
    </w:p>
    <w:p w:rsidR="00913D90" w:rsidRPr="00913D90" w:rsidRDefault="00913D90" w:rsidP="00913D90">
      <w:pPr>
        <w:pStyle w:val="SingleTxtGR"/>
      </w:pPr>
      <w:r w:rsidRPr="00913D90">
        <w:rPr>
          <w:i/>
          <w:iCs/>
        </w:rPr>
        <w:t>Включить новые пункты 12.4</w:t>
      </w:r>
      <w:r>
        <w:rPr>
          <w:i/>
          <w:iCs/>
        </w:rPr>
        <w:t>–</w:t>
      </w:r>
      <w:r w:rsidRPr="00913D90">
        <w:rPr>
          <w:i/>
          <w:iCs/>
        </w:rPr>
        <w:t>12.9</w:t>
      </w:r>
      <w:r w:rsidRPr="00913D90">
        <w:t xml:space="preserve"> следующего содержания:</w:t>
      </w:r>
    </w:p>
    <w:p w:rsidR="00913D90" w:rsidRPr="00913D90" w:rsidRDefault="00913D90" w:rsidP="00913D90">
      <w:pPr>
        <w:pStyle w:val="SingleTxtGR"/>
        <w:tabs>
          <w:tab w:val="clear" w:pos="1701"/>
        </w:tabs>
        <w:ind w:left="2268" w:hanging="1134"/>
        <w:rPr>
          <w:b/>
        </w:rPr>
      </w:pPr>
      <w:r w:rsidRPr="00913D90">
        <w:rPr>
          <w:iCs/>
        </w:rPr>
        <w:t>«</w:t>
      </w:r>
      <w:r w:rsidRPr="00913D90">
        <w:rPr>
          <w:b/>
        </w:rPr>
        <w:t>12.4</w:t>
      </w:r>
      <w:r w:rsidRPr="00913D90">
        <w:rPr>
          <w:b/>
        </w:rPr>
        <w:tab/>
      </w:r>
      <w:r w:rsidRPr="00913D90">
        <w:rPr>
          <w:b/>
          <w:bCs/>
        </w:rPr>
        <w:t>Начиная с официальной даты вступления в силу поправок серии 02 ни одна из Договаривающихся сторон, применяющих настоящие Правила ООН, не отказывает в предоставлении или не отказывает в признании официальных утверждений типа ООН на основании настоящих Правил ООН с поправками серии 02.</w:t>
      </w:r>
      <w:r w:rsidRPr="00913D90">
        <w:rPr>
          <w:b/>
        </w:rPr>
        <w:t xml:space="preserve"> </w:t>
      </w:r>
    </w:p>
    <w:p w:rsidR="00913D90" w:rsidRPr="00913D90" w:rsidRDefault="00913D90" w:rsidP="00913D90">
      <w:pPr>
        <w:pStyle w:val="SingleTxtGR"/>
        <w:tabs>
          <w:tab w:val="clear" w:pos="1701"/>
        </w:tabs>
        <w:ind w:left="2268" w:hanging="1134"/>
      </w:pPr>
      <w:r w:rsidRPr="00913D90">
        <w:rPr>
          <w:b/>
        </w:rPr>
        <w:t>12.5</w:t>
      </w:r>
      <w:r w:rsidRPr="00913D90">
        <w:rPr>
          <w:b/>
        </w:rPr>
        <w:tab/>
      </w:r>
      <w:r w:rsidRPr="00913D90">
        <w:rPr>
          <w:b/>
          <w:bCs/>
        </w:rPr>
        <w:t>Начиная с [1 сентября 2023 года] Договаривающиеся стороны, применяющие поправки серии 02 к настоящим Правилам ООН, предоставляют официальные утверждения типа ООН в целях сбыта на своих рынках только в том случае, если тип данного транспортного средства, подлежащий официальному утверждению, удовлетворяет требованиям настоящих Правил ООН с внесенными в них поправками серии 02.</w:t>
      </w:r>
      <w:r w:rsidRPr="00913D90">
        <w:t xml:space="preserve"> </w:t>
      </w:r>
    </w:p>
    <w:p w:rsidR="00913D90" w:rsidRPr="00913D90" w:rsidRDefault="00913D90" w:rsidP="00913D90">
      <w:pPr>
        <w:pStyle w:val="SingleTxtGR"/>
        <w:tabs>
          <w:tab w:val="clear" w:pos="1701"/>
        </w:tabs>
        <w:ind w:left="2268" w:hanging="1134"/>
        <w:rPr>
          <w:b/>
        </w:rPr>
      </w:pPr>
      <w:r w:rsidRPr="00913D90">
        <w:rPr>
          <w:b/>
          <w:bCs/>
        </w:rPr>
        <w:t xml:space="preserve">12.6 </w:t>
      </w:r>
      <w:r w:rsidRPr="00913D90">
        <w:rPr>
          <w:b/>
          <w:bCs/>
        </w:rPr>
        <w:tab/>
        <w:t>Начиная с [1 сентября 2023 года] Договаривающиеся стороны, применяющие настоящие Правила ООН, не обязаны признавать официальные утверждения типа ООН, предоставленные впервые на основании серий поправок, предшествующих серии поправок 02, после [1 сентября 2023 года].</w:t>
      </w:r>
      <w:r w:rsidRPr="00913D90">
        <w:rPr>
          <w:b/>
        </w:rPr>
        <w:t xml:space="preserve"> </w:t>
      </w:r>
    </w:p>
    <w:p w:rsidR="00913D90" w:rsidRPr="00913D90" w:rsidRDefault="00913D90" w:rsidP="00913D90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913D90">
        <w:rPr>
          <w:b/>
        </w:rPr>
        <w:t>12.7</w:t>
      </w:r>
      <w:r w:rsidRPr="00913D90">
        <w:rPr>
          <w:b/>
        </w:rPr>
        <w:tab/>
      </w:r>
      <w:r w:rsidRPr="00913D90">
        <w:rPr>
          <w:b/>
          <w:bCs/>
        </w:rPr>
        <w:t xml:space="preserve">Договаривающиеся стороны, применяющие настоящие Правила ООН, продолжают признавать официальные утверждения типа, впервые предоставленные на основании серии поправок, предшествующих поправкам серии 02 к настоящим Правилам ООН, до [1 сентября 2023 года]. </w:t>
      </w:r>
    </w:p>
    <w:p w:rsidR="00913D90" w:rsidRPr="00913D90" w:rsidRDefault="00913D90" w:rsidP="00913D90">
      <w:pPr>
        <w:pStyle w:val="SingleTxtGR"/>
        <w:tabs>
          <w:tab w:val="clear" w:pos="1701"/>
        </w:tabs>
        <w:ind w:left="2268" w:hanging="1134"/>
      </w:pPr>
      <w:r w:rsidRPr="00913D90">
        <w:rPr>
          <w:b/>
          <w:bCs/>
        </w:rPr>
        <w:t>12.8</w:t>
      </w:r>
      <w:r w:rsidRPr="00913D90">
        <w:rPr>
          <w:b/>
          <w:bCs/>
        </w:rPr>
        <w:tab/>
        <w:t xml:space="preserve">Договаривающиеся стороны, применяющие настоящие Правила ООН, не отказывают в распространении официальных утверждений </w:t>
      </w:r>
      <w:r w:rsidRPr="00913D90">
        <w:rPr>
          <w:b/>
          <w:bCs/>
        </w:rPr>
        <w:lastRenderedPageBreak/>
        <w:t>типа, которые были впервые выданы до [1 сентября 2023 года] года на существующие типы, которые были официально утверждены в соответствии с любой серией поправок, предшествующей серии поправок 02 к настоящим Правилам ООН.</w:t>
      </w:r>
      <w:r w:rsidRPr="00913D90">
        <w:t xml:space="preserve"> </w:t>
      </w:r>
    </w:p>
    <w:p w:rsidR="00913D90" w:rsidRPr="00913D90" w:rsidRDefault="00913D90" w:rsidP="001F08F5">
      <w:pPr>
        <w:pStyle w:val="SingleTxtGR"/>
        <w:tabs>
          <w:tab w:val="clear" w:pos="1701"/>
        </w:tabs>
        <w:ind w:left="2268" w:hanging="1134"/>
        <w:rPr>
          <w:b/>
        </w:rPr>
      </w:pPr>
      <w:r w:rsidRPr="00913D90">
        <w:rPr>
          <w:b/>
        </w:rPr>
        <w:t>12.9</w:t>
      </w:r>
      <w:r w:rsidRPr="00913D90">
        <w:rPr>
          <w:b/>
        </w:rPr>
        <w:tab/>
      </w:r>
      <w:r w:rsidRPr="00913D90">
        <w:rPr>
          <w:b/>
          <w:bCs/>
        </w:rPr>
        <w:t>Независимо от изложенных выше переходных положений, Договаривающиеся стороны, которые начинают применять настоящие Правила ООН после даты вступления в силу поправок серии 02, не обязаны признавать официальные утверждения ООН, предоставленные на основании любой из серии поправок, предшествующих поправкам серии 02 к настоящим Правилам ООН</w:t>
      </w:r>
      <w:r w:rsidRPr="007F1726">
        <w:rPr>
          <w:bCs/>
        </w:rPr>
        <w:t>»</w:t>
      </w:r>
      <w:r w:rsidR="001F08F5" w:rsidRPr="007F1726">
        <w:rPr>
          <w:bCs/>
        </w:rPr>
        <w:t>.</w:t>
      </w:r>
      <w:r w:rsidRPr="00913D90">
        <w:rPr>
          <w:b/>
        </w:rPr>
        <w:t xml:space="preserve"> </w:t>
      </w:r>
    </w:p>
    <w:p w:rsidR="00913D90" w:rsidRPr="00913D90" w:rsidRDefault="00913D90" w:rsidP="001F08F5">
      <w:pPr>
        <w:pStyle w:val="HChGR"/>
      </w:pPr>
      <w:r w:rsidRPr="00913D90">
        <w:tab/>
      </w:r>
      <w:r w:rsidRPr="00913D90">
        <w:rPr>
          <w:lang w:val="en-GB"/>
        </w:rPr>
        <w:t>II</w:t>
      </w:r>
      <w:r w:rsidRPr="00913D90">
        <w:t>.</w:t>
      </w:r>
      <w:r w:rsidRPr="00913D90">
        <w:tab/>
        <w:t>Обоснование</w:t>
      </w:r>
    </w:p>
    <w:p w:rsidR="00913D90" w:rsidRPr="00913D90" w:rsidRDefault="00913D90" w:rsidP="00913D90">
      <w:pPr>
        <w:pStyle w:val="SingleTxtGR"/>
      </w:pPr>
      <w:r w:rsidRPr="00913D90">
        <w:t>1.</w:t>
      </w:r>
      <w:r w:rsidRPr="00913D90">
        <w:tab/>
        <w:t xml:space="preserve">Нидерланды хотели бы предложить ввести в практику обязательную установку указателей поворота на мопедах, поскольку они уже предписаны на мотоциклах в течение многих лет в целях повышения безопасности. К тому же, в настоящее время большинство мопедов уже оснащены указателями поворота. </w:t>
      </w:r>
    </w:p>
    <w:p w:rsidR="00913D90" w:rsidRPr="00913D90" w:rsidRDefault="00913D90" w:rsidP="00913D90">
      <w:pPr>
        <w:pStyle w:val="SingleTxtGR"/>
      </w:pPr>
      <w:r w:rsidRPr="00913D90">
        <w:t>2.</w:t>
      </w:r>
      <w:r w:rsidRPr="00913D90">
        <w:tab/>
        <w:t>Более широкое использование скоростных мопедов на обычных дорогах (а не на специально отведенных велосипедных дорожках), в частности так называемых «быстроходных электровелосипедов», свидетельствует о том, что потребность в указателях поворота на таких транспортных средствах постоянно растет. В одном из последних исследований, проведенных Научно-исследовательским институтом безопасности дорожного движения в Нидерландах (НИИБД), признается, что в настоящее время задняя сигнальная конфигурация «быстроходных электровелосипедов» отличается от такой же конфигурации на большинстве мопедов.</w:t>
      </w:r>
    </w:p>
    <w:p w:rsidR="00913D90" w:rsidRPr="00913D90" w:rsidRDefault="00913D90" w:rsidP="00913D90">
      <w:pPr>
        <w:pStyle w:val="SingleTxtGR"/>
      </w:pPr>
      <w:proofErr w:type="gramStart"/>
      <w:r w:rsidRPr="00913D90">
        <w:t>3.</w:t>
      </w:r>
      <w:r w:rsidRPr="00913D90">
        <w:tab/>
        <w:t>В</w:t>
      </w:r>
      <w:proofErr w:type="gramEnd"/>
      <w:r w:rsidRPr="00913D90">
        <w:t xml:space="preserve"> этой связи предлагается сначала рассмотреть возможность обязательной установки указателей поворота на мопедах, максимальная расчетная скорость которых превышает 25 км/ч, а установку на мопедах, максимальная расчетная скорость которых не превышает 25 км/ч, как, например, на некоторых велосипедах с вспомогательной электрической тягой (обычные «электровелосипеды»), сделать факультативной. </w:t>
      </w:r>
    </w:p>
    <w:p w:rsidR="00913D90" w:rsidRPr="00913D90" w:rsidRDefault="00913D90" w:rsidP="00913D90">
      <w:pPr>
        <w:pStyle w:val="SingleTxtGR"/>
      </w:pPr>
      <w:r w:rsidRPr="00913D90">
        <w:t>4.</w:t>
      </w:r>
      <w:r w:rsidRPr="00913D90">
        <w:tab/>
        <w:t xml:space="preserve">Для того чтобы все заинтересованные стороны (государственные администрации, органы по выдаче официальных утверждений и др.) располагали достаточным временем на подготовку, предлагается установить в этих целях переходной период продолжительностью в четыре года. </w:t>
      </w:r>
    </w:p>
    <w:p w:rsidR="00E12C5F" w:rsidRDefault="00913D90" w:rsidP="00913D90">
      <w:pPr>
        <w:pStyle w:val="SingleTxtGR"/>
      </w:pPr>
      <w:r w:rsidRPr="00913D90">
        <w:t>5.</w:t>
      </w:r>
      <w:r w:rsidRPr="00913D90">
        <w:tab/>
        <w:t>Поскольку предполагается, что наиболее ранняя дата вступления в силу этого пересмотренного предложения приходится на осень 2019 года, предлагаемая конечная дата ожидаемого переходного периода (приблизительно четырехлетнего) была соответствующим образом скорректирована.</w:t>
      </w:r>
    </w:p>
    <w:p w:rsidR="00913D90" w:rsidRPr="00913D90" w:rsidRDefault="00913D90" w:rsidP="00913D9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3D90" w:rsidRPr="00913D90" w:rsidSect="00913D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17F" w:rsidRPr="00A312BC" w:rsidRDefault="0003717F" w:rsidP="00A312BC"/>
  </w:endnote>
  <w:endnote w:type="continuationSeparator" w:id="0">
    <w:p w:rsidR="0003717F" w:rsidRPr="00A312BC" w:rsidRDefault="0003717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D90" w:rsidRPr="00913D90" w:rsidRDefault="00913D90">
    <w:pPr>
      <w:pStyle w:val="Footer"/>
    </w:pPr>
    <w:r w:rsidRPr="00913D90">
      <w:rPr>
        <w:b/>
        <w:sz w:val="18"/>
      </w:rPr>
      <w:fldChar w:fldCharType="begin"/>
    </w:r>
    <w:r w:rsidRPr="00913D90">
      <w:rPr>
        <w:b/>
        <w:sz w:val="18"/>
      </w:rPr>
      <w:instrText xml:space="preserve"> PAGE  \* MERGEFORMAT </w:instrText>
    </w:r>
    <w:r w:rsidRPr="00913D90">
      <w:rPr>
        <w:b/>
        <w:sz w:val="18"/>
      </w:rPr>
      <w:fldChar w:fldCharType="separate"/>
    </w:r>
    <w:r w:rsidR="0057138C">
      <w:rPr>
        <w:b/>
        <w:noProof/>
        <w:sz w:val="18"/>
      </w:rPr>
      <w:t>2</w:t>
    </w:r>
    <w:r w:rsidRPr="00913D90">
      <w:rPr>
        <w:b/>
        <w:sz w:val="18"/>
      </w:rPr>
      <w:fldChar w:fldCharType="end"/>
    </w:r>
    <w:r>
      <w:rPr>
        <w:b/>
        <w:sz w:val="18"/>
      </w:rPr>
      <w:tab/>
    </w:r>
    <w:r>
      <w:t>GE.18-13204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D90" w:rsidRPr="00913D90" w:rsidRDefault="00913D90" w:rsidP="00913D90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GE.18-13204</w:t>
    </w:r>
    <w:r>
      <w:tab/>
    </w:r>
    <w:r w:rsidRPr="00913D90">
      <w:rPr>
        <w:b/>
        <w:sz w:val="18"/>
      </w:rPr>
      <w:fldChar w:fldCharType="begin"/>
    </w:r>
    <w:r w:rsidRPr="00913D90">
      <w:rPr>
        <w:b/>
        <w:sz w:val="18"/>
      </w:rPr>
      <w:instrText xml:space="preserve"> PAGE  \* MERGEFORMAT </w:instrText>
    </w:r>
    <w:r w:rsidRPr="00913D90">
      <w:rPr>
        <w:b/>
        <w:sz w:val="18"/>
      </w:rPr>
      <w:fldChar w:fldCharType="separate"/>
    </w:r>
    <w:r w:rsidR="0057138C">
      <w:rPr>
        <w:b/>
        <w:noProof/>
        <w:sz w:val="18"/>
      </w:rPr>
      <w:t>3</w:t>
    </w:r>
    <w:r w:rsidRPr="00913D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13D90" w:rsidRDefault="00913D90" w:rsidP="00913D9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18-13204  (R)</w:t>
    </w:r>
    <w:r>
      <w:rPr>
        <w:lang w:val="en-US"/>
      </w:rPr>
      <w:t xml:space="preserve">  150818  150818</w:t>
    </w:r>
    <w:r>
      <w:br/>
    </w:r>
    <w:r w:rsidRPr="00913D90">
      <w:rPr>
        <w:rFonts w:ascii="C39T30Lfz" w:hAnsi="C39T30Lfz"/>
        <w:kern w:val="14"/>
        <w:sz w:val="56"/>
      </w:rPr>
      <w:t></w:t>
    </w:r>
    <w:r w:rsidRPr="00913D90">
      <w:rPr>
        <w:rFonts w:ascii="C39T30Lfz" w:hAnsi="C39T30Lfz"/>
        <w:kern w:val="14"/>
        <w:sz w:val="56"/>
      </w:rPr>
      <w:t></w:t>
    </w:r>
    <w:r w:rsidRPr="00913D90">
      <w:rPr>
        <w:rFonts w:ascii="C39T30Lfz" w:hAnsi="C39T30Lfz"/>
        <w:kern w:val="14"/>
        <w:sz w:val="56"/>
      </w:rPr>
      <w:t></w:t>
    </w:r>
    <w:r w:rsidRPr="00913D90">
      <w:rPr>
        <w:rFonts w:ascii="C39T30Lfz" w:hAnsi="C39T30Lfz"/>
        <w:kern w:val="14"/>
        <w:sz w:val="56"/>
      </w:rPr>
      <w:t></w:t>
    </w:r>
    <w:r w:rsidRPr="00913D90">
      <w:rPr>
        <w:rFonts w:ascii="C39T30Lfz" w:hAnsi="C39T30Lfz"/>
        <w:kern w:val="14"/>
        <w:sz w:val="56"/>
      </w:rPr>
      <w:t></w:t>
    </w:r>
    <w:r w:rsidRPr="00913D90">
      <w:rPr>
        <w:rFonts w:ascii="C39T30Lfz" w:hAnsi="C39T30Lfz"/>
        <w:kern w:val="14"/>
        <w:sz w:val="56"/>
      </w:rPr>
      <w:t></w:t>
    </w:r>
    <w:r w:rsidRPr="00913D90">
      <w:rPr>
        <w:rFonts w:ascii="C39T30Lfz" w:hAnsi="C39T30Lfz"/>
        <w:kern w:val="14"/>
        <w:sz w:val="56"/>
      </w:rPr>
      <w:t></w:t>
    </w:r>
    <w:r w:rsidRPr="00913D90">
      <w:rPr>
        <w:rFonts w:ascii="C39T30Lfz" w:hAnsi="C39T30Lfz"/>
        <w:kern w:val="14"/>
        <w:sz w:val="56"/>
      </w:rPr>
      <w:t></w:t>
    </w:r>
    <w:r w:rsidRPr="00913D9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5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5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17F" w:rsidRPr="001075E9" w:rsidRDefault="0003717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3717F" w:rsidRDefault="0003717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13D90" w:rsidRPr="00214207" w:rsidRDefault="00913D90" w:rsidP="00913D90">
      <w:pPr>
        <w:pStyle w:val="FootnoteText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D90" w:rsidRPr="00913D90" w:rsidRDefault="0057138C">
    <w:pPr>
      <w:pStyle w:val="Header"/>
    </w:pPr>
    <w:fldSimple w:instr=" TITLE  \* MERGEFORMAT ">
      <w:r>
        <w:t>ECE/TRANS/WP.29/GRE/2018/52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D90" w:rsidRPr="00913D90" w:rsidRDefault="0057138C" w:rsidP="00913D90">
    <w:pPr>
      <w:pStyle w:val="Header"/>
      <w:jc w:val="right"/>
    </w:pPr>
    <w:fldSimple w:instr=" TITLE  \* MERGEFORMAT ">
      <w:r>
        <w:t>ECE/TRANS/WP.29/GRE/2018/52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7F"/>
    <w:rsid w:val="00026E47"/>
    <w:rsid w:val="00033EE1"/>
    <w:rsid w:val="0003717F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08F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655E"/>
    <w:rsid w:val="005639C1"/>
    <w:rsid w:val="005709E0"/>
    <w:rsid w:val="0057138C"/>
    <w:rsid w:val="00572E19"/>
    <w:rsid w:val="005961C8"/>
    <w:rsid w:val="005966F1"/>
    <w:rsid w:val="005D3334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1726"/>
    <w:rsid w:val="00806737"/>
    <w:rsid w:val="00817774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3D90"/>
    <w:rsid w:val="00951972"/>
    <w:rsid w:val="009608F3"/>
    <w:rsid w:val="00984A01"/>
    <w:rsid w:val="009972EE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7985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82F7D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F9492E3-3AB5-4C85-ABB2-66CC9265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913D9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Theme="minorEastAsia" w:cs="Times New Roman"/>
      <w:b/>
      <w:sz w:val="28"/>
      <w:szCs w:val="20"/>
      <w:lang w:val="en-GB"/>
    </w:rPr>
  </w:style>
  <w:style w:type="paragraph" w:styleId="BlockText">
    <w:name w:val="Block Text"/>
    <w:basedOn w:val="Normal"/>
    <w:semiHidden/>
    <w:rsid w:val="00913D90"/>
    <w:pPr>
      <w:ind w:left="1440" w:right="1440"/>
    </w:pPr>
    <w:rPr>
      <w:rFonts w:eastAsiaTheme="minorEastAsia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913D9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Theme="minorEastAsia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913D90"/>
    <w:rPr>
      <w:rFonts w:eastAsiaTheme="minorEastAsia"/>
      <w:b/>
      <w:sz w:val="28"/>
      <w:lang w:val="en-GB" w:eastAsia="en-US"/>
    </w:rPr>
  </w:style>
  <w:style w:type="character" w:customStyle="1" w:styleId="H1GChar">
    <w:name w:val="_ H_1_G Char"/>
    <w:link w:val="H1G"/>
    <w:rsid w:val="00913D90"/>
    <w:rPr>
      <w:rFonts w:eastAsiaTheme="minorEastAsi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ECE/TRANS/WP.29/GRE/2018/52</vt:lpstr>
      <vt:lpstr>ECE/TRANS/WP.29/GRE/2018/52</vt:lpstr>
      <vt:lpstr>A/</vt:lpstr>
    </vt:vector>
  </TitlesOfParts>
  <Company>DCM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ECE/TRANS/WP.29/GRE/2018/52</dc:title>
  <dc:subject/>
  <dc:creator>Marina KOROTKOVA</dc:creator>
  <cp:keywords/>
  <cp:lastModifiedBy>Benedicte Boudol</cp:lastModifiedBy>
  <cp:revision>2</cp:revision>
  <cp:lastPrinted>2018-08-15T13:59:00Z</cp:lastPrinted>
  <dcterms:created xsi:type="dcterms:W3CDTF">2018-09-11T13:53:00Z</dcterms:created>
  <dcterms:modified xsi:type="dcterms:W3CDTF">2018-09-11T13:53:00Z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