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Tr="00387CD4">
        <w:trPr>
          <w:trHeight w:hRule="exact" w:val="851"/>
        </w:trPr>
        <w:tc>
          <w:tcPr>
            <w:tcW w:w="142" w:type="dxa"/>
            <w:tcBorders>
              <w:bottom w:val="single" w:sz="4" w:space="0" w:color="auto"/>
            </w:tcBorders>
          </w:tcPr>
          <w:p w:rsidR="002D5AAC" w:rsidRDefault="002D5AAC" w:rsidP="00C503C3">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Default="00C503C3" w:rsidP="00C503C3">
            <w:pPr>
              <w:jc w:val="right"/>
            </w:pPr>
            <w:r w:rsidRPr="00C503C3">
              <w:rPr>
                <w:sz w:val="40"/>
              </w:rPr>
              <w:t>ECE</w:t>
            </w:r>
            <w:r>
              <w:t>/TRANS/WP.29/GRE/2018/51</w:t>
            </w:r>
          </w:p>
        </w:tc>
      </w:tr>
      <w:tr w:rsidR="002D5AAC" w:rsidRPr="00C503C3" w:rsidTr="00387CD4">
        <w:trPr>
          <w:trHeight w:hRule="exact" w:val="2835"/>
        </w:trPr>
        <w:tc>
          <w:tcPr>
            <w:tcW w:w="1280" w:type="dxa"/>
            <w:gridSpan w:val="2"/>
            <w:tcBorders>
              <w:top w:val="single" w:sz="4" w:space="0" w:color="auto"/>
              <w:bottom w:val="single" w:sz="12" w:space="0" w:color="auto"/>
            </w:tcBorders>
          </w:tcPr>
          <w:p w:rsidR="002D5AAC" w:rsidRDefault="002E5067" w:rsidP="00387CD4">
            <w:pPr>
              <w:spacing w:before="120"/>
              <w:jc w:val="center"/>
            </w:pPr>
            <w:r>
              <w:rPr>
                <w:noProof/>
                <w:lang w:eastAsia="ru-RU"/>
              </w:rPr>
              <w:drawing>
                <wp:inline distT="0" distB="0" distL="0" distR="0" wp14:anchorId="7E16639B" wp14:editId="3BF8257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rsidR="002D5AAC" w:rsidRDefault="00C503C3" w:rsidP="00387CD4">
            <w:pPr>
              <w:spacing w:before="240"/>
              <w:rPr>
                <w:lang w:val="en-US"/>
              </w:rPr>
            </w:pPr>
            <w:r>
              <w:rPr>
                <w:lang w:val="en-US"/>
              </w:rPr>
              <w:t>Distr.: General</w:t>
            </w:r>
          </w:p>
          <w:p w:rsidR="00C503C3" w:rsidRDefault="00C503C3" w:rsidP="00C503C3">
            <w:pPr>
              <w:spacing w:line="240" w:lineRule="exact"/>
              <w:rPr>
                <w:lang w:val="en-US"/>
              </w:rPr>
            </w:pPr>
            <w:r>
              <w:rPr>
                <w:lang w:val="en-US"/>
              </w:rPr>
              <w:t>10 August 2018</w:t>
            </w:r>
          </w:p>
          <w:p w:rsidR="00C503C3" w:rsidRDefault="00C503C3" w:rsidP="00C503C3">
            <w:pPr>
              <w:spacing w:line="240" w:lineRule="exact"/>
              <w:rPr>
                <w:lang w:val="en-US"/>
              </w:rPr>
            </w:pPr>
            <w:r>
              <w:rPr>
                <w:lang w:val="en-US"/>
              </w:rPr>
              <w:t>Russian</w:t>
            </w:r>
          </w:p>
          <w:p w:rsidR="00C503C3" w:rsidRPr="008D53B6" w:rsidRDefault="00C503C3" w:rsidP="00C503C3">
            <w:pPr>
              <w:spacing w:line="240" w:lineRule="exact"/>
              <w:rPr>
                <w:lang w:val="en-US"/>
              </w:rPr>
            </w:pPr>
            <w:r>
              <w:rPr>
                <w:lang w:val="en-US"/>
              </w:rPr>
              <w:t>Original: English</w:t>
            </w:r>
          </w:p>
        </w:tc>
      </w:tr>
    </w:tbl>
    <w:p w:rsidR="008A37C8" w:rsidRDefault="008A37C8" w:rsidP="00255343">
      <w:pPr>
        <w:spacing w:before="120"/>
        <w:rPr>
          <w:b/>
          <w:sz w:val="28"/>
          <w:szCs w:val="28"/>
        </w:rPr>
      </w:pPr>
      <w:r w:rsidRPr="00245892">
        <w:rPr>
          <w:b/>
          <w:sz w:val="28"/>
          <w:szCs w:val="28"/>
        </w:rPr>
        <w:t>Европейская экономическая комиссия</w:t>
      </w:r>
    </w:p>
    <w:p w:rsidR="00C503C3" w:rsidRPr="0074030D" w:rsidRDefault="00C503C3" w:rsidP="00C503C3">
      <w:pPr>
        <w:pStyle w:val="SingleTxtGR"/>
        <w:spacing w:before="120"/>
        <w:ind w:left="0"/>
        <w:jc w:val="left"/>
        <w:rPr>
          <w:sz w:val="28"/>
          <w:szCs w:val="28"/>
        </w:rPr>
      </w:pPr>
      <w:r w:rsidRPr="0074030D">
        <w:rPr>
          <w:sz w:val="28"/>
          <w:szCs w:val="28"/>
        </w:rPr>
        <w:t>Комитет по внутреннему транспорту</w:t>
      </w:r>
    </w:p>
    <w:p w:rsidR="00C503C3" w:rsidRPr="0074030D" w:rsidRDefault="00C503C3" w:rsidP="00C503C3">
      <w:pPr>
        <w:pStyle w:val="SingleTxtGR"/>
        <w:ind w:left="0"/>
        <w:jc w:val="left"/>
        <w:rPr>
          <w:b/>
          <w:bCs/>
          <w:sz w:val="24"/>
          <w:szCs w:val="24"/>
        </w:rPr>
      </w:pPr>
      <w:r w:rsidRPr="0074030D">
        <w:rPr>
          <w:b/>
          <w:bCs/>
          <w:sz w:val="24"/>
          <w:szCs w:val="24"/>
        </w:rPr>
        <w:t xml:space="preserve">Всемирный форум для согласования правил </w:t>
      </w:r>
      <w:r w:rsidRPr="0074030D">
        <w:rPr>
          <w:b/>
          <w:bCs/>
          <w:sz w:val="24"/>
          <w:szCs w:val="24"/>
        </w:rPr>
        <w:br/>
        <w:t>в области транспортных средств</w:t>
      </w:r>
    </w:p>
    <w:p w:rsidR="00C503C3" w:rsidRPr="0074030D" w:rsidRDefault="00C503C3" w:rsidP="00C503C3">
      <w:pPr>
        <w:spacing w:before="120" w:after="120"/>
        <w:rPr>
          <w:rFonts w:eastAsia="MS Mincho"/>
          <w:b/>
          <w:bCs/>
        </w:rPr>
      </w:pPr>
      <w:r w:rsidRPr="0074030D">
        <w:rPr>
          <w:b/>
          <w:bCs/>
        </w:rPr>
        <w:t xml:space="preserve">Рабочая группа по вопросам освещения </w:t>
      </w:r>
      <w:r w:rsidRPr="0074030D">
        <w:rPr>
          <w:b/>
          <w:bCs/>
        </w:rPr>
        <w:br/>
        <w:t>и световой сигнализации</w:t>
      </w:r>
    </w:p>
    <w:p w:rsidR="00C503C3" w:rsidRPr="0074030D" w:rsidRDefault="00C503C3" w:rsidP="00C503C3">
      <w:pPr>
        <w:rPr>
          <w:rFonts w:eastAsia="MS Mincho"/>
          <w:b/>
        </w:rPr>
      </w:pPr>
      <w:r w:rsidRPr="0074030D">
        <w:rPr>
          <w:rFonts w:eastAsia="MS Mincho"/>
          <w:b/>
        </w:rPr>
        <w:t xml:space="preserve">Восьмидесятая </w:t>
      </w:r>
      <w:r w:rsidRPr="0074030D">
        <w:rPr>
          <w:b/>
          <w:bCs/>
        </w:rPr>
        <w:t>сессия</w:t>
      </w:r>
    </w:p>
    <w:p w:rsidR="00C503C3" w:rsidRPr="0074030D" w:rsidRDefault="00C503C3" w:rsidP="00C503C3">
      <w:pPr>
        <w:rPr>
          <w:bCs/>
        </w:rPr>
      </w:pPr>
      <w:r w:rsidRPr="0074030D">
        <w:t>Женева</w:t>
      </w:r>
      <w:r w:rsidRPr="0074030D">
        <w:rPr>
          <w:bCs/>
        </w:rPr>
        <w:t>, 23</w:t>
      </w:r>
      <w:r w:rsidRPr="0074030D">
        <w:t>–</w:t>
      </w:r>
      <w:r w:rsidRPr="0074030D">
        <w:rPr>
          <w:bCs/>
        </w:rPr>
        <w:t xml:space="preserve">26 октября 2018 </w:t>
      </w:r>
      <w:r w:rsidRPr="0074030D">
        <w:t>года</w:t>
      </w:r>
    </w:p>
    <w:p w:rsidR="00C503C3" w:rsidRPr="0074030D" w:rsidRDefault="00C503C3" w:rsidP="00C503C3">
      <w:pPr>
        <w:ind w:right="1134"/>
        <w:rPr>
          <w:bCs/>
        </w:rPr>
      </w:pPr>
      <w:r w:rsidRPr="0074030D">
        <w:t xml:space="preserve">Пункт </w:t>
      </w:r>
      <w:r w:rsidRPr="0074030D">
        <w:rPr>
          <w:bCs/>
        </w:rPr>
        <w:t xml:space="preserve">6 a) </w:t>
      </w:r>
      <w:r w:rsidRPr="0074030D">
        <w:t>предварительной повестки дня</w:t>
      </w:r>
    </w:p>
    <w:p w:rsidR="00C503C3" w:rsidRPr="0074030D" w:rsidRDefault="00C503C3" w:rsidP="00C503C3">
      <w:pPr>
        <w:ind w:right="1134"/>
        <w:rPr>
          <w:b/>
          <w:bCs/>
        </w:rPr>
      </w:pPr>
      <w:r w:rsidRPr="0074030D">
        <w:rPr>
          <w:b/>
        </w:rPr>
        <w:t>Правила № 48 ООН</w:t>
      </w:r>
      <w:r w:rsidRPr="0074030D">
        <w:rPr>
          <w:b/>
          <w:bCs/>
        </w:rPr>
        <w:t xml:space="preserve"> (</w:t>
      </w:r>
      <w:r w:rsidRPr="0074030D">
        <w:rPr>
          <w:b/>
        </w:rPr>
        <w:t xml:space="preserve">установка устройств </w:t>
      </w:r>
      <w:r>
        <w:rPr>
          <w:b/>
        </w:rPr>
        <w:br/>
      </w:r>
      <w:r w:rsidRPr="0074030D">
        <w:rPr>
          <w:b/>
        </w:rPr>
        <w:t>освещения и световой сигнализации</w:t>
      </w:r>
      <w:r w:rsidRPr="0074030D">
        <w:rPr>
          <w:b/>
          <w:bCs/>
        </w:rPr>
        <w:t>):</w:t>
      </w:r>
    </w:p>
    <w:p w:rsidR="00C503C3" w:rsidRDefault="00C503C3" w:rsidP="00C503C3">
      <w:pPr>
        <w:suppressAutoHyphens w:val="0"/>
        <w:spacing w:line="240" w:lineRule="auto"/>
      </w:pPr>
      <w:r w:rsidRPr="0074030D">
        <w:rPr>
          <w:b/>
        </w:rPr>
        <w:t>предложения по поправкам к поправкам серии 05 и 06</w:t>
      </w:r>
    </w:p>
    <w:p w:rsidR="00C503C3" w:rsidRPr="00C503C3" w:rsidRDefault="00C503C3" w:rsidP="00C503C3">
      <w:pPr>
        <w:pStyle w:val="HChGR"/>
      </w:pPr>
      <w:r>
        <w:tab/>
      </w:r>
      <w:r>
        <w:tab/>
      </w:r>
      <w:r w:rsidRPr="00C503C3">
        <w:t>Предложение по дополнению [10] к поправкам серии 05 и</w:t>
      </w:r>
      <w:r>
        <w:t> </w:t>
      </w:r>
      <w:r w:rsidRPr="00C503C3">
        <w:t>дополнению [8] к поправкам серии 06 к</w:t>
      </w:r>
      <w:r w:rsidRPr="00C503C3">
        <w:rPr>
          <w:lang w:val="en-US"/>
        </w:rPr>
        <w:t> </w:t>
      </w:r>
      <w:r w:rsidRPr="00C503C3">
        <w:t>Правилам № 48 ООН (установка устройств освещения и световой сигнализации)</w:t>
      </w:r>
    </w:p>
    <w:p w:rsidR="00C503C3" w:rsidRPr="00C503C3" w:rsidRDefault="00C503C3" w:rsidP="00C503C3">
      <w:pPr>
        <w:pStyle w:val="H1GR"/>
      </w:pPr>
      <w:r>
        <w:tab/>
      </w:r>
      <w:r>
        <w:tab/>
      </w:r>
      <w:r w:rsidRPr="00C503C3">
        <w:t>Представлено экспертом от Ме</w:t>
      </w:r>
      <w:r>
        <w:t>ждународной группы экспертов по </w:t>
      </w:r>
      <w:r w:rsidRPr="00C503C3">
        <w:t>вопросам автомобильного освещения и световой сигнализации (БРГ)</w:t>
      </w:r>
      <w:r w:rsidRPr="00C503C3">
        <w:rPr>
          <w:b w:val="0"/>
          <w:sz w:val="20"/>
        </w:rPr>
        <w:footnoteReference w:customMarkFollows="1" w:id="1"/>
        <w:t>*</w:t>
      </w:r>
    </w:p>
    <w:p w:rsidR="00C503C3" w:rsidRDefault="00C503C3" w:rsidP="00C503C3">
      <w:pPr>
        <w:pStyle w:val="SingleTxtGR"/>
      </w:pPr>
      <w:r>
        <w:tab/>
      </w:r>
      <w:r w:rsidRPr="00C503C3">
        <w:t>Воспроизведенный ниже текст был подготовлен экспертом от БРГ с целью ослабить дискомфортный свет задних сигнальных огней, когда на них приходится смотреть в непосредственной близости в условиях замедленного дорожного движения. Изменения к действующему тексту Правил выделены жирным шрифтом в случае новых положений или зачеркиванием в случае исключенных элементов.</w:t>
      </w:r>
    </w:p>
    <w:p w:rsidR="00C503C3" w:rsidRDefault="00C503C3">
      <w:pPr>
        <w:suppressAutoHyphens w:val="0"/>
        <w:spacing w:line="240" w:lineRule="auto"/>
        <w:rPr>
          <w:rFonts w:eastAsia="Times New Roman" w:cs="Times New Roman"/>
          <w:szCs w:val="20"/>
        </w:rPr>
      </w:pPr>
      <w:r>
        <w:br w:type="page"/>
      </w:r>
    </w:p>
    <w:p w:rsidR="00C503C3" w:rsidRPr="0074030D" w:rsidRDefault="00C503C3" w:rsidP="00C503C3">
      <w:pPr>
        <w:pStyle w:val="HChGR"/>
      </w:pPr>
      <w:r>
        <w:lastRenderedPageBreak/>
        <w:tab/>
      </w:r>
      <w:r w:rsidRPr="0074030D">
        <w:t>I.</w:t>
      </w:r>
      <w:r w:rsidRPr="0074030D">
        <w:tab/>
        <w:t>Предложение</w:t>
      </w:r>
    </w:p>
    <w:p w:rsidR="00C503C3" w:rsidRPr="0074030D" w:rsidRDefault="00C503C3" w:rsidP="00C503C3">
      <w:pPr>
        <w:pStyle w:val="SingleTxtGR"/>
        <w:rPr>
          <w:i/>
        </w:rPr>
      </w:pPr>
      <w:r w:rsidRPr="0074030D">
        <w:rPr>
          <w:i/>
        </w:rPr>
        <w:t xml:space="preserve">Пункт 5.26 </w:t>
      </w:r>
      <w:r w:rsidRPr="0074030D">
        <w:t>изменить следующим образом:</w:t>
      </w:r>
    </w:p>
    <w:p w:rsidR="00C503C3" w:rsidRPr="0074030D" w:rsidRDefault="00C503C3" w:rsidP="00C503C3">
      <w:pPr>
        <w:pStyle w:val="SingleTxtGR"/>
        <w:tabs>
          <w:tab w:val="clear" w:pos="1701"/>
        </w:tabs>
        <w:ind w:left="2268" w:hanging="1134"/>
        <w:rPr>
          <w:bCs/>
        </w:rPr>
      </w:pPr>
      <w:r>
        <w:rPr>
          <w:bCs/>
        </w:rPr>
        <w:t>«</w:t>
      </w:r>
      <w:r w:rsidRPr="0074030D">
        <w:rPr>
          <w:bCs/>
        </w:rPr>
        <w:t>5.26</w:t>
      </w:r>
      <w:r w:rsidRPr="0074030D">
        <w:rPr>
          <w:bCs/>
        </w:rPr>
        <w:tab/>
      </w:r>
      <w:r w:rsidRPr="0074030D">
        <w:t xml:space="preserve">Задние указатели поворота </w:t>
      </w:r>
      <w:r w:rsidRPr="0074030D">
        <w:rPr>
          <w:b/>
        </w:rPr>
        <w:t xml:space="preserve">категории </w:t>
      </w:r>
      <w:r w:rsidRPr="0074030D">
        <w:rPr>
          <w:b/>
          <w:lang w:eastAsia="de-DE"/>
        </w:rPr>
        <w:t>2</w:t>
      </w:r>
      <w:r w:rsidRPr="0074030D">
        <w:rPr>
          <w:b/>
          <w:lang w:val="en-US" w:eastAsia="de-DE"/>
        </w:rPr>
        <w:t>b</w:t>
      </w:r>
      <w:r w:rsidRPr="0074030D">
        <w:t xml:space="preserve">, задние габаритные огни </w:t>
      </w:r>
      <w:r w:rsidRPr="0074030D">
        <w:rPr>
          <w:b/>
        </w:rPr>
        <w:t xml:space="preserve">категории </w:t>
      </w:r>
      <w:r w:rsidRPr="0074030D">
        <w:rPr>
          <w:b/>
          <w:lang w:val="en-US" w:eastAsia="de-DE"/>
        </w:rPr>
        <w:t>R</w:t>
      </w:r>
      <w:r w:rsidRPr="0074030D">
        <w:rPr>
          <w:b/>
          <w:lang w:eastAsia="de-DE"/>
        </w:rPr>
        <w:t>2</w:t>
      </w:r>
      <w:r w:rsidRPr="0074030D">
        <w:t xml:space="preserve">, сигналы торможения </w:t>
      </w:r>
      <w:r w:rsidRPr="0074030D">
        <w:rPr>
          <w:b/>
        </w:rPr>
        <w:t xml:space="preserve">категории </w:t>
      </w:r>
      <w:r w:rsidRPr="0074030D">
        <w:rPr>
          <w:b/>
          <w:lang w:val="en-US" w:eastAsia="de-DE"/>
        </w:rPr>
        <w:t>S</w:t>
      </w:r>
      <w:r w:rsidRPr="0074030D">
        <w:rPr>
          <w:b/>
          <w:lang w:eastAsia="de-DE"/>
        </w:rPr>
        <w:t>2</w:t>
      </w:r>
      <w:r w:rsidRPr="0074030D">
        <w:t xml:space="preserve"> </w:t>
      </w:r>
      <w:r w:rsidRPr="0074030D">
        <w:rPr>
          <w:strike/>
        </w:rPr>
        <w:t>(за исключением сигналов торможения категории S4)</w:t>
      </w:r>
      <w:r w:rsidRPr="0074030D">
        <w:t xml:space="preserve"> и задние противотуманные огни </w:t>
      </w:r>
      <w:r w:rsidRPr="0074030D">
        <w:rPr>
          <w:b/>
        </w:rPr>
        <w:t xml:space="preserve">категории </w:t>
      </w:r>
      <w:r w:rsidRPr="0074030D">
        <w:rPr>
          <w:b/>
          <w:lang w:val="en-US" w:eastAsia="de-DE"/>
        </w:rPr>
        <w:t>F</w:t>
      </w:r>
      <w:r w:rsidRPr="0074030D">
        <w:rPr>
          <w:b/>
          <w:lang w:eastAsia="de-DE"/>
        </w:rPr>
        <w:t>2</w:t>
      </w:r>
      <w:r w:rsidRPr="0074030D">
        <w:t xml:space="preserve"> с регулятором силы света допускаются при автоматическом реагировании </w:t>
      </w:r>
      <w:r w:rsidRPr="0074030D">
        <w:rPr>
          <w:strike/>
        </w:rPr>
        <w:t>по меньшей мере</w:t>
      </w:r>
      <w:r w:rsidRPr="0074030D">
        <w:t xml:space="preserve"> на один </w:t>
      </w:r>
      <w:r w:rsidRPr="0074030D">
        <w:rPr>
          <w:b/>
        </w:rPr>
        <w:t>или несколько</w:t>
      </w:r>
      <w:r w:rsidRPr="0074030D">
        <w:t xml:space="preserve"> из </w:t>
      </w:r>
      <w:r w:rsidRPr="0074030D">
        <w:rPr>
          <w:strike/>
        </w:rPr>
        <w:t>следующих</w:t>
      </w:r>
      <w:r w:rsidRPr="0074030D">
        <w:t xml:space="preserve"> внешних факторов</w:t>
      </w:r>
      <w:r w:rsidRPr="0074030D">
        <w:rPr>
          <w:strike/>
        </w:rPr>
        <w:t>: окружающее освещение, туман, снегопад, дождь, солевой туман, облако пыли, загрязнение светоизлучающей поверхности</w:t>
      </w:r>
      <w:r w:rsidRPr="0074030D">
        <w:t xml:space="preserve">, </w:t>
      </w:r>
      <w:r w:rsidRPr="0074030D">
        <w:rPr>
          <w:b/>
        </w:rPr>
        <w:t xml:space="preserve">перечисленных в пунктах </w:t>
      </w:r>
      <w:r w:rsidR="00326F7D">
        <w:rPr>
          <w:b/>
          <w:lang w:eastAsia="de-DE"/>
        </w:rPr>
        <w:t>5.26.1 и </w:t>
      </w:r>
      <w:r w:rsidRPr="0074030D">
        <w:rPr>
          <w:b/>
          <w:lang w:eastAsia="de-DE"/>
        </w:rPr>
        <w:t>5.26.2</w:t>
      </w:r>
      <w:r w:rsidRPr="0074030D">
        <w:rPr>
          <w:b/>
        </w:rPr>
        <w:t xml:space="preserve">, </w:t>
      </w:r>
      <w:r w:rsidRPr="0074030D">
        <w:t xml:space="preserve">при условии сохранения предписанного для них соотношения значений яркости в случае изменения силы света. </w:t>
      </w:r>
      <w:r w:rsidRPr="0074030D">
        <w:rPr>
          <w:strike/>
        </w:rPr>
        <w:t>При изменении внешних факторов не должно происходить резкого изменения силы света. Сигналы торможения категории S4 могут излучать различную силу света независимо от других огней. Водитель должен иметь возможность включать вышеназванные огни в режиме постоянной силы света, а затем возвращать их в режим изменяющейся силы света.</w:t>
      </w:r>
    </w:p>
    <w:p w:rsidR="00C503C3" w:rsidRPr="0074030D" w:rsidRDefault="00C503C3" w:rsidP="00C503C3">
      <w:pPr>
        <w:pStyle w:val="SingleTxtGR"/>
        <w:tabs>
          <w:tab w:val="clear" w:pos="1701"/>
        </w:tabs>
        <w:ind w:left="2268" w:hanging="1134"/>
        <w:rPr>
          <w:b/>
          <w:lang w:eastAsia="de-DE"/>
        </w:rPr>
      </w:pPr>
      <w:r w:rsidRPr="0074030D">
        <w:rPr>
          <w:b/>
          <w:lang w:eastAsia="de-DE"/>
        </w:rPr>
        <w:t>5.26.1</w:t>
      </w:r>
      <w:r w:rsidRPr="0074030D">
        <w:rPr>
          <w:b/>
          <w:lang w:eastAsia="de-DE"/>
        </w:rPr>
        <w:tab/>
        <w:t>Окружающие условия</w:t>
      </w:r>
    </w:p>
    <w:p w:rsidR="00C503C3" w:rsidRPr="0074030D" w:rsidRDefault="00C503C3" w:rsidP="00C503C3">
      <w:pPr>
        <w:pStyle w:val="SingleTxtGR"/>
        <w:tabs>
          <w:tab w:val="clear" w:pos="1701"/>
        </w:tabs>
        <w:ind w:left="2268" w:hanging="1134"/>
        <w:rPr>
          <w:b/>
          <w:lang w:eastAsia="de-DE"/>
        </w:rPr>
      </w:pPr>
      <w:r w:rsidRPr="0074030D">
        <w:rPr>
          <w:b/>
          <w:lang w:eastAsia="de-DE"/>
        </w:rPr>
        <w:tab/>
      </w:r>
      <w:r w:rsidRPr="0074030D">
        <w:rPr>
          <w:b/>
          <w:shd w:val="clear" w:color="auto" w:fill="FFFFFF"/>
        </w:rPr>
        <w:t xml:space="preserve">Изменение силы света </w:t>
      </w:r>
      <w:r w:rsidRPr="0074030D">
        <w:rPr>
          <w:b/>
        </w:rPr>
        <w:t xml:space="preserve">– </w:t>
      </w:r>
      <w:r w:rsidRPr="0074030D">
        <w:rPr>
          <w:b/>
          <w:shd w:val="clear" w:color="auto" w:fill="FFFFFF"/>
        </w:rPr>
        <w:t xml:space="preserve">в пределах, предписанных соответствующими правилами ООН, </w:t>
      </w:r>
      <w:r w:rsidRPr="0074030D">
        <w:rPr>
          <w:b/>
        </w:rPr>
        <w:t xml:space="preserve">– </w:t>
      </w:r>
      <w:r w:rsidRPr="0074030D">
        <w:rPr>
          <w:b/>
          <w:shd w:val="clear" w:color="auto" w:fill="FFFFFF"/>
        </w:rPr>
        <w:t>допускается применительно к следующим условиям:</w:t>
      </w:r>
    </w:p>
    <w:p w:rsidR="00C503C3" w:rsidRPr="0074030D" w:rsidRDefault="00C503C3" w:rsidP="00C503C3">
      <w:pPr>
        <w:pStyle w:val="SingleTxtGR"/>
        <w:tabs>
          <w:tab w:val="clear" w:pos="1701"/>
        </w:tabs>
        <w:ind w:left="2268" w:hanging="1134"/>
        <w:rPr>
          <w:b/>
          <w:lang w:eastAsia="de-DE"/>
        </w:rPr>
      </w:pPr>
      <w:r>
        <w:rPr>
          <w:b/>
          <w:lang w:val="en-US" w:eastAsia="de-DE"/>
        </w:rPr>
        <w:tab/>
      </w:r>
      <w:r>
        <w:rPr>
          <w:b/>
          <w:lang w:val="en-US" w:eastAsia="de-DE"/>
        </w:rPr>
        <w:tab/>
      </w:r>
      <w:r w:rsidRPr="0074030D">
        <w:rPr>
          <w:b/>
          <w:lang w:val="en-US" w:eastAsia="de-DE"/>
        </w:rPr>
        <w:t>a</w:t>
      </w:r>
      <w:r w:rsidRPr="0074030D">
        <w:rPr>
          <w:b/>
          <w:lang w:eastAsia="de-DE"/>
        </w:rPr>
        <w:t>)</w:t>
      </w:r>
      <w:r w:rsidRPr="0074030D">
        <w:rPr>
          <w:b/>
          <w:lang w:eastAsia="de-DE"/>
        </w:rPr>
        <w:tab/>
      </w:r>
      <w:r w:rsidRPr="0074030D">
        <w:rPr>
          <w:b/>
        </w:rPr>
        <w:t>окружающее освещение</w:t>
      </w:r>
      <w:r w:rsidRPr="0074030D">
        <w:rPr>
          <w:b/>
          <w:lang w:eastAsia="de-DE"/>
        </w:rPr>
        <w:t xml:space="preserve">, </w:t>
      </w:r>
    </w:p>
    <w:p w:rsidR="00C503C3" w:rsidRPr="0074030D" w:rsidRDefault="00C503C3" w:rsidP="00C503C3">
      <w:pPr>
        <w:pStyle w:val="SingleTxtGR"/>
        <w:tabs>
          <w:tab w:val="clear" w:pos="1701"/>
        </w:tabs>
        <w:ind w:left="5103" w:hanging="2268"/>
        <w:rPr>
          <w:b/>
        </w:rPr>
      </w:pPr>
      <w:r w:rsidRPr="00C503C3">
        <w:rPr>
          <w:b/>
        </w:rPr>
        <w:t>b</w:t>
      </w:r>
      <w:r w:rsidRPr="0074030D">
        <w:rPr>
          <w:b/>
        </w:rPr>
        <w:t>)</w:t>
      </w:r>
      <w:r w:rsidRPr="0074030D">
        <w:rPr>
          <w:b/>
        </w:rPr>
        <w:tab/>
        <w:t>туман,</w:t>
      </w:r>
    </w:p>
    <w:p w:rsidR="00C503C3" w:rsidRPr="0074030D" w:rsidRDefault="00C503C3" w:rsidP="00C503C3">
      <w:pPr>
        <w:pStyle w:val="SingleTxtGR"/>
        <w:tabs>
          <w:tab w:val="clear" w:pos="1701"/>
        </w:tabs>
        <w:ind w:left="5103" w:hanging="2268"/>
        <w:rPr>
          <w:b/>
        </w:rPr>
      </w:pPr>
      <w:r w:rsidRPr="00C503C3">
        <w:rPr>
          <w:b/>
        </w:rPr>
        <w:t>c</w:t>
      </w:r>
      <w:r w:rsidRPr="0074030D">
        <w:rPr>
          <w:b/>
        </w:rPr>
        <w:t>)</w:t>
      </w:r>
      <w:r w:rsidRPr="0074030D">
        <w:rPr>
          <w:b/>
        </w:rPr>
        <w:tab/>
        <w:t xml:space="preserve">снегопад, </w:t>
      </w:r>
    </w:p>
    <w:p w:rsidR="00C503C3" w:rsidRPr="0074030D" w:rsidRDefault="00C503C3" w:rsidP="00C503C3">
      <w:pPr>
        <w:pStyle w:val="SingleTxtGR"/>
        <w:tabs>
          <w:tab w:val="clear" w:pos="1701"/>
        </w:tabs>
        <w:ind w:left="5103" w:hanging="2268"/>
        <w:rPr>
          <w:b/>
        </w:rPr>
      </w:pPr>
      <w:r w:rsidRPr="00C503C3">
        <w:rPr>
          <w:b/>
        </w:rPr>
        <w:t>d</w:t>
      </w:r>
      <w:r w:rsidRPr="0074030D">
        <w:rPr>
          <w:b/>
        </w:rPr>
        <w:t>)</w:t>
      </w:r>
      <w:r w:rsidRPr="0074030D">
        <w:rPr>
          <w:b/>
        </w:rPr>
        <w:tab/>
        <w:t xml:space="preserve">дождь, </w:t>
      </w:r>
    </w:p>
    <w:p w:rsidR="00C503C3" w:rsidRPr="0074030D" w:rsidRDefault="00C503C3" w:rsidP="00C503C3">
      <w:pPr>
        <w:pStyle w:val="SingleTxtGR"/>
        <w:tabs>
          <w:tab w:val="clear" w:pos="1701"/>
        </w:tabs>
        <w:ind w:left="5103" w:hanging="2268"/>
        <w:rPr>
          <w:b/>
        </w:rPr>
      </w:pPr>
      <w:r w:rsidRPr="00C503C3">
        <w:rPr>
          <w:b/>
        </w:rPr>
        <w:t>e</w:t>
      </w:r>
      <w:r w:rsidRPr="0074030D">
        <w:rPr>
          <w:b/>
        </w:rPr>
        <w:t>)</w:t>
      </w:r>
      <w:r w:rsidRPr="0074030D">
        <w:rPr>
          <w:b/>
        </w:rPr>
        <w:tab/>
        <w:t xml:space="preserve">солевой туман, </w:t>
      </w:r>
    </w:p>
    <w:p w:rsidR="00C503C3" w:rsidRPr="0074030D" w:rsidRDefault="00C503C3" w:rsidP="00C503C3">
      <w:pPr>
        <w:pStyle w:val="SingleTxtGR"/>
        <w:tabs>
          <w:tab w:val="clear" w:pos="1701"/>
        </w:tabs>
        <w:ind w:left="5103" w:hanging="2268"/>
        <w:rPr>
          <w:b/>
        </w:rPr>
      </w:pPr>
      <w:r w:rsidRPr="00C503C3">
        <w:rPr>
          <w:b/>
        </w:rPr>
        <w:t>f</w:t>
      </w:r>
      <w:r w:rsidRPr="0074030D">
        <w:rPr>
          <w:b/>
        </w:rPr>
        <w:t>)</w:t>
      </w:r>
      <w:r w:rsidRPr="0074030D">
        <w:rPr>
          <w:b/>
        </w:rPr>
        <w:tab/>
        <w:t>облако пыли,</w:t>
      </w:r>
    </w:p>
    <w:p w:rsidR="00C503C3" w:rsidRPr="0074030D" w:rsidRDefault="00C503C3" w:rsidP="00C503C3">
      <w:pPr>
        <w:pStyle w:val="SingleTxtGR"/>
        <w:tabs>
          <w:tab w:val="clear" w:pos="1701"/>
        </w:tabs>
        <w:ind w:left="5103" w:hanging="2268"/>
        <w:rPr>
          <w:b/>
        </w:rPr>
      </w:pPr>
      <w:r w:rsidRPr="00C503C3">
        <w:rPr>
          <w:b/>
        </w:rPr>
        <w:t>g</w:t>
      </w:r>
      <w:r w:rsidRPr="0074030D">
        <w:rPr>
          <w:b/>
        </w:rPr>
        <w:t>)</w:t>
      </w:r>
      <w:r w:rsidRPr="0074030D">
        <w:rPr>
          <w:b/>
        </w:rPr>
        <w:tab/>
        <w:t>загрязнение светоизлучающей поверхности.</w:t>
      </w:r>
    </w:p>
    <w:p w:rsidR="00C503C3" w:rsidRPr="0074030D" w:rsidRDefault="00C503C3" w:rsidP="00C503C3">
      <w:pPr>
        <w:pStyle w:val="SingleTxtGR"/>
        <w:tabs>
          <w:tab w:val="clear" w:pos="1701"/>
        </w:tabs>
        <w:ind w:left="2268" w:hanging="1134"/>
        <w:rPr>
          <w:b/>
          <w:shd w:val="clear" w:color="auto" w:fill="FFFFFF"/>
        </w:rPr>
      </w:pPr>
      <w:r w:rsidRPr="0074030D">
        <w:rPr>
          <w:b/>
          <w:lang w:eastAsia="de-DE"/>
        </w:rPr>
        <w:t>5.26.2</w:t>
      </w:r>
      <w:r w:rsidRPr="0074030D">
        <w:rPr>
          <w:b/>
          <w:lang w:eastAsia="de-DE"/>
        </w:rPr>
        <w:tab/>
      </w:r>
      <w:r w:rsidRPr="0074030D">
        <w:rPr>
          <w:b/>
          <w:shd w:val="clear" w:color="auto" w:fill="FFFFFF"/>
        </w:rPr>
        <w:t>Условия дорожного движения</w:t>
      </w:r>
    </w:p>
    <w:p w:rsidR="00C503C3" w:rsidRPr="0074030D" w:rsidRDefault="00C503C3" w:rsidP="00C503C3">
      <w:pPr>
        <w:pStyle w:val="SingleTxtGR"/>
        <w:tabs>
          <w:tab w:val="clear" w:pos="1701"/>
        </w:tabs>
        <w:ind w:left="2268" w:hanging="1134"/>
        <w:rPr>
          <w:b/>
          <w:lang w:eastAsia="de-DE"/>
        </w:rPr>
      </w:pPr>
      <w:r w:rsidRPr="0074030D">
        <w:rPr>
          <w:b/>
          <w:lang w:eastAsia="de-DE"/>
        </w:rPr>
        <w:tab/>
      </w:r>
      <w:r w:rsidRPr="0074030D">
        <w:rPr>
          <w:b/>
          <w:shd w:val="clear" w:color="auto" w:fill="FFFFFF"/>
        </w:rPr>
        <w:t xml:space="preserve">Уменьшение силы света </w:t>
      </w:r>
      <w:r w:rsidRPr="0074030D">
        <w:rPr>
          <w:b/>
        </w:rPr>
        <w:t xml:space="preserve">– </w:t>
      </w:r>
      <w:r w:rsidRPr="0074030D">
        <w:rPr>
          <w:b/>
          <w:shd w:val="clear" w:color="auto" w:fill="FFFFFF"/>
        </w:rPr>
        <w:t xml:space="preserve">в пределах, предписанных соответствующими правилами ООН, </w:t>
      </w:r>
      <w:r w:rsidRPr="0074030D">
        <w:rPr>
          <w:b/>
        </w:rPr>
        <w:t xml:space="preserve">– </w:t>
      </w:r>
      <w:r w:rsidRPr="0074030D">
        <w:rPr>
          <w:b/>
          <w:shd w:val="clear" w:color="auto" w:fill="FFFFFF"/>
        </w:rPr>
        <w:t>разрешается только в том случае, если:</w:t>
      </w:r>
    </w:p>
    <w:p w:rsidR="00C503C3" w:rsidRPr="0074030D" w:rsidRDefault="00C503C3" w:rsidP="00C503C3">
      <w:pPr>
        <w:pStyle w:val="SingleTxtGR"/>
        <w:tabs>
          <w:tab w:val="clear" w:pos="1701"/>
        </w:tabs>
        <w:ind w:left="3402" w:hanging="1134"/>
        <w:rPr>
          <w:b/>
          <w:lang w:eastAsia="de-DE"/>
        </w:rPr>
      </w:pPr>
      <w:r>
        <w:rPr>
          <w:b/>
          <w:lang w:val="en-US" w:eastAsia="de-DE"/>
        </w:rPr>
        <w:tab/>
      </w:r>
      <w:r w:rsidRPr="0074030D">
        <w:rPr>
          <w:b/>
          <w:lang w:val="en-US" w:eastAsia="de-DE"/>
        </w:rPr>
        <w:t>a</w:t>
      </w:r>
      <w:r w:rsidRPr="0074030D">
        <w:rPr>
          <w:b/>
          <w:lang w:eastAsia="de-DE"/>
        </w:rPr>
        <w:t>)</w:t>
      </w:r>
      <w:r w:rsidRPr="0074030D">
        <w:rPr>
          <w:b/>
          <w:lang w:eastAsia="de-DE"/>
        </w:rPr>
        <w:tab/>
      </w:r>
      <w:r w:rsidRPr="0074030D">
        <w:rPr>
          <w:b/>
          <w:shd w:val="clear" w:color="auto" w:fill="FFFFFF"/>
        </w:rPr>
        <w:t>скорость транспортного средства не превышает 20 км/ч; и</w:t>
      </w:r>
    </w:p>
    <w:p w:rsidR="00C503C3" w:rsidRPr="0074030D" w:rsidRDefault="00C503C3" w:rsidP="00C503C3">
      <w:pPr>
        <w:pStyle w:val="SingleTxtGR"/>
        <w:tabs>
          <w:tab w:val="clear" w:pos="1701"/>
        </w:tabs>
        <w:ind w:left="3402" w:hanging="1134"/>
        <w:rPr>
          <w:b/>
          <w:lang w:eastAsia="de-DE"/>
        </w:rPr>
      </w:pPr>
      <w:r>
        <w:rPr>
          <w:b/>
          <w:lang w:val="en-US" w:eastAsia="de-DE"/>
        </w:rPr>
        <w:tab/>
      </w:r>
      <w:r w:rsidRPr="0074030D">
        <w:rPr>
          <w:b/>
          <w:lang w:val="en-US" w:eastAsia="de-DE"/>
        </w:rPr>
        <w:t>b</w:t>
      </w:r>
      <w:r w:rsidRPr="0074030D">
        <w:rPr>
          <w:b/>
          <w:lang w:eastAsia="de-DE"/>
        </w:rPr>
        <w:t>)</w:t>
      </w:r>
      <w:r w:rsidRPr="0074030D">
        <w:rPr>
          <w:b/>
          <w:lang w:eastAsia="de-DE"/>
        </w:rPr>
        <w:tab/>
        <w:t xml:space="preserve">расстояние до </w:t>
      </w:r>
      <w:r w:rsidRPr="0074030D">
        <w:rPr>
          <w:b/>
          <w:shd w:val="clear" w:color="auto" w:fill="FFFFFF"/>
        </w:rPr>
        <w:t>следующего(их) сзади транспортного(</w:t>
      </w:r>
      <w:proofErr w:type="spellStart"/>
      <w:r w:rsidRPr="0074030D">
        <w:rPr>
          <w:b/>
          <w:shd w:val="clear" w:color="auto" w:fill="FFFFFF"/>
        </w:rPr>
        <w:t>ых</w:t>
      </w:r>
      <w:proofErr w:type="spellEnd"/>
      <w:r w:rsidRPr="0074030D">
        <w:rPr>
          <w:b/>
          <w:shd w:val="clear" w:color="auto" w:fill="FFFFFF"/>
        </w:rPr>
        <w:t xml:space="preserve">) средства (средств) </w:t>
      </w:r>
      <w:r w:rsidRPr="0074030D">
        <w:rPr>
          <w:b/>
          <w:lang w:eastAsia="de-DE"/>
        </w:rPr>
        <w:t>составляет менее 20 м.</w:t>
      </w:r>
    </w:p>
    <w:p w:rsidR="00C503C3" w:rsidRPr="0074030D" w:rsidRDefault="00C503C3" w:rsidP="00C503C3">
      <w:pPr>
        <w:pStyle w:val="SingleTxtGR"/>
        <w:tabs>
          <w:tab w:val="clear" w:pos="1701"/>
        </w:tabs>
        <w:ind w:left="2268" w:hanging="1134"/>
        <w:rPr>
          <w:b/>
          <w:lang w:eastAsia="de-DE"/>
        </w:rPr>
      </w:pPr>
      <w:r w:rsidRPr="0074030D">
        <w:rPr>
          <w:b/>
          <w:lang w:eastAsia="de-DE"/>
        </w:rPr>
        <w:t>5.26.3</w:t>
      </w:r>
      <w:r w:rsidRPr="0074030D">
        <w:rPr>
          <w:b/>
          <w:lang w:eastAsia="de-DE"/>
        </w:rPr>
        <w:tab/>
      </w:r>
      <w:r w:rsidRPr="0074030D">
        <w:rPr>
          <w:b/>
        </w:rPr>
        <w:t xml:space="preserve">Сигналы торможения категории S4 могут излучать различную силу света – с учетом внешних факторов, перечисленных в пунктах </w:t>
      </w:r>
      <w:r w:rsidRPr="0074030D">
        <w:rPr>
          <w:b/>
          <w:lang w:eastAsia="de-DE"/>
        </w:rPr>
        <w:t>5.26.1 и 5.26.2</w:t>
      </w:r>
      <w:r w:rsidRPr="0074030D">
        <w:rPr>
          <w:b/>
        </w:rPr>
        <w:t>, – независимо от других огней.</w:t>
      </w:r>
    </w:p>
    <w:p w:rsidR="00C503C3" w:rsidRPr="0074030D" w:rsidRDefault="00C503C3" w:rsidP="00C503C3">
      <w:pPr>
        <w:pStyle w:val="SingleTxtGR"/>
        <w:tabs>
          <w:tab w:val="clear" w:pos="1701"/>
        </w:tabs>
        <w:ind w:left="2268" w:hanging="1134"/>
        <w:rPr>
          <w:b/>
        </w:rPr>
      </w:pPr>
      <w:r w:rsidRPr="0074030D">
        <w:rPr>
          <w:b/>
          <w:lang w:eastAsia="de-DE"/>
        </w:rPr>
        <w:t>5.26.4</w:t>
      </w:r>
      <w:r w:rsidRPr="0074030D">
        <w:rPr>
          <w:b/>
          <w:lang w:eastAsia="de-DE"/>
        </w:rPr>
        <w:tab/>
      </w:r>
      <w:r w:rsidRPr="0074030D">
        <w:rPr>
          <w:b/>
        </w:rPr>
        <w:t>При изменении внешних факторов не должно происходить резкого изменения силы света.</w:t>
      </w:r>
    </w:p>
    <w:p w:rsidR="00C503C3" w:rsidRPr="0074030D" w:rsidRDefault="00C503C3" w:rsidP="00C503C3">
      <w:pPr>
        <w:pStyle w:val="SingleTxtGR"/>
        <w:tabs>
          <w:tab w:val="clear" w:pos="1701"/>
        </w:tabs>
        <w:ind w:left="2268" w:hanging="1134"/>
        <w:rPr>
          <w:b/>
        </w:rPr>
      </w:pPr>
      <w:r w:rsidRPr="0074030D">
        <w:rPr>
          <w:b/>
        </w:rPr>
        <w:tab/>
        <w:t>Водитель должен иметь возможность включать вышеназванные огни в режиме постоянной силы света, а затем возвращать их в режим изменяющейся силы света</w:t>
      </w:r>
      <w:r w:rsidR="00627BDB" w:rsidRPr="00627BDB">
        <w:t>».</w:t>
      </w:r>
    </w:p>
    <w:p w:rsidR="00C503C3" w:rsidRPr="0074030D" w:rsidRDefault="00C503C3" w:rsidP="00627BDB">
      <w:pPr>
        <w:pStyle w:val="HChGR"/>
      </w:pPr>
      <w:r>
        <w:lastRenderedPageBreak/>
        <w:tab/>
      </w:r>
      <w:r w:rsidRPr="0074030D">
        <w:t>II.</w:t>
      </w:r>
      <w:r w:rsidRPr="0074030D">
        <w:tab/>
        <w:t xml:space="preserve"> Обоснование</w:t>
      </w:r>
    </w:p>
    <w:p w:rsidR="00E12C5F" w:rsidRDefault="00C503C3" w:rsidP="00627BDB">
      <w:pPr>
        <w:pStyle w:val="SingleTxtGR"/>
        <w:keepNext/>
        <w:keepLines/>
        <w:rPr>
          <w:shd w:val="clear" w:color="auto" w:fill="FFFFFF"/>
        </w:rPr>
      </w:pPr>
      <w:r w:rsidRPr="0074030D">
        <w:t>1.</w:t>
      </w:r>
      <w:r w:rsidRPr="0074030D">
        <w:tab/>
        <w:t xml:space="preserve">Настоящее предложение призвано уменьшить степень ослепления, вызываемого все более яркими </w:t>
      </w:r>
      <w:r w:rsidRPr="0074030D">
        <w:rPr>
          <w:shd w:val="clear" w:color="auto" w:fill="FFFFFF"/>
        </w:rPr>
        <w:t>задним</w:t>
      </w:r>
      <w:r w:rsidRPr="0074030D">
        <w:t>и сигнальными огнями, когда на них приходится смотреть с близкого расстояния, при обеспечении одновременно неизменно правильного восприятия сигналов</w:t>
      </w:r>
      <w:r w:rsidRPr="0074030D">
        <w:rPr>
          <w:shd w:val="clear" w:color="auto" w:fill="FFFFFF"/>
        </w:rPr>
        <w:t>.</w:t>
      </w:r>
    </w:p>
    <w:p w:rsidR="00C503C3" w:rsidRPr="0074030D" w:rsidRDefault="00C503C3" w:rsidP="00627BDB">
      <w:pPr>
        <w:pStyle w:val="SingleTxtGR"/>
      </w:pPr>
      <w:r w:rsidRPr="0074030D">
        <w:rPr>
          <w:shd w:val="clear" w:color="auto" w:fill="FFFFFF"/>
        </w:rPr>
        <w:t>Свет задних сигнальных огней в условиях замедленного дорожного движения</w:t>
      </w:r>
    </w:p>
    <w:p w:rsidR="00C503C3" w:rsidRPr="0074030D" w:rsidRDefault="00C503C3" w:rsidP="00C503C3">
      <w:pPr>
        <w:spacing w:after="120"/>
        <w:ind w:left="1134" w:right="1134"/>
        <w:jc w:val="center"/>
        <w:outlineLvl w:val="4"/>
      </w:pPr>
      <w:r w:rsidRPr="0074030D">
        <w:rPr>
          <w:noProof/>
          <w:lang w:eastAsia="ru-RU"/>
        </w:rPr>
        <w:drawing>
          <wp:inline distT="0" distB="0" distL="0" distR="0" wp14:anchorId="3F6FF7D7" wp14:editId="4583CB39">
            <wp:extent cx="4055978" cy="1733550"/>
            <wp:effectExtent l="19050" t="0" r="1672"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colorTemperature colorTemp="5900"/>
                              </a14:imgEffect>
                              <a14:imgEffect>
                                <a14:brightnessContrast contrast="40000"/>
                              </a14:imgEffect>
                            </a14:imgLayer>
                          </a14:imgProps>
                        </a:ext>
                      </a:extLst>
                    </a:blip>
                    <a:stretch>
                      <a:fillRect/>
                    </a:stretch>
                  </pic:blipFill>
                  <pic:spPr>
                    <a:xfrm>
                      <a:off x="0" y="0"/>
                      <a:ext cx="4070350" cy="1739693"/>
                    </a:xfrm>
                    <a:prstGeom prst="rect">
                      <a:avLst/>
                    </a:prstGeom>
                  </pic:spPr>
                </pic:pic>
              </a:graphicData>
            </a:graphic>
          </wp:inline>
        </w:drawing>
      </w:r>
    </w:p>
    <w:p w:rsidR="00C503C3" w:rsidRDefault="00C503C3" w:rsidP="00627BDB">
      <w:pPr>
        <w:pStyle w:val="SingleTxtGR"/>
      </w:pPr>
      <w:r w:rsidRPr="0074030D">
        <w:t>2.</w:t>
      </w:r>
      <w:r w:rsidRPr="0074030D">
        <w:tab/>
        <w:t>Одно из требований дорожной безопасности состоит в том, чтобы общее внешнее восприятие устройств сигнализации оставалось как можно более однородным и однозначным при любых условиях вождения. С этой целью несколько лет назад в соответствующие правила ООН были включены новые категории огней</w:t>
      </w:r>
      <w:r w:rsidR="00627BDB">
        <w:t xml:space="preserve"> (с </w:t>
      </w:r>
      <w:r w:rsidRPr="0074030D">
        <w:t>изменяющейся силой света). Однако</w:t>
      </w:r>
      <w:r w:rsidRPr="00C503C3">
        <w:t xml:space="preserve"> </w:t>
      </w:r>
      <w:r w:rsidRPr="0074030D">
        <w:t>влияние</w:t>
      </w:r>
      <w:r w:rsidRPr="00C503C3">
        <w:t xml:space="preserve"> </w:t>
      </w:r>
      <w:r w:rsidRPr="0074030D">
        <w:t>таких</w:t>
      </w:r>
      <w:r w:rsidRPr="00C503C3">
        <w:t xml:space="preserve"> – </w:t>
      </w:r>
      <w:r w:rsidRPr="0074030D">
        <w:t>сложившихся</w:t>
      </w:r>
      <w:r w:rsidRPr="00C503C3">
        <w:t xml:space="preserve"> </w:t>
      </w:r>
      <w:r w:rsidRPr="0074030D">
        <w:t>сравнительно</w:t>
      </w:r>
      <w:r w:rsidRPr="00C503C3">
        <w:t xml:space="preserve"> </w:t>
      </w:r>
      <w:r w:rsidRPr="0074030D">
        <w:t>недавно</w:t>
      </w:r>
      <w:r w:rsidRPr="00C503C3">
        <w:t xml:space="preserve"> – </w:t>
      </w:r>
      <w:r w:rsidRPr="0074030D">
        <w:t>факторов</w:t>
      </w:r>
      <w:r w:rsidRPr="00C503C3">
        <w:t xml:space="preserve">, </w:t>
      </w:r>
      <w:r w:rsidRPr="0074030D">
        <w:t>как</w:t>
      </w:r>
      <w:r w:rsidRPr="00C503C3">
        <w:t>:</w:t>
      </w:r>
    </w:p>
    <w:p w:rsidR="00C503C3" w:rsidRPr="00C503C3" w:rsidRDefault="00C503C3" w:rsidP="00326F7D">
      <w:pPr>
        <w:pStyle w:val="SingleTxtGR"/>
        <w:ind w:left="1701" w:hanging="567"/>
      </w:pPr>
      <w:proofErr w:type="spellStart"/>
      <w:r w:rsidRPr="00C503C3">
        <w:rPr>
          <w:lang w:val="en-GB"/>
        </w:rPr>
        <w:t>i</w:t>
      </w:r>
      <w:proofErr w:type="spellEnd"/>
      <w:r w:rsidRPr="00C503C3">
        <w:t>)</w:t>
      </w:r>
      <w:r w:rsidRPr="00C503C3">
        <w:tab/>
        <w:t>использование все более эффективных источников света на СИД, устанавливаемых в огнях с весьма гладкими и прозрачными внешними рассеивателями;</w:t>
      </w:r>
    </w:p>
    <w:p w:rsidR="00C503C3" w:rsidRPr="00C503C3" w:rsidRDefault="00C503C3" w:rsidP="00326F7D">
      <w:pPr>
        <w:pStyle w:val="SingleTxtGR"/>
        <w:ind w:left="1701" w:hanging="567"/>
      </w:pPr>
      <w:r w:rsidRPr="00C503C3">
        <w:rPr>
          <w:lang w:val="en-GB"/>
        </w:rPr>
        <w:t>ii</w:t>
      </w:r>
      <w:r w:rsidRPr="00C503C3">
        <w:t>)</w:t>
      </w:r>
      <w:r w:rsidRPr="00C503C3">
        <w:tab/>
        <w:t>уменьшение размеров видимой поверхности, особенно когда речь идет о таких устройствах с улучшенными эксплуатационными качествами, как задние противотуманные огни и/или сигналы торможения;</w:t>
      </w:r>
    </w:p>
    <w:p w:rsidR="00C503C3" w:rsidRPr="00C503C3" w:rsidRDefault="00C503C3" w:rsidP="00326F7D">
      <w:pPr>
        <w:pStyle w:val="SingleTxtGR"/>
        <w:ind w:left="1701" w:hanging="567"/>
      </w:pPr>
      <w:r w:rsidRPr="00C503C3">
        <w:rPr>
          <w:lang w:val="en-GB"/>
        </w:rPr>
        <w:t>iii</w:t>
      </w:r>
      <w:r w:rsidRPr="00C503C3">
        <w:t>)</w:t>
      </w:r>
      <w:r w:rsidRPr="00C503C3">
        <w:tab/>
        <w:t>требование относительно обеспечения между огнями определенного соотношения фотометрических характеристик</w:t>
      </w:r>
    </w:p>
    <w:p w:rsidR="00C503C3" w:rsidRPr="00C503C3" w:rsidRDefault="00C503C3" w:rsidP="00C503C3">
      <w:pPr>
        <w:pStyle w:val="SingleTxtGR"/>
      </w:pPr>
      <w:r w:rsidRPr="00C503C3">
        <w:t>способно привести к наличию широкого диапазона значений силы света, что может повлечь за собой дискомфорт для водителей и чревато возможной опасностью в условиях замедленного движения или дорожных заторов в темное время суток.</w:t>
      </w:r>
    </w:p>
    <w:p w:rsidR="00C503C3" w:rsidRPr="00C503C3" w:rsidRDefault="00C503C3" w:rsidP="00C503C3">
      <w:pPr>
        <w:pStyle w:val="SingleTxtGR"/>
      </w:pPr>
      <w:r w:rsidRPr="00C503C3">
        <w:t>3.</w:t>
      </w:r>
      <w:r w:rsidRPr="00C503C3">
        <w:tab/>
        <w:t xml:space="preserve">Ныне действующими предписаниями Правил ООН не учитываются такие связанные с ослеплением факторы, как близость или скорость транспортного средства. Настоящей предлагаемой поправкой – для целей обозначения состояния близости в плотном потоке – вводятся дополнительные технические параметры, а именно скорость движения и дистанция между транспортными средствами. В таких условиях сила света, излучаемого огнями с регулируемой силой света, может изменяться в порядке уменьшения риска ослепления водителя следующего сзади транспортного средства. </w:t>
      </w:r>
    </w:p>
    <w:p w:rsidR="00C503C3" w:rsidRPr="00C503C3" w:rsidRDefault="00C503C3" w:rsidP="00C503C3">
      <w:pPr>
        <w:pStyle w:val="SingleTxtGR"/>
      </w:pPr>
      <w:r w:rsidRPr="00C503C3">
        <w:t>4.</w:t>
      </w:r>
      <w:r w:rsidRPr="00C503C3">
        <w:tab/>
        <w:t>Что касается такого параметра, как скорость движения транспортного средства, то предлагается допускать уменьшение силы света в том случае, если скорость транспортного средства не превышает 20 км/ч. Это согласуется с внесенным недавно Целевой группой по вопросам включения фар (ЦГ-ВФ) предложением относительно увеличения используемого ныне порогового значения скорости, при которой допускается автоматическое включение и выключение устройств освещения (</w:t>
      </w:r>
      <w:r w:rsidR="00326F7D">
        <w:t>как, </w:t>
      </w:r>
      <w:r w:rsidRPr="00C503C3">
        <w:t xml:space="preserve">например, выключение дополнительных задних фар/огней маневрирования либо включение дневных ходовых огней), с 10 км/ч до 20 км/ч. Аналогичным образом, скоростной порог 20 км/ч используется также в сигнализаторе </w:t>
      </w:r>
      <w:proofErr w:type="spellStart"/>
      <w:r w:rsidRPr="00C503C3">
        <w:t>непристегнутого</w:t>
      </w:r>
      <w:proofErr w:type="spellEnd"/>
      <w:r w:rsidRPr="00C503C3">
        <w:t xml:space="preserve"> ремня безопасности.</w:t>
      </w:r>
    </w:p>
    <w:p w:rsidR="00C503C3" w:rsidRPr="00C503C3" w:rsidRDefault="00C503C3" w:rsidP="00C503C3">
      <w:pPr>
        <w:pStyle w:val="SingleTxtGR"/>
      </w:pPr>
      <w:r w:rsidRPr="00C503C3">
        <w:lastRenderedPageBreak/>
        <w:t>5.</w:t>
      </w:r>
      <w:r w:rsidRPr="00C503C3">
        <w:tab/>
        <w:t>Что касается такого параметра, как дистанция между транспортными средствами, то предлагается расстояние в 20 м, позволяющее датчикам обнаруживать приближение следующих сзади транспортных средств. При 20 км/ч скорость наката составляет приблизительно 5,6 м в секунду. В случае транспортного средства, сбрасывающего скорость по мере приближения к находящемуся впереди транспортному средству, можно предположить, что изменение силы света произойдет за 3</w:t>
      </w:r>
      <w:r w:rsidR="00627BDB">
        <w:t>–</w:t>
      </w:r>
      <w:r w:rsidRPr="00C503C3">
        <w:t>4 секунды до остановки этого транспортного средства. Тем самым может быть обеспечено плавное изменение силы света, излучаемого соответствующим огнем.</w:t>
      </w:r>
    </w:p>
    <w:p w:rsidR="00C503C3" w:rsidRDefault="00C503C3" w:rsidP="00C503C3">
      <w:pPr>
        <w:pStyle w:val="SingleTxtGR"/>
      </w:pPr>
      <w:r w:rsidRPr="00C503C3">
        <w:t>6.</w:t>
      </w:r>
      <w:r w:rsidRPr="00C503C3">
        <w:tab/>
        <w:t>Наконец, для обеспечения более четкого восприятия и удобочитаемости требований был внесен ряд изменений редакционного характера, включая разделение первоначального пункта на четыре подпункта.</w:t>
      </w:r>
    </w:p>
    <w:p w:rsidR="00C503C3" w:rsidRPr="00C503C3" w:rsidRDefault="00C503C3" w:rsidP="00C503C3">
      <w:pPr>
        <w:pStyle w:val="SingleTxtGR"/>
        <w:spacing w:before="240" w:after="0"/>
        <w:jc w:val="center"/>
        <w:rPr>
          <w:u w:val="single"/>
        </w:rPr>
      </w:pPr>
      <w:r>
        <w:rPr>
          <w:u w:val="single"/>
        </w:rPr>
        <w:tab/>
      </w:r>
      <w:r>
        <w:rPr>
          <w:u w:val="single"/>
        </w:rPr>
        <w:tab/>
      </w:r>
      <w:r>
        <w:rPr>
          <w:u w:val="single"/>
        </w:rPr>
        <w:tab/>
      </w:r>
    </w:p>
    <w:sectPr w:rsidR="00C503C3" w:rsidRPr="00C503C3" w:rsidSect="00C503C3">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F4D" w:rsidRPr="00A312BC" w:rsidRDefault="00EF5F4D" w:rsidP="00A312BC"/>
  </w:endnote>
  <w:endnote w:type="continuationSeparator" w:id="0">
    <w:p w:rsidR="00EF5F4D" w:rsidRPr="00A312BC" w:rsidRDefault="00EF5F4D"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3C3" w:rsidRPr="00C503C3" w:rsidRDefault="00C503C3">
    <w:pPr>
      <w:pStyle w:val="Footer"/>
    </w:pPr>
    <w:r w:rsidRPr="00C503C3">
      <w:rPr>
        <w:b/>
        <w:sz w:val="18"/>
      </w:rPr>
      <w:fldChar w:fldCharType="begin"/>
    </w:r>
    <w:r w:rsidRPr="00C503C3">
      <w:rPr>
        <w:b/>
        <w:sz w:val="18"/>
      </w:rPr>
      <w:instrText xml:space="preserve"> PAGE  \* MERGEFORMAT </w:instrText>
    </w:r>
    <w:r w:rsidRPr="00C503C3">
      <w:rPr>
        <w:b/>
        <w:sz w:val="18"/>
      </w:rPr>
      <w:fldChar w:fldCharType="separate"/>
    </w:r>
    <w:r w:rsidR="00552BB4">
      <w:rPr>
        <w:b/>
        <w:noProof/>
        <w:sz w:val="18"/>
      </w:rPr>
      <w:t>4</w:t>
    </w:r>
    <w:r w:rsidRPr="00C503C3">
      <w:rPr>
        <w:b/>
        <w:sz w:val="18"/>
      </w:rPr>
      <w:fldChar w:fldCharType="end"/>
    </w:r>
    <w:r>
      <w:rPr>
        <w:b/>
        <w:sz w:val="18"/>
      </w:rPr>
      <w:tab/>
    </w:r>
    <w:r>
      <w:t>GE.18-13203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3C3" w:rsidRPr="00C503C3" w:rsidRDefault="00C503C3" w:rsidP="00C503C3">
    <w:pPr>
      <w:pStyle w:val="Footer"/>
      <w:tabs>
        <w:tab w:val="clear" w:pos="9639"/>
        <w:tab w:val="right" w:pos="9638"/>
      </w:tabs>
      <w:rPr>
        <w:b/>
        <w:sz w:val="18"/>
      </w:rPr>
    </w:pPr>
    <w:r>
      <w:t>GE.18-13203</w:t>
    </w:r>
    <w:r>
      <w:tab/>
    </w:r>
    <w:r w:rsidRPr="00C503C3">
      <w:rPr>
        <w:b/>
        <w:sz w:val="18"/>
      </w:rPr>
      <w:fldChar w:fldCharType="begin"/>
    </w:r>
    <w:r w:rsidRPr="00C503C3">
      <w:rPr>
        <w:b/>
        <w:sz w:val="18"/>
      </w:rPr>
      <w:instrText xml:space="preserve"> PAGE  \* MERGEFORMAT </w:instrText>
    </w:r>
    <w:r w:rsidRPr="00C503C3">
      <w:rPr>
        <w:b/>
        <w:sz w:val="18"/>
      </w:rPr>
      <w:fldChar w:fldCharType="separate"/>
    </w:r>
    <w:r w:rsidR="00552BB4">
      <w:rPr>
        <w:b/>
        <w:noProof/>
        <w:sz w:val="18"/>
      </w:rPr>
      <w:t>3</w:t>
    </w:r>
    <w:r w:rsidRPr="00C503C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72" w:rsidRPr="00C503C3" w:rsidRDefault="00C503C3" w:rsidP="00C503C3">
    <w:pPr>
      <w:spacing w:before="120" w:line="240" w:lineRule="auto"/>
    </w:pPr>
    <w:r>
      <w:t>GE.</w:t>
    </w:r>
    <w:r w:rsidR="00DF71B9">
      <w:rPr>
        <w:b/>
        <w:noProof/>
        <w:lang w:eastAsia="ru-RU"/>
      </w:rPr>
      <w:drawing>
        <wp:anchor distT="0" distB="0" distL="114300" distR="114300" simplePos="0" relativeHeight="251658240" behindDoc="0" locked="0" layoutInCell="1" allowOverlap="1" wp14:anchorId="698A042D" wp14:editId="6ECF2596">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w:t>
    </w:r>
    <w:proofErr w:type="gramStart"/>
    <w:r>
      <w:t>13203  (</w:t>
    </w:r>
    <w:proofErr w:type="gramEnd"/>
    <w:r>
      <w:t>R)</w:t>
    </w:r>
    <w:r>
      <w:rPr>
        <w:lang w:val="en-US"/>
      </w:rPr>
      <w:t xml:space="preserve">  030918  030918</w:t>
    </w:r>
    <w:r>
      <w:br/>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sidRPr="00C503C3">
      <w:rPr>
        <w:rFonts w:ascii="C39T30Lfz" w:hAnsi="C39T30Lfz"/>
        <w:kern w:val="14"/>
        <w:sz w:val="56"/>
      </w:rPr>
      <w:t></w:t>
    </w:r>
    <w:r>
      <w:rPr>
        <w:noProof/>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TRANS/WP.29/GRE/2018/51&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18/51&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F4D" w:rsidRPr="001075E9" w:rsidRDefault="00EF5F4D" w:rsidP="001075E9">
      <w:pPr>
        <w:tabs>
          <w:tab w:val="right" w:pos="2155"/>
        </w:tabs>
        <w:spacing w:after="80" w:line="240" w:lineRule="auto"/>
        <w:ind w:left="680"/>
        <w:rPr>
          <w:u w:val="single"/>
        </w:rPr>
      </w:pPr>
      <w:r>
        <w:rPr>
          <w:u w:val="single"/>
        </w:rPr>
        <w:tab/>
      </w:r>
    </w:p>
  </w:footnote>
  <w:footnote w:type="continuationSeparator" w:id="0">
    <w:p w:rsidR="00EF5F4D" w:rsidRDefault="00EF5F4D" w:rsidP="00407B78">
      <w:pPr>
        <w:tabs>
          <w:tab w:val="right" w:pos="2155"/>
        </w:tabs>
        <w:spacing w:after="80"/>
        <w:ind w:left="680"/>
        <w:rPr>
          <w:u w:val="single"/>
        </w:rPr>
      </w:pPr>
      <w:r>
        <w:rPr>
          <w:u w:val="single"/>
        </w:rPr>
        <w:tab/>
      </w:r>
    </w:p>
  </w:footnote>
  <w:footnote w:id="1">
    <w:p w:rsidR="00C503C3" w:rsidRPr="00941948" w:rsidRDefault="00C503C3" w:rsidP="00C503C3">
      <w:pPr>
        <w:pStyle w:val="FootnoteText"/>
        <w:rPr>
          <w:sz w:val="20"/>
        </w:rPr>
      </w:pPr>
      <w:r w:rsidRPr="00A90EA8">
        <w:tab/>
      </w:r>
      <w:r w:rsidRPr="00034130">
        <w:rPr>
          <w:rStyle w:val="FootnoteReference"/>
          <w:sz w:val="20"/>
        </w:rPr>
        <w:t>*</w:t>
      </w:r>
      <w:r w:rsidRPr="00034130">
        <w:rPr>
          <w:sz w:val="20"/>
        </w:rPr>
        <w:tab/>
      </w:r>
      <w:r w:rsidRPr="00B83A9F">
        <w:t>В соответствии с программой работы Комитета п</w:t>
      </w:r>
      <w:r>
        <w:t>о внутреннему транспорту на 2018–2019 годы (ECE/TRANS/274, пункт 123</w:t>
      </w:r>
      <w:r w:rsidRPr="00B83A9F">
        <w:t xml:space="preserve">, и </w:t>
      </w:r>
      <w:r w:rsidRPr="00626F57">
        <w:rPr>
          <w:szCs w:val="18"/>
          <w:lang w:val="en-US"/>
        </w:rPr>
        <w:t>ECE</w:t>
      </w:r>
      <w:r w:rsidRPr="00034130">
        <w:rPr>
          <w:szCs w:val="18"/>
        </w:rPr>
        <w:t>/</w:t>
      </w:r>
      <w:r w:rsidRPr="00626F57">
        <w:rPr>
          <w:szCs w:val="18"/>
          <w:lang w:val="en-US"/>
        </w:rPr>
        <w:t>TRANS</w:t>
      </w:r>
      <w:r w:rsidRPr="00034130">
        <w:rPr>
          <w:szCs w:val="18"/>
        </w:rPr>
        <w:t>/2018/21/</w:t>
      </w:r>
      <w:r w:rsidRPr="00626F57">
        <w:rPr>
          <w:szCs w:val="18"/>
          <w:lang w:val="en-US"/>
        </w:rPr>
        <w:t>Add</w:t>
      </w:r>
      <w:r w:rsidRPr="00034130">
        <w:rPr>
          <w:szCs w:val="18"/>
        </w:rPr>
        <w:t>.1</w:t>
      </w:r>
      <w:r w:rsidRPr="00B83A9F">
        <w:t xml:space="preserve">, направление </w:t>
      </w:r>
      <w:r>
        <w:t>деятельности 3.1</w:t>
      </w:r>
      <w:r w:rsidRPr="00B83A9F">
        <w:t>) Всемирный форум будет разрабатывать, согласовывать и обновлять правила в целях улучшения характеристик транспортных средств. Настоящий документ представлен в соответствии с этим мандатом</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3C3" w:rsidRPr="00C503C3" w:rsidRDefault="004C6835">
    <w:pPr>
      <w:pStyle w:val="Header"/>
    </w:pPr>
    <w:r>
      <w:fldChar w:fldCharType="begin"/>
    </w:r>
    <w:r>
      <w:instrText xml:space="preserve"> TITLE  \* MERGEFORMAT </w:instrText>
    </w:r>
    <w:r>
      <w:fldChar w:fldCharType="separate"/>
    </w:r>
    <w:r w:rsidR="00552BB4">
      <w:t>ECE/TRANS/WP.29/GRE/2018/51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3C3" w:rsidRPr="00C503C3" w:rsidRDefault="004C6835" w:rsidP="00C503C3">
    <w:pPr>
      <w:pStyle w:val="Header"/>
      <w:jc w:val="right"/>
    </w:pPr>
    <w:r>
      <w:fldChar w:fldCharType="begin"/>
    </w:r>
    <w:r>
      <w:instrText xml:space="preserve"> TITLE  \* MERGEFORMAT </w:instrText>
    </w:r>
    <w:r>
      <w:fldChar w:fldCharType="separate"/>
    </w:r>
    <w:r w:rsidR="00552BB4">
      <w:t>ECE/TRANS/WP.29/GRE/2018/51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501A"/>
    <w:multiLevelType w:val="hybridMultilevel"/>
    <w:tmpl w:val="7F069878"/>
    <w:lvl w:ilvl="0" w:tplc="0409001B">
      <w:start w:val="1"/>
      <w:numFmt w:val="lowerRoman"/>
      <w:lvlText w:val="%1."/>
      <w:lvlJc w:val="righ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11"/>
  </w:num>
  <w:num w:numId="4">
    <w:abstractNumId w:val="18"/>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3"/>
  </w:num>
  <w:num w:numId="18">
    <w:abstractNumId w:val="15"/>
  </w:num>
  <w:num w:numId="19">
    <w:abstractNumId w:val="16"/>
  </w:num>
  <w:num w:numId="20">
    <w:abstractNumId w:val="13"/>
  </w:num>
  <w:num w:numId="21">
    <w:abstractNumId w:val="15"/>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4D"/>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26F7D"/>
    <w:rsid w:val="003402C2"/>
    <w:rsid w:val="00381C24"/>
    <w:rsid w:val="00387CD4"/>
    <w:rsid w:val="003958D0"/>
    <w:rsid w:val="003A0D43"/>
    <w:rsid w:val="003A48CE"/>
    <w:rsid w:val="003B00E5"/>
    <w:rsid w:val="003E05C4"/>
    <w:rsid w:val="00407B78"/>
    <w:rsid w:val="00424203"/>
    <w:rsid w:val="00452493"/>
    <w:rsid w:val="00453318"/>
    <w:rsid w:val="00454AF2"/>
    <w:rsid w:val="00454E07"/>
    <w:rsid w:val="00472C5C"/>
    <w:rsid w:val="004C6835"/>
    <w:rsid w:val="004E05B7"/>
    <w:rsid w:val="0050108D"/>
    <w:rsid w:val="00513081"/>
    <w:rsid w:val="00517901"/>
    <w:rsid w:val="00526683"/>
    <w:rsid w:val="00552BB4"/>
    <w:rsid w:val="005639C1"/>
    <w:rsid w:val="005709E0"/>
    <w:rsid w:val="00572E19"/>
    <w:rsid w:val="005961C8"/>
    <w:rsid w:val="005966F1"/>
    <w:rsid w:val="005D7914"/>
    <w:rsid w:val="005E2B41"/>
    <w:rsid w:val="005F0B42"/>
    <w:rsid w:val="00617A43"/>
    <w:rsid w:val="00627BDB"/>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0733B"/>
    <w:rsid w:val="00911BE4"/>
    <w:rsid w:val="00951972"/>
    <w:rsid w:val="009608F3"/>
    <w:rsid w:val="00984A01"/>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503C3"/>
    <w:rsid w:val="00C60F0C"/>
    <w:rsid w:val="00C805C9"/>
    <w:rsid w:val="00C92939"/>
    <w:rsid w:val="00CA1679"/>
    <w:rsid w:val="00CB151C"/>
    <w:rsid w:val="00CE5A1A"/>
    <w:rsid w:val="00CF55F6"/>
    <w:rsid w:val="00D33D63"/>
    <w:rsid w:val="00D5253A"/>
    <w:rsid w:val="00D873A8"/>
    <w:rsid w:val="00D90028"/>
    <w:rsid w:val="00D90138"/>
    <w:rsid w:val="00DD78D1"/>
    <w:rsid w:val="00DE32CD"/>
    <w:rsid w:val="00DF5767"/>
    <w:rsid w:val="00DF71B9"/>
    <w:rsid w:val="00E12C5F"/>
    <w:rsid w:val="00E73F76"/>
    <w:rsid w:val="00EA2C9F"/>
    <w:rsid w:val="00EA420E"/>
    <w:rsid w:val="00ED0BDA"/>
    <w:rsid w:val="00EE142A"/>
    <w:rsid w:val="00EF1360"/>
    <w:rsid w:val="00EF3220"/>
    <w:rsid w:val="00EF5F4D"/>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0698BD-CADE-4382-80E3-5246D28C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9D7"/>
    <w:pPr>
      <w:suppressAutoHyphens/>
      <w:spacing w:line="240" w:lineRule="atLeast"/>
    </w:pPr>
    <w:rPr>
      <w:rFonts w:eastAsiaTheme="minorHAnsi" w:cstheme="minorBidi"/>
      <w:szCs w:val="22"/>
      <w:lang w:val="ru-RU" w:eastAsia="en-US"/>
    </w:rPr>
  </w:style>
  <w:style w:type="paragraph" w:styleId="Heading1">
    <w:name w:val="heading 1"/>
    <w:aliases w:val="Table_GR"/>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9C6FE6"/>
    <w:pPr>
      <w:keepNext/>
      <w:outlineLvl w:val="1"/>
    </w:pPr>
    <w:rPr>
      <w:rFonts w:cs="Arial"/>
      <w:bCs/>
      <w:iCs/>
      <w:szCs w:val="28"/>
    </w:rPr>
  </w:style>
  <w:style w:type="paragraph" w:styleId="Heading3">
    <w:name w:val="heading 3"/>
    <w:basedOn w:val="Normal"/>
    <w:next w:val="Normal"/>
    <w:semiHidden/>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rsid w:val="009C6FE6"/>
    <w:pPr>
      <w:keepNext/>
      <w:spacing w:before="240" w:after="60"/>
      <w:outlineLvl w:val="3"/>
    </w:pPr>
    <w:rPr>
      <w:b/>
      <w:bCs/>
      <w:sz w:val="28"/>
      <w:szCs w:val="28"/>
    </w:rPr>
  </w:style>
  <w:style w:type="paragraph" w:styleId="Heading5">
    <w:name w:val="heading 5"/>
    <w:basedOn w:val="Normal"/>
    <w:next w:val="Normal"/>
    <w:semiHidden/>
    <w:rsid w:val="009C6FE6"/>
    <w:pPr>
      <w:spacing w:before="240" w:after="60"/>
      <w:outlineLvl w:val="4"/>
    </w:pPr>
    <w:rPr>
      <w:b/>
      <w:bCs/>
      <w:i/>
      <w:iCs/>
      <w:sz w:val="26"/>
      <w:szCs w:val="26"/>
    </w:rPr>
  </w:style>
  <w:style w:type="paragraph" w:styleId="Heading6">
    <w:name w:val="heading 6"/>
    <w:basedOn w:val="Normal"/>
    <w:next w:val="Normal"/>
    <w:semiHidden/>
    <w:rsid w:val="009C6FE6"/>
    <w:pPr>
      <w:spacing w:before="240" w:after="60"/>
      <w:outlineLvl w:val="5"/>
    </w:pPr>
    <w:rPr>
      <w:b/>
      <w:bCs/>
      <w:sz w:val="22"/>
    </w:rPr>
  </w:style>
  <w:style w:type="paragraph" w:styleId="Heading7">
    <w:name w:val="heading 7"/>
    <w:basedOn w:val="Normal"/>
    <w:next w:val="Normal"/>
    <w:semiHidden/>
    <w:rsid w:val="009C6FE6"/>
    <w:pPr>
      <w:spacing w:before="240" w:after="60"/>
      <w:outlineLvl w:val="6"/>
    </w:pPr>
    <w:rPr>
      <w:sz w:val="24"/>
      <w:szCs w:val="24"/>
    </w:rPr>
  </w:style>
  <w:style w:type="paragraph" w:styleId="Heading8">
    <w:name w:val="heading 8"/>
    <w:basedOn w:val="Normal"/>
    <w:next w:val="Normal"/>
    <w:semiHidden/>
    <w:rsid w:val="009C6FE6"/>
    <w:pPr>
      <w:spacing w:before="240" w:after="60"/>
      <w:outlineLvl w:val="7"/>
    </w:pPr>
    <w:rPr>
      <w:i/>
      <w:iCs/>
      <w:sz w:val="24"/>
      <w:szCs w:val="24"/>
    </w:rPr>
  </w:style>
  <w:style w:type="paragraph" w:styleId="Heading9">
    <w:name w:val="heading 9"/>
    <w:basedOn w:val="Normal"/>
    <w:next w:val="Normal"/>
    <w:semiHidden/>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C6FE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R">
    <w:name w:val="_ H_5/6_GR"/>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617A43"/>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617A43"/>
    <w:pPr>
      <w:numPr>
        <w:numId w:val="21"/>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617A43"/>
    <w:rPr>
      <w:b/>
      <w:sz w:val="18"/>
      <w:lang w:val="en-GB" w:eastAsia="ru-RU"/>
    </w:rPr>
  </w:style>
  <w:style w:type="character" w:styleId="PageNumber">
    <w:name w:val="page number"/>
    <w:aliases w:val="7_GR"/>
    <w:basedOn w:val="DefaultParagraphFont"/>
    <w:qFormat/>
    <w:rsid w:val="00617A43"/>
    <w:rPr>
      <w:rFonts w:ascii="Times New Roman" w:hAnsi="Times New Roman"/>
      <w:b/>
      <w:sz w:val="18"/>
    </w:rPr>
  </w:style>
  <w:style w:type="paragraph" w:styleId="Footer">
    <w:name w:val="footer"/>
    <w:aliases w:val="3_GR"/>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617A43"/>
    <w:rPr>
      <w:sz w:val="16"/>
      <w:lang w:val="en-GB" w:eastAsia="ru-RU"/>
    </w:rPr>
  </w:style>
  <w:style w:type="character" w:styleId="FootnoteReference">
    <w:name w:val="footnote reference"/>
    <w:aliases w:val="4_GR"/>
    <w:basedOn w:val="DefaultParagraphFont"/>
    <w:qFormat/>
    <w:rsid w:val="00617A43"/>
    <w:rPr>
      <w:rFonts w:ascii="Times New Roman" w:hAnsi="Times New Roman"/>
      <w:dstrike w:val="0"/>
      <w:sz w:val="18"/>
      <w:vertAlign w:val="superscript"/>
    </w:rPr>
  </w:style>
  <w:style w:type="character" w:styleId="EndnoteReference">
    <w:name w:val="endnote reference"/>
    <w:aliases w:val="1_GR"/>
    <w:basedOn w:val="FootnoteReference"/>
    <w:qFormat/>
    <w:rsid w:val="00617A43"/>
    <w:rPr>
      <w:rFonts w:ascii="Times New Roman" w:hAnsi="Times New Roman"/>
      <w:dstrike w:val="0"/>
      <w:sz w:val="18"/>
      <w:vertAlign w:val="superscript"/>
    </w:rPr>
  </w:style>
  <w:style w:type="table" w:styleId="TableGrid">
    <w:name w:val="Table Grid"/>
    <w:basedOn w:val="TableNormal"/>
    <w:uiPriority w:val="59"/>
    <w:rsid w:val="00984A01"/>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R"/>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R Char"/>
    <w:basedOn w:val="DefaultParagraphFont"/>
    <w:link w:val="FootnoteText"/>
    <w:rsid w:val="00617A43"/>
    <w:rPr>
      <w:sz w:val="18"/>
      <w:lang w:val="ru-RU" w:eastAsia="ru-RU"/>
    </w:rPr>
  </w:style>
  <w:style w:type="paragraph" w:styleId="EndnoteText">
    <w:name w:val="endnote text"/>
    <w:aliases w:val="2_GR"/>
    <w:basedOn w:val="FootnoteText"/>
    <w:link w:val="EndnoteTextChar"/>
    <w:qFormat/>
    <w:rsid w:val="00617A43"/>
  </w:style>
  <w:style w:type="character" w:customStyle="1" w:styleId="EndnoteTextChar">
    <w:name w:val="Endnote Text Char"/>
    <w:aliases w:val="2_GR Char"/>
    <w:basedOn w:val="DefaultParagraphFont"/>
    <w:link w:val="EndnoteText"/>
    <w:rsid w:val="00617A43"/>
    <w:rPr>
      <w:sz w:val="18"/>
      <w:lang w:val="ru-RU" w:eastAsia="ru-RU"/>
    </w:rPr>
  </w:style>
  <w:style w:type="character" w:customStyle="1" w:styleId="Heading1Char">
    <w:name w:val="Heading 1 Char"/>
    <w:aliases w:val="Table_GR Char"/>
    <w:basedOn w:val="DefaultParagraphFont"/>
    <w:link w:val="Heading1"/>
    <w:rsid w:val="00617A43"/>
    <w:rPr>
      <w:rFonts w:cs="Arial"/>
      <w:b/>
      <w:bCs/>
      <w:szCs w:val="32"/>
      <w:lang w:val="ru-RU" w:eastAsia="ru-RU"/>
    </w:rPr>
  </w:style>
  <w:style w:type="character" w:styleId="Hyperlink">
    <w:name w:val="Hyperlink"/>
    <w:basedOn w:val="DefaultParagraphFont"/>
    <w:uiPriority w:val="99"/>
    <w:unhideWhenUsed/>
    <w:rsid w:val="00617A43"/>
    <w:rPr>
      <w:color w:val="0000FF" w:themeColor="hyperlink"/>
      <w:u w:val="none"/>
    </w:rPr>
  </w:style>
  <w:style w:type="character" w:styleId="FollowedHyperlink">
    <w:name w:val="FollowedHyperlink"/>
    <w:basedOn w:val="DefaultParagraphFont"/>
    <w:uiPriority w:val="99"/>
    <w:semiHidden/>
    <w:unhideWhenUsed/>
    <w:rsid w:val="00617A43"/>
    <w:rPr>
      <w:color w:val="800080" w:themeColor="followedHyperlink"/>
      <w:u w:val="none"/>
    </w:rPr>
  </w:style>
  <w:style w:type="paragraph" w:styleId="BlockText">
    <w:name w:val="Block Text"/>
    <w:basedOn w:val="Normal"/>
    <w:semiHidden/>
    <w:unhideWhenUsed/>
    <w:rsid w:val="00C503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ListParagraph">
    <w:name w:val="List Paragraph"/>
    <w:basedOn w:val="Normal"/>
    <w:uiPriority w:val="34"/>
    <w:qFormat/>
    <w:rsid w:val="00C503C3"/>
    <w:pPr>
      <w:suppressAutoHyphens w:val="0"/>
      <w:spacing w:line="240" w:lineRule="auto"/>
      <w:ind w:left="720"/>
      <w:contextualSpacing/>
    </w:pPr>
    <w:rPr>
      <w:rFonts w:eastAsiaTheme="minorEastAsia"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5723</Characters>
  <Application>Microsoft Office Word</Application>
  <DocSecurity>0</DocSecurity>
  <Lines>47</Lines>
  <Paragraphs>13</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ECE/TRANS/WP.29/GRE/2018/51</vt:lpstr>
      <vt:lpstr>ECE/TRANS/WP.29/GRE/2018/51</vt:lpstr>
      <vt:lpstr>A/</vt:lpstr>
    </vt:vector>
  </TitlesOfParts>
  <Company>DCM</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ECE/TRANS/WP.29/GRE/2018/51</dc:title>
  <dc:subject/>
  <dc:creator>Marina KOROTKOVA</dc:creator>
  <cp:keywords/>
  <cp:lastModifiedBy>Benedicte Boudol</cp:lastModifiedBy>
  <cp:revision>2</cp:revision>
  <cp:lastPrinted>2018-09-03T13:40:00Z</cp:lastPrinted>
  <dcterms:created xsi:type="dcterms:W3CDTF">2018-09-11T13:23:00Z</dcterms:created>
  <dcterms:modified xsi:type="dcterms:W3CDTF">2018-09-11T13:23:00Z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